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31ca7cboaxs" w:id="0"/>
      <w:bookmarkEnd w:id="0"/>
      <w:r w:rsidDel="00000000" w:rsidR="00000000" w:rsidRPr="00000000">
        <w:rPr>
          <w:rtl w:val="0"/>
        </w:rPr>
        <w:t xml:space="preserve">CSC 303 Teamwork T08</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pPr>
            <w:r w:rsidDel="00000000" w:rsidR="00000000" w:rsidRPr="00000000">
              <w:rPr>
                <w:rtl w:val="0"/>
              </w:rPr>
              <w:t xml:space="preserve">Teamworks in this course are to be done collaboratively.  In teams, it is important to make sure that everyone is contributing to and benefiting from the discussion.  Brainstorming and debating ideas with other students is an excellent way to   You are welcome to consult the professor, your teammates, the textbook, and other online resources (</w:t>
            </w:r>
            <w:r w:rsidDel="00000000" w:rsidR="00000000" w:rsidRPr="00000000">
              <w:rPr>
                <w:b w:val="1"/>
                <w:i w:val="1"/>
                <w:rtl w:val="0"/>
              </w:rPr>
              <w:t xml:space="preserve">not</w:t>
            </w:r>
            <w:r w:rsidDel="00000000" w:rsidR="00000000" w:rsidRPr="00000000">
              <w:rPr>
                <w:rtl w:val="0"/>
              </w:rPr>
              <w:t xml:space="preserve"> including ones that provide solutions to our specific problems) to complete any teamwork, but you </w:t>
            </w:r>
            <w:r w:rsidDel="00000000" w:rsidR="00000000" w:rsidRPr="00000000">
              <w:rPr>
                <w:i w:val="1"/>
                <w:rtl w:val="0"/>
              </w:rPr>
              <w:t xml:space="preserve">must</w:t>
            </w:r>
            <w:r w:rsidDel="00000000" w:rsidR="00000000" w:rsidRPr="00000000">
              <w:rPr>
                <w:rtl w:val="0"/>
              </w:rPr>
              <w:t xml:space="preserve"> explicitly acknowledge any sources besides the professor, your teammates, and the textbook in the </w:t>
            </w:r>
            <w:r w:rsidDel="00000000" w:rsidR="00000000" w:rsidRPr="00000000">
              <w:rPr>
                <w:i w:val="1"/>
                <w:rtl w:val="0"/>
              </w:rPr>
              <w:t xml:space="preserve">Acknowledgements </w:t>
            </w:r>
            <w:r w:rsidDel="00000000" w:rsidR="00000000" w:rsidRPr="00000000">
              <w:rPr>
                <w:rtl w:val="0"/>
              </w:rPr>
              <w:t xml:space="preserve">section at the end of the document.</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teamwork covers material from Chapter 4, Section(s) 4.1, 4.2 from </w:t>
      </w:r>
      <w:hyperlink r:id="rId6">
        <w:r w:rsidDel="00000000" w:rsidR="00000000" w:rsidRPr="00000000">
          <w:rPr>
            <w:b w:val="1"/>
            <w:color w:val="1155cc"/>
            <w:u w:val="single"/>
            <w:rtl w:val="0"/>
          </w:rPr>
          <w:t xml:space="preserve">the textbook</w:t>
        </w:r>
      </w:hyperlink>
      <w:r w:rsidDel="00000000" w:rsidR="00000000" w:rsidRPr="00000000">
        <w:rPr>
          <w:rtl w:val="0"/>
        </w:rPr>
        <w:t xml:space="preserv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Fonts w:ascii="Arial Unicode MS" w:cs="Arial Unicode MS" w:eastAsia="Arial Unicode MS" w:hAnsi="Arial Unicode MS"/>
          <w:rtl w:val="0"/>
        </w:rPr>
        <w:t xml:space="preserve">Let X be the set {1, 2, 3, 4, 5} and Y be the set {6, 7, 8, 9, 10}. We describe the functions f: X→Y and g: X→Y in the following tables. Answer each part and give a reason for each negative answer.</w:t>
      </w:r>
    </w:p>
    <w:p w:rsidR="00000000" w:rsidDel="00000000" w:rsidP="00000000" w:rsidRDefault="00000000" w:rsidRPr="00000000" w14:paraId="00000007">
      <w:pPr>
        <w:ind w:left="0" w:firstLine="0"/>
        <w:rPr/>
      </w:pPr>
      <w:r w:rsidDel="00000000" w:rsidR="00000000" w:rsidRPr="00000000">
        <w:rPr>
          <w:rtl w:val="0"/>
        </w:rPr>
      </w:r>
    </w:p>
    <w:tbl>
      <w:tblPr>
        <w:tblStyle w:val="Table2"/>
        <w:tblW w:w="71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375"/>
        <w:gridCol w:w="1665"/>
        <w:gridCol w:w="1665"/>
        <w:tblGridChange w:id="0">
          <w:tblGrid>
            <w:gridCol w:w="1725"/>
            <w:gridCol w:w="1725"/>
            <w:gridCol w:w="37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bl>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Is f one-to-one?</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Is f onto?</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Is f a correspondence?</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Is g one-to-one?</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Is g onto?</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Is g a correspondence?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Fonts w:ascii="Arial Unicode MS" w:cs="Arial Unicode MS" w:eastAsia="Arial Unicode MS" w:hAnsi="Arial Unicode MS"/>
          <w:rtl w:val="0"/>
        </w:rPr>
        <w:t xml:space="preserve">Let T = { (i, j, k) | i, j, k ∈ N }.  Show that T is countable.  </w:t>
      </w:r>
      <w:r w:rsidDel="00000000" w:rsidR="00000000" w:rsidRPr="00000000">
        <w:rPr>
          <w:b w:val="1"/>
          <w:rtl w:val="0"/>
        </w:rPr>
        <w:t xml:space="preserve">HINT</w:t>
      </w:r>
      <w:r w:rsidDel="00000000" w:rsidR="00000000" w:rsidRPr="00000000">
        <w:rPr>
          <w:rtl w:val="0"/>
        </w:rPr>
        <w:t xml:space="preserve">: Does diagonalization only work on two-dimensional grids?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Let Aε</w:t>
      </w:r>
      <w:r w:rsidDel="00000000" w:rsidR="00000000" w:rsidRPr="00000000">
        <w:rPr>
          <w:vertAlign w:val="subscript"/>
          <w:rtl w:val="0"/>
        </w:rPr>
        <w:t xml:space="preserve">CFG</w:t>
      </w:r>
      <w:r w:rsidDel="00000000" w:rsidR="00000000" w:rsidRPr="00000000">
        <w:rPr>
          <w:rFonts w:ascii="Cardo" w:cs="Cardo" w:eastAsia="Cardo" w:hAnsi="Cardo"/>
          <w:rtl w:val="0"/>
        </w:rPr>
        <w:t xml:space="preserve"> = { ⟨G⟩ | G is a CFG that generates ε }. Show that Aε</w:t>
      </w:r>
      <w:r w:rsidDel="00000000" w:rsidR="00000000" w:rsidRPr="00000000">
        <w:rPr>
          <w:vertAlign w:val="subscript"/>
          <w:rtl w:val="0"/>
        </w:rPr>
        <w:t xml:space="preserve">CFG</w:t>
      </w:r>
      <w:r w:rsidDel="00000000" w:rsidR="00000000" w:rsidRPr="00000000">
        <w:rPr>
          <w:rtl w:val="0"/>
        </w:rPr>
        <w:t xml:space="preserve"> is decidable.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Let INFINITE</w:t>
      </w:r>
      <w:r w:rsidDel="00000000" w:rsidR="00000000" w:rsidRPr="00000000">
        <w:rPr>
          <w:vertAlign w:val="subscript"/>
          <w:rtl w:val="0"/>
        </w:rPr>
        <w:t xml:space="preserve">PDA</w:t>
      </w:r>
      <w:r w:rsidDel="00000000" w:rsidR="00000000" w:rsidRPr="00000000">
        <w:rPr>
          <w:rFonts w:ascii="Source Sans Pro" w:cs="Source Sans Pro" w:eastAsia="Source Sans Pro" w:hAnsi="Source Sans Pro"/>
          <w:rtl w:val="0"/>
        </w:rPr>
        <w:t xml:space="preserve"> = { ⟨M⟩ | M is a PDA and L(M) is an infinite language }.  Show that INFINITE</w:t>
      </w:r>
      <w:r w:rsidDel="00000000" w:rsidR="00000000" w:rsidRPr="00000000">
        <w:rPr>
          <w:vertAlign w:val="subscript"/>
          <w:rtl w:val="0"/>
        </w:rPr>
        <w:t xml:space="preserve">PDA</w:t>
      </w:r>
      <w:r w:rsidDel="00000000" w:rsidR="00000000" w:rsidRPr="00000000">
        <w:rPr>
          <w:rtl w:val="0"/>
        </w:rPr>
        <w:t xml:space="preserve"> is decidable.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b w:val="1"/>
              </w:rPr>
            </w:pPr>
            <w:r w:rsidDel="00000000" w:rsidR="00000000" w:rsidRPr="00000000">
              <w:rPr>
                <w:b w:val="1"/>
                <w:rtl w:val="0"/>
              </w:rPr>
              <w:t xml:space="preserve">Acknowledgements:</w:t>
            </w:r>
          </w:p>
          <w:p w:rsidR="00000000" w:rsidDel="00000000" w:rsidP="00000000" w:rsidRDefault="00000000" w:rsidRPr="00000000" w14:paraId="00000041">
            <w:pPr>
              <w:widowControl w:val="0"/>
              <w:spacing w:line="240" w:lineRule="auto"/>
              <w:jc w:val="both"/>
              <w:rPr/>
            </w:pPr>
            <w:r w:rsidDel="00000000" w:rsidR="00000000" w:rsidRPr="00000000">
              <w:rPr>
                <w:rtl w:val="0"/>
              </w:rPr>
            </w:r>
          </w:p>
          <w:p w:rsidR="00000000" w:rsidDel="00000000" w:rsidP="00000000" w:rsidRDefault="00000000" w:rsidRPr="00000000" w14:paraId="00000042">
            <w:pPr>
              <w:widowControl w:val="0"/>
              <w:spacing w:line="240" w:lineRule="auto"/>
              <w:jc w:val="both"/>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7p9ig38nemkf" w:id="1"/>
      <w:bookmarkEnd w:id="1"/>
      <w:r w:rsidDel="00000000" w:rsidR="00000000" w:rsidRPr="00000000">
        <w:rPr>
          <w:rtl w:val="0"/>
        </w:rPr>
        <w:t xml:space="preserve">Submission Instructions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Check the </w:t>
      </w:r>
      <w:r w:rsidDel="00000000" w:rsidR="00000000" w:rsidRPr="00000000">
        <w:rPr>
          <w:b w:val="1"/>
          <w:rtl w:val="0"/>
        </w:rPr>
        <w:t xml:space="preserve">Share</w:t>
      </w:r>
      <w:r w:rsidDel="00000000" w:rsidR="00000000" w:rsidRPr="00000000">
        <w:rPr>
          <w:rtl w:val="0"/>
        </w:rPr>
        <w:t xml:space="preserve"> settings for this document (top right). Set them to </w:t>
      </w:r>
      <w:r w:rsidDel="00000000" w:rsidR="00000000" w:rsidRPr="00000000">
        <w:rPr>
          <w:b w:val="1"/>
          <w:rtl w:val="0"/>
        </w:rPr>
        <w:t xml:space="preserve">“Anyone with the link can view”</w:t>
      </w:r>
      <w:r w:rsidDel="00000000" w:rsidR="00000000" w:rsidRPr="00000000">
        <w:rPr>
          <w:rtl w:val="0"/>
        </w:rPr>
        <w:t xml:space="preserve">. That is how we will be able to access this document to grade you: </w:t>
        <w:br w:type="textWrapping"/>
        <w:tab/>
        <w:tab/>
        <w:tab/>
      </w:r>
      <w:r w:rsidDel="00000000" w:rsidR="00000000" w:rsidRPr="00000000">
        <w:rPr/>
        <w:drawing>
          <wp:inline distB="114300" distT="114300" distL="114300" distR="114300">
            <wp:extent cx="2157413" cy="335215"/>
            <wp:effectExtent b="0" l="0" r="0" t="0"/>
            <wp:docPr descr="Screenshot of the &quot;Anyone with the link can view&quot; button" id="1" name="image1.png"/>
            <a:graphic>
              <a:graphicData uri="http://schemas.openxmlformats.org/drawingml/2006/picture">
                <pic:pic>
                  <pic:nvPicPr>
                    <pic:cNvPr descr="Screenshot of the &quot;Anyone with the link can view&quot; button" id="0" name="image1.png"/>
                    <pic:cNvPicPr preferRelativeResize="0"/>
                  </pic:nvPicPr>
                  <pic:blipFill>
                    <a:blip r:embed="rId7"/>
                    <a:srcRect b="0" l="0" r="0" t="0"/>
                    <a:stretch>
                      <a:fillRect/>
                    </a:stretch>
                  </pic:blipFill>
                  <pic:spPr>
                    <a:xfrm>
                      <a:off x="0" y="0"/>
                      <a:ext cx="2157413" cy="3352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Copy the link to this document.</w:t>
      </w: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b w:val="1"/>
          <w:rtl w:val="0"/>
        </w:rPr>
        <w:t xml:space="preserve">Submit a link to this document WITH SHARING TURNED ON to Moodle.  If sharing is not enabled on your document, we cannot see your work and you will receive a 0 until we can view your assignment.</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berea.edu/pluginfile.php/737252/mod_resource/content/1/Sipser_Introduction.to.the.Theory.of.Computation.3E.pdf"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