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17"/>
        </w:rPr>
        <w:t>SAMPLE SYSTEM OUTPUT</w:t>
      </w:r>
    </w:p>
    <w:p>
      <w:pPr>
        <w:spacing w:after="40"/>
        <w:jc w:val="center"/>
      </w:pPr>
      <w:r>
        <w:rPr>
          <w:rFonts w:ascii="Arial" w:hAnsi="Arial"/>
          <w:b/>
          <w:sz w:val="31"/>
        </w:rPr>
        <w:t>eXp Realty - Sales Intelligence Brief</w:t>
      </w:r>
    </w:p>
    <w:p>
      <w:pPr>
        <w:spacing w:after="100"/>
        <w:jc w:val="center"/>
      </w:pPr>
      <w:r>
        <w:rPr>
          <w:rFonts w:ascii="Arial" w:hAnsi="Arial"/>
          <w:i/>
          <w:sz w:val="16"/>
        </w:rPr>
        <w:t>Product: TransactionOps AI | Target: Brokerage Operations / Agent Experience Leadership</w:t>
      </w:r>
    </w:p>
    <w:p>
      <w:pPr>
        <w:spacing w:before="30" w:after="10"/>
      </w:pPr>
      <w:r>
        <w:rPr>
          <w:rFonts w:ascii="Arial" w:hAnsi="Arial"/>
          <w:b/>
          <w:color w:val="1F4E79"/>
          <w:sz w:val="19"/>
        </w:rPr>
        <w:t>Prospect Overview</w:t>
      </w:r>
    </w:p>
    <w:p>
      <w:pPr>
        <w:spacing w:after="44" w:line="235" w:lineRule="auto"/>
      </w:pPr>
      <w:r>
        <w:rPr>
          <w:rFonts w:ascii="Arial" w:hAnsi="Arial"/>
          <w:sz w:val="16"/>
        </w:rPr>
        <w:t>eXp Realty is the core brokerage of eXp World Holdings and operates a cloud-based, agent-centric model across a global network. Its strategy emphasizes agent productivity, technology-enabled scale, training, collaboration, and a flexible platform designed to support individual agents, teams, and larger organizations.</w:t>
      </w:r>
    </w:p>
    <w:p>
      <w:pPr>
        <w:spacing w:before="30" w:after="10"/>
      </w:pPr>
      <w:r>
        <w:rPr>
          <w:rFonts w:ascii="Arial" w:hAnsi="Arial"/>
          <w:b/>
          <w:color w:val="1F4E79"/>
          <w:sz w:val="19"/>
        </w:rPr>
        <w:t>Company Strategy &amp; Operational Signals</w:t>
      </w:r>
    </w:p>
    <w:p>
      <w:pPr>
        <w:spacing w:after="44" w:line="235" w:lineRule="auto"/>
      </w:pPr>
      <w:r>
        <w:rPr>
          <w:rFonts w:ascii="Arial" w:hAnsi="Arial"/>
          <w:sz w:val="16"/>
        </w:rPr>
        <w:t>eXp reported Q1 2026 revenue of about $1.01 billion, real estate sales volume of about $40.7 billion, and 18,820 other real estate transactions. Management said agent productivity continued to increase and described the addition of NextHome as part of a broader multi-model, unified platform strategy. eXp also continues to invest in an AI-enabled value stack, cloud technology, and agent-choice tools. Its 2026 filings emphasize agent retention, productivity, operational efficiency, and the end-to-end suite of services offered to agents.</w:t>
      </w:r>
    </w:p>
    <w:p>
      <w:pPr>
        <w:spacing w:before="30" w:after="10"/>
      </w:pPr>
      <w:r>
        <w:rPr>
          <w:rFonts w:ascii="Arial" w:hAnsi="Arial"/>
          <w:b/>
          <w:color w:val="1F4E79"/>
          <w:sz w:val="19"/>
        </w:rPr>
        <w:t>Leadership &amp; Recommended Decision Maker</w:t>
      </w:r>
    </w:p>
    <w:p>
      <w:pPr>
        <w:spacing w:after="44" w:line="235" w:lineRule="auto"/>
      </w:pPr>
      <w:r>
        <w:rPr>
          <w:rFonts w:ascii="Arial" w:hAnsi="Arial"/>
          <w:sz w:val="16"/>
        </w:rPr>
        <w:t>Wendy Forsythe was appointed Chief Operating Officer of eXp Realty in June 2026, making the COO role the strongest initial entry point for a transaction-operations solution. Leo Pareja serves as CEO of eXp Realty. Carrie Lysenko, Chief Technology Officer, is highly relevant for integration and platform-fit discussions, while Holly Mabery, Chief Brokerage Officer, is relevant to brokerage operations, compliance, and agent workflow.</w:t>
      </w:r>
    </w:p>
    <w:p>
      <w:pPr>
        <w:spacing w:before="30" w:after="10"/>
      </w:pPr>
      <w:r>
        <w:rPr>
          <w:rFonts w:ascii="Arial" w:hAnsi="Arial"/>
          <w:b/>
          <w:color w:val="1F4E79"/>
          <w:sz w:val="19"/>
        </w:rPr>
        <w:t>Competitive Landscape</w:t>
      </w:r>
    </w:p>
    <w:p>
      <w:pPr>
        <w:spacing w:after="44" w:line="235" w:lineRule="auto"/>
      </w:pPr>
      <w:r>
        <w:rPr>
          <w:rFonts w:ascii="Arial" w:hAnsi="Arial"/>
          <w:sz w:val="16"/>
        </w:rPr>
        <w:t>Real Brokerage is a particularly relevant competitor because its reZEN platform already provides transaction management, document upload, commission visibility, CDA/Trade Record generation, and broker communication. Keller Williams is also pushing an AI-enabled, integration-ready Command ecosystem for lead generation, business automation, and agent workflows. These competitors show that brokerage technology is increasingly expected to be integrated, agent-friendly, and operationally useful—not simply another standalone tool.</w:t>
      </w:r>
    </w:p>
    <w:p>
      <w:pPr>
        <w:spacing w:before="30" w:after="10"/>
      </w:pPr>
      <w:r>
        <w:rPr>
          <w:rFonts w:ascii="Arial" w:hAnsi="Arial"/>
          <w:b/>
          <w:color w:val="1F4E79"/>
          <w:sz w:val="19"/>
        </w:rPr>
        <w:t>Product / Strategy Relevance</w:t>
      </w:r>
    </w:p>
    <w:p>
      <w:pPr>
        <w:spacing w:after="44" w:line="235" w:lineRule="auto"/>
      </w:pPr>
      <w:r>
        <w:rPr>
          <w:rFonts w:ascii="Arial" w:hAnsi="Arial"/>
          <w:sz w:val="16"/>
        </w:rPr>
        <w:t>TransactionOps AI appears more naturally aligned with eXp than with a traditional lender because eXp directly supports a large distributed agent base and brokerage operations at scale. A credible fit would be an AI operations layer that reduces repetitive transaction administration, coordinates milestones and handoffs, surfaces exceptions, and helps agents or brokerage teams navigate workflow without replacing existing CRMs or brokerage systems. Inference: eXp's technology maturity makes integration and measurable workflow improvement essential to the value proposition.</w:t>
      </w:r>
    </w:p>
    <w:p>
      <w:pPr>
        <w:spacing w:before="30" w:after="10"/>
      </w:pPr>
      <w:r>
        <w:rPr>
          <w:rFonts w:ascii="Arial" w:hAnsi="Arial"/>
          <w:b/>
          <w:color w:val="1F4E79"/>
          <w:sz w:val="19"/>
        </w:rPr>
        <w:t>Recommended Sales Approach</w:t>
      </w:r>
    </w:p>
    <w:p>
      <w:pPr>
        <w:spacing w:after="44" w:line="235" w:lineRule="auto"/>
      </w:pPr>
      <w:r>
        <w:rPr>
          <w:rFonts w:ascii="Arial" w:hAnsi="Arial"/>
          <w:sz w:val="16"/>
        </w:rPr>
        <w:t>Lead with agent productivity and brokerage-operating leverage, not generic AI. Position TransactionOps AI as an integration-friendly operations assistant that can reduce administrative drag across transaction coordination, document follow-up, deadlines, compliance handoffs, and agent support. Recommended first outreach: COO / brokerage operations leadership, with technology leadership involved early. Discovery questions: (1) Which transaction tasks still require the most manual agent or staff follow-up? (2) Where do transaction exceptions or compliance handoffs create the most friction across a distributed agent network? (3) Which existing systems would an AI operations layer need to integrate with to create measurable value without disrupting agent choice?</w:t>
      </w:r>
    </w:p>
    <w:p>
      <w:pPr>
        <w:spacing w:before="30" w:after="10"/>
      </w:pPr>
      <w:r>
        <w:rPr>
          <w:rFonts w:ascii="Arial" w:hAnsi="Arial"/>
          <w:b/>
          <w:color w:val="1F4E79"/>
          <w:sz w:val="19"/>
        </w:rPr>
        <w:t>Sources</w:t>
      </w:r>
    </w:p>
    <w:p>
      <w:pPr>
        <w:spacing w:after="0" w:line="223" w:lineRule="auto"/>
        <w:ind w:left="144" w:hanging="144"/>
      </w:pPr>
      <w:r>
        <w:rPr>
          <w:rFonts w:ascii="Arial" w:hAnsi="Arial"/>
          <w:sz w:val="14"/>
        </w:rPr>
        <w:t>• eXp World Holdings Q1 2026 Results: https://expworldholdings.com/press-releases/exp-world-holdings-q1-2026-results/</w:t>
      </w:r>
    </w:p>
    <w:p>
      <w:pPr>
        <w:spacing w:after="0" w:line="223" w:lineRule="auto"/>
        <w:ind w:left="144" w:hanging="144"/>
      </w:pPr>
      <w:r>
        <w:rPr>
          <w:rFonts w:ascii="Arial" w:hAnsi="Arial"/>
          <w:sz w:val="14"/>
        </w:rPr>
        <w:t>• eXp World Holdings 2026 Form 10-Q: https://expworldholdings.com/wp-content/uploads/2026/05/10Q_EXP-WORLD-HOLDINGS-INC._March-31-2026.pdf</w:t>
      </w:r>
    </w:p>
    <w:p>
      <w:pPr>
        <w:spacing w:after="0" w:line="223" w:lineRule="auto"/>
        <w:ind w:left="144" w:hanging="144"/>
      </w:pPr>
      <w:r>
        <w:rPr>
          <w:rFonts w:ascii="Arial" w:hAnsi="Arial"/>
          <w:sz w:val="14"/>
        </w:rPr>
        <w:t>• eXp World Holdings corporate site / June 2026 COO appointment: https://expworldholdings.com/</w:t>
      </w:r>
    </w:p>
    <w:p>
      <w:pPr>
        <w:spacing w:after="0" w:line="223" w:lineRule="auto"/>
        <w:ind w:left="144" w:hanging="144"/>
      </w:pPr>
      <w:r>
        <w:rPr>
          <w:rFonts w:ascii="Arial" w:hAnsi="Arial"/>
          <w:sz w:val="14"/>
        </w:rPr>
        <w:t>• eXp Realty executive leadership appointments: https://expworldholdings.com/press-releases/exp-realty-executive-leadership-appointments/</w:t>
      </w:r>
    </w:p>
    <w:p>
      <w:pPr>
        <w:spacing w:after="0" w:line="223" w:lineRule="auto"/>
        <w:ind w:left="144" w:hanging="144"/>
      </w:pPr>
      <w:r>
        <w:rPr>
          <w:rFonts w:ascii="Arial" w:hAnsi="Arial"/>
          <w:sz w:val="14"/>
        </w:rPr>
        <w:t>• eXp World Holdings FY2025 results / AI-enabled platform strategy: https://expworldholdings.com/press-releases/exp-world-holdings-reports-q4-2025-results/</w:t>
      </w:r>
    </w:p>
    <w:p>
      <w:pPr>
        <w:spacing w:after="0" w:line="223" w:lineRule="auto"/>
        <w:ind w:left="144" w:hanging="144"/>
      </w:pPr>
      <w:r>
        <w:rPr>
          <w:rFonts w:ascii="Arial" w:hAnsi="Arial"/>
          <w:sz w:val="14"/>
        </w:rPr>
        <w:t>• Real Brokerage reZEN transaction platform: https://support.therealbrokerage.com/hc/en-us/articles/18138195152279-What-is-reZEN</w:t>
      </w:r>
    </w:p>
    <w:p>
      <w:pPr>
        <w:spacing w:after="0" w:line="223" w:lineRule="auto"/>
        <w:ind w:left="144" w:hanging="144"/>
      </w:pPr>
      <w:r>
        <w:rPr>
          <w:rFonts w:ascii="Arial" w:hAnsi="Arial"/>
          <w:sz w:val="14"/>
        </w:rPr>
        <w:t>• Keller Williams Command technology strategy: https://kwri.kw.com/press/keller-williams-opens-command-r-to-power-agent-choice-and-best-in-class-integrations</w:t>
      </w:r>
    </w:p>
    <w:p>
      <w:pPr>
        <w:spacing w:before="40" w:after="0"/>
      </w:pPr>
      <w:r>
        <w:rPr>
          <w:rFonts w:ascii="Arial" w:hAnsi="Arial"/>
          <w:i/>
          <w:sz w:val="14"/>
        </w:rPr>
        <w:t>Note: This sample system output uses public information available as of August 28, 2026. Statements labeled as inference should be validated during discovery before being treated as customer facts.</w:t>
      </w:r>
    </w:p>
    <w:sectPr w:rsidR="00FC693F" w:rsidRPr="0006063C" w:rsidSect="00034616">
      <w:pgSz w:w="12240" w:h="15840"/>
      <w:pgMar w:top="605"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