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生信分析报告样式参考</w:t>
      </w:r>
    </w:p>
    <w:p>
      <w:pPr>
        <w:pStyle w:val="Heading1"/>
      </w:pPr>
      <w:r>
        <w:t>分析结果与解读</w:t>
      </w:r>
    </w:p>
    <w:p>
      <w:r>
        <w:rPr>
          <w:b/>
        </w:rPr>
        <w:t>结果：</w:t>
      </w:r>
      <w:r>
        <w:t>此处仅放来自 evidence pack 的已确认事实。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/>
            <w:r>
              <w:t>Note｜说明：解释边界和比较方向应紧邻相关结果。</w:t>
            </w:r>
          </w:p>
        </w:tc>
      </w:tr>
    </w:tbl>
    <w:p>
      <w:pPr>
        <w:pStyle w:val="Caption"/>
      </w:pPr>
      <w:r>
        <w:t>Figure 1: 完整源图及其逐 panel 图注。</w:t>
      </w:r>
    </w:p>
    <w:p>
      <w:pPr>
        <w:pStyle w:val="Heading1"/>
      </w:pPr>
      <w:r>
        <w:t>软件与资源版本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t>软件/资源</w:t>
            </w:r>
          </w:p>
        </w:tc>
        <w:tc>
          <w:tcPr>
            <w:tcW w:type="dxa" w:w="3213"/>
          </w:tcPr>
          <w:p>
            <w:r>
              <w:t>版本</w:t>
            </w:r>
          </w:p>
        </w:tc>
        <w:tc>
          <w:tcPr>
            <w:tcW w:type="dxa" w:w="3213"/>
          </w:tcPr>
          <w:p>
            <w:r>
              <w:t>用途</w:t>
            </w:r>
          </w:p>
        </w:tc>
      </w:tr>
    </w:tbl>
    <w:sectPr w:rsidR="00FC693F" w:rsidRPr="0006063C" w:rsidSect="00034616">
      <w:pgSz w:w="11906" w:h="16838"/>
      <w:pgMar w:top="124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b w:val="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0F476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0F476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0F476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宋体"/>
      <w:b/>
      <w:color w:val="0F4761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/>
      <w:bCs/>
      <w:color w:val="2F75B5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