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200" w:line="288" w:lineRule="auto"/>
        <w:jc w:val="center"/>
      </w:pPr>
      <w:r>
        <w:rPr>
          <w:b/>
          <w:color w:val="1F4E79"/>
          <w:sz w:val="34"/>
        </w:rPr>
        <w:t>Appendices</w:t>
      </w:r>
    </w:p>
    <w:p>
      <w:pPr>
        <w:spacing w:after="520" w:line="288" w:lineRule="auto"/>
        <w:jc w:val="center"/>
      </w:pPr>
      <w:r>
        <w:rPr>
          <w:b w:val="0"/>
          <w:color w:val="52514E"/>
          <w:sz w:val="23"/>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19"/>
        </w:rPr>
        <w:t>This document accompanies CMP7200_Dissertation.docx. The appendices are excluded from the word count and are referenced by letter from the chapters of that document.</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B.1: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B.2: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C.1: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C.2: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D.1: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E.1: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E.2: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E.3: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F.1: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G.1: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H.1: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I.1: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N)</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J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J.1: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K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K.1: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L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L.1: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M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M.1: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N</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N — Provenance of the reported results</w:t>
      </w:r>
    </w:p>
    <w:p>
      <w:pPr>
        <w:spacing w:line="240" w:lineRule="auto"/>
        <w:jc w:val="center"/>
      </w:pPr>
      <w:r>
        <w:rPr>
          <w:i/>
          <w:color w:val="52514E"/>
          <w:sz w:val="19"/>
        </w:rPr>
        <w:t>Table N.1: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147</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2026-09-02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Appendix O — Three defects a passing suite did not catch</w:t>
      </w:r>
    </w:p>
    <w:p>
      <w:pPr>
        <w:spacing w:line="360" w:lineRule="auto"/>
        <w:jc w:val="both"/>
      </w:pPr>
      <w:r>
        <w:t>Sections 5.6 and 5.7 state the lessons these produced. The detail is here because each is worth reading once and none carries the argument.</w:t>
      </w:r>
    </w:p>
    <w:p>
      <w:pPr>
        <w:pStyle w:val="Heading3"/>
      </w:pPr>
      <w:r>
        <w:t>O.1  A tested evaluator that was not the one being called</w:t>
      </w:r>
    </w:p>
    <w:p>
      <w:pPr>
        <w:spacing w:line="360" w:lineRule="auto"/>
        <w:jc w:val="both"/>
      </w:pPr>
      <w:r>
        <w:t>The calculator tool filtered its input against a permitted character set and then called the interpreter's own expression evaluator, while the tests exercised a syntax-tree evaluator defined in the test file. 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production did not make.</w:t>
      </w:r>
    </w:p>
    <w:p>
      <w:pPr>
        <w:spacing w:line="360" w:lineRule="auto"/>
        <w:jc w:val="both"/>
      </w:pPr>
      <w:r>
        <w:t>The evaluator now lives in one module and the tool delegates to it, exponentiation is bounded before evaluation rather than after, and the tests import the shipped code. One test asserts that the server's tool is that code and not a copy, so the two cannot drift again. The fix alters which expressions are refused, not the value returned for any well-formed one, which is why the Chapter 6 measurements are unaffected.</w:t>
      </w:r>
    </w:p>
    <w:p>
      <w:pPr>
        <w:pStyle w:val="Heading3"/>
      </w:pPr>
      <w:r>
        <w:t>O.2  Two smaller defects</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so every panel rendered with whichever formatter the loop finished on — the currency one. The request-count axis was labelled in dollars. Nothing failed; the chart was simply false, and it would have been submitted that way.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