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6.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7.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8.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11. The old numbers stay valid for the model that produced them.</w:t>
            </w:r>
          </w:p>
        </w:tc>
      </w:tr>
    </w:tbl>
    <w:p/>
    <w:p>
      <w:pPr>
        <w:pStyle w:val="Heading1"/>
      </w:pPr>
      <w:r>
        <w:t>9.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10.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11.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12.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13.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14.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15.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16.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