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8" w:lineRule="auto"/>
        <w:jc w:val="center"/>
      </w:pPr>
      <w:r>
        <w:rPr>
          <w:b/>
          <w:sz w:val="26"/>
        </w:rPr>
        <w:t>Birmingham City University</w:t>
      </w:r>
    </w:p>
    <w:p>
      <w:pPr>
        <w:spacing w:after="560" w:line="288" w:lineRule="auto"/>
        <w:jc w:val="center"/>
      </w:pPr>
      <w:r>
        <w:rPr>
          <w:b w:val="0"/>
          <w:color w:val="52514E"/>
          <w:sz w:val="21"/>
        </w:rPr>
        <w:t>Faculty of Computing, Engineering and the Built Environment</w:t>
      </w:r>
    </w:p>
    <w:p>
      <w:pPr>
        <w:spacing w:after="200" w:line="288" w:lineRule="auto"/>
        <w:jc w:val="center"/>
      </w:pPr>
      <w:r>
        <w:rPr>
          <w:b/>
          <w:color w:val="1F4E79"/>
          <w:sz w:val="34"/>
        </w:rPr>
        <w:t>Appendices</w:t>
      </w:r>
    </w:p>
    <w:p>
      <w:pPr>
        <w:spacing w:after="520" w:line="288" w:lineRule="auto"/>
        <w:jc w:val="center"/>
      </w:pPr>
      <w:r>
        <w:rPr>
          <w:b w:val="0"/>
          <w:color w:val="52514E"/>
          <w:sz w:val="23"/>
        </w:rPr>
        <w:t>Fewer Agents, Measured: Protocol-Mediated Multi-Agent Travel Planning and the Cost of Delegating Retrieval to a Language Model</w:t>
      </w:r>
    </w:p>
    <w:p>
      <w:pPr>
        <w:spacing w:after="40" w:line="288" w:lineRule="auto"/>
        <w:jc w:val="center"/>
      </w:pPr>
      <w:r>
        <w:rPr>
          <w:b w:val="0"/>
          <w:sz w:val="23"/>
        </w:rPr>
        <w:t>CMP7200  Individual Master's Project</w:t>
      </w:r>
    </w:p>
    <w:p>
      <w:pPr>
        <w:spacing w:after="520" w:line="288" w:lineRule="auto"/>
        <w:jc w:val="center"/>
      </w:pPr>
      <w:r>
        <w:rPr>
          <w:b w:val="0"/>
          <w:sz w:val="23"/>
        </w:rPr>
        <w:t>Assessment 2: Project Dissertation</w:t>
      </w:r>
    </w:p>
    <w:p>
      <w:pPr>
        <w:spacing w:after="520" w:line="288" w:lineRule="auto"/>
        <w:jc w:val="center"/>
      </w:pPr>
      <w:r>
        <w:rPr>
          <w:b/>
          <w:sz w:val="25"/>
        </w:rPr>
        <w:t>Student Number: 25182589</w:t>
      </w:r>
    </w:p>
    <w:p>
      <w:pPr>
        <w:spacing w:after="120" w:line="288" w:lineRule="auto"/>
        <w:jc w:val="center"/>
      </w:pPr>
      <w:r>
        <w:rPr>
          <w:b w:val="0"/>
          <w:color w:val="52514E"/>
          <w:sz w:val="19"/>
        </w:rPr>
        <w:t>This document accompanies CMP7200_Dissertation.docx. The appendices are excluded from the word count and are referenced by letter from the chapters of that document.</w:t>
      </w:r>
    </w:p>
    <w:p>
      <w:r>
        <w:br w:type="page"/>
      </w:r>
    </w:p>
    <w:p>
      <w:pPr>
        <w:pStyle w:val="Heading1"/>
      </w:pPr>
      <w:r>
        <w:t>Appendix A — Reproducing every number in this dissertation</w:t>
      </w:r>
    </w:p>
    <w:p>
      <w:pPr>
        <w:spacing w:line="360" w:lineRule="auto"/>
        <w:jc w:val="both"/>
      </w:pPr>
      <w:r>
        <w:t>No credentials are required. The recorded API responses are committed, so the whole evaluation replays from disk. Run the commands in this order; each writes the data file the next one reads, and the document is rebuilt last.</w:t>
      </w:r>
    </w:p>
    <w:p>
      <w:pPr>
        <w:spacing w:line="240" w:lineRule="auto" w:after="200"/>
        <w:ind w:left="360"/>
      </w:pPr>
      <w:r>
        <w:rPr>
          <w:rFonts w:ascii="Consolas" w:hAnsi="Consolas"/>
          <w:sz w:val="17"/>
          <w:rFonts w:ascii="Consolas" w:hAnsi="Consolas"/>
        </w:rPr>
        <w:t>run.bat                                 # sets up everything, then a menu</w:t>
        <w:br/>
        <w:br/>
        <w:t>python -m pytest -q                     # the test suite</w:t>
        <w:br/>
        <w:t>python -m trip_planner.evaluation.exp_protocol       # protocol conformance      (free)</w:t>
        <w:br/>
        <w:t>python -m trip_planner.evaluation.exp_budget_gate    # budget gate, 20 scenarios (free)</w:t>
        <w:br/>
        <w:br/>
        <w:t>python trip_planner/demos/compare_all_approaches.py  # all four, from the recordings</w:t>
        <w:br/>
        <w:br/>
        <w:t>python submission/build/make_diagrams.py    # 8 diagrams, 300 dpi, validated</w:t>
        <w:br/>
        <w:t>python submission/build/make_charts.py      # 6 charts from measured data</w:t>
        <w:br/>
        <w:t>python -m submission.build.build_dissertation     # this document</w:t>
        <w:br/>
        <w:t>python -m submission.build.verify_no_hardcoded_numbers   # perturbation check</w:t>
        <w:br/>
        <w:br/>
        <w:t># Re-measuring the four arms needs a model that can run all of them.</w:t>
        <w:br/>
        <w:t># See Section 6.7: the model these results came from has been withdrawn.</w:t>
        <w:br/>
        <w:t>set TRIP_PLANNER_API_MODE=replay</w:t>
        <w:br/>
        <w:t>set TRIP_PLANNER_MAX_LIVE_CALLS=0</w:t>
        <w:br/>
        <w:t>python -m trip_planner.evaluation.run_comparison SC-01 --force --repeats 5</w:t>
        <w:br/>
      </w:r>
    </w:p>
    <w:p>
      <w:pPr>
        <w:spacing w:line="360" w:lineRule="auto"/>
        <w:jc w:val="both"/>
      </w:pPr>
      <w:r>
        <w:t>The report build refuses to complete if a figure is missing, if a citation has no reference entry, if a reference is never cited, or if any diagram fails geometric validation. It also re-runs the test suite and reports the real pass count rather than a remembered one.</w:t>
      </w:r>
    </w:p>
    <w:p>
      <w:r>
        <w:br w:type="page"/>
      </w:r>
    </w:p>
    <w:p>
      <w:pPr>
        <w:pStyle w:val="Heading1"/>
      </w:pPr>
      <w:r>
        <w:t>Appendix B — Full protocol conformance results</w:t>
      </w:r>
    </w:p>
    <w:p>
      <w:pPr>
        <w:spacing w:line="240" w:lineRule="auto"/>
        <w:jc w:val="center"/>
      </w:pPr>
      <w:r>
        <w:rPr>
          <w:i/>
          <w:color w:val="52514E"/>
          <w:sz w:val="19"/>
        </w:rPr>
        <w:t>Table B.1: Every conformance check, its claim, its result and the observation behind it.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04"/>
          </w:tcPr>
          <w:p>
            <w:pPr>
              <w:spacing w:line="240" w:lineRule="auto"/>
            </w:pPr>
            <w:r/>
            <w:r>
              <w:rPr>
                <w:b/>
                <w:sz w:val="16"/>
              </w:rPr>
              <w:t>ID</w:t>
            </w:r>
          </w:p>
        </w:tc>
        <w:tc>
          <w:tcPr>
            <w:tcW w:type="dxa" w:w="2736"/>
          </w:tcPr>
          <w:p>
            <w:pPr>
              <w:spacing w:line="240" w:lineRule="auto"/>
            </w:pPr>
            <w:r/>
            <w:r>
              <w:rPr>
                <w:b/>
                <w:sz w:val="16"/>
              </w:rPr>
              <w:t>Claim tested</w:t>
            </w:r>
          </w:p>
        </w:tc>
        <w:tc>
          <w:tcPr>
            <w:tcW w:type="dxa" w:w="792"/>
          </w:tcPr>
          <w:p>
            <w:pPr>
              <w:spacing w:line="240" w:lineRule="auto"/>
            </w:pPr>
            <w:r/>
            <w:r>
              <w:rPr>
                <w:b/>
                <w:sz w:val="16"/>
              </w:rPr>
              <w:t>Result</w:t>
            </w:r>
          </w:p>
        </w:tc>
        <w:tc>
          <w:tcPr>
            <w:tcW w:type="dxa" w:w="5040"/>
          </w:tcPr>
          <w:p>
            <w:pPr>
              <w:spacing w:line="240" w:lineRule="auto"/>
            </w:pPr>
            <w:r/>
            <w:r>
              <w:rPr>
                <w:b/>
                <w:sz w:val="16"/>
              </w:rPr>
              <w:t>Observation</w:t>
            </w:r>
          </w:p>
        </w:tc>
      </w:tr>
      <w:tr>
        <w:tc>
          <w:tcPr>
            <w:tcW w:type="dxa" w:w="504"/>
          </w:tcPr>
          <w:p>
            <w:pPr>
              <w:spacing w:line="240" w:lineRule="auto"/>
            </w:pPr>
            <w:r/>
            <w:r>
              <w:rPr>
                <w:sz w:val="16"/>
              </w:rPr>
              <w:t>A1</w:t>
            </w:r>
          </w:p>
        </w:tc>
        <w:tc>
          <w:tcPr>
            <w:tcW w:type="dxa" w:w="2736"/>
          </w:tcPr>
          <w:p>
            <w:pPr>
              <w:spacing w:line="240" w:lineRule="auto"/>
            </w:pPr>
            <w:r/>
            <w:r>
              <w:rPr>
                <w:sz w:val="16"/>
              </w:rPr>
              <w:t>every can_receive_from declaration is mirrored by the sender's can_send_to</w:t>
            </w:r>
          </w:p>
        </w:tc>
        <w:tc>
          <w:tcPr>
            <w:tcW w:type="dxa" w:w="792"/>
          </w:tcPr>
          <w:p>
            <w:pPr>
              <w:spacing w:line="240" w:lineRule="auto"/>
            </w:pPr>
            <w:r/>
            <w:r>
              <w:rPr>
                <w:sz w:val="16"/>
              </w:rPr>
              <w:t>FAIL</w:t>
            </w:r>
          </w:p>
        </w:tc>
        <w:tc>
          <w:tcPr>
            <w:tcW w:type="dxa" w:w="5040"/>
          </w:tcPr>
          <w:p>
            <w:pPr>
              <w:spacing w:line="240" w:lineRule="auto"/>
            </w:pPr>
            <w:r/>
            <w:r>
              <w:rPr>
                <w:sz w:val="16"/>
              </w:rPr>
              <w:t>5 inbound declarations have no matching outbound permission, so can_receive_from is never enforced: validate_communication() consults only the sender's can_send_to.</w:t>
            </w:r>
          </w:p>
        </w:tc>
      </w:tr>
      <w:tr>
        <w:tc>
          <w:tcPr>
            <w:tcW w:type="dxa" w:w="504"/>
          </w:tcPr>
          <w:p>
            <w:pPr>
              <w:spacing w:line="240" w:lineRule="auto"/>
            </w:pPr>
            <w:r/>
            <w:r>
              <w:rPr>
                <w:sz w:val="16"/>
              </w:rPr>
              <w:t>A2</w:t>
            </w:r>
          </w:p>
        </w:tc>
        <w:tc>
          <w:tcPr>
            <w:tcW w:type="dxa" w:w="2736"/>
          </w:tcPr>
          <w:p>
            <w:pPr>
              <w:spacing w:line="240" w:lineRule="auto"/>
            </w:pPr>
            <w:r/>
            <w:r>
              <w:rPr>
                <w:sz w:val="16"/>
              </w:rPr>
              <w:t>the queue delivers HIGH priority before LOW (proposal Objective 2: 'priority queuing')</w:t>
            </w:r>
          </w:p>
        </w:tc>
        <w:tc>
          <w:tcPr>
            <w:tcW w:type="dxa" w:w="792"/>
          </w:tcPr>
          <w:p>
            <w:pPr>
              <w:spacing w:line="240" w:lineRule="auto"/>
            </w:pPr>
            <w:r/>
            <w:r>
              <w:rPr>
                <w:sz w:val="16"/>
              </w:rPr>
              <w:t>FAIL</w:t>
            </w:r>
          </w:p>
        </w:tc>
        <w:tc>
          <w:tcPr>
            <w:tcW w:type="dxa" w:w="5040"/>
          </w:tcPr>
          <w:p>
            <w:pPr>
              <w:spacing w:line="240" w:lineRule="auto"/>
            </w:pPr>
            <w:r/>
            <w:r>
              <w:rPr>
                <w:sz w:val="16"/>
              </w:rPr>
              <w:t>MessageQueue wraps queue.Queue, which is FIFO. The priority field is carried on every message and never read.</w:t>
            </w:r>
          </w:p>
        </w:tc>
      </w:tr>
      <w:tr>
        <w:tc>
          <w:tcPr>
            <w:tcW w:type="dxa" w:w="504"/>
          </w:tcPr>
          <w:p>
            <w:pPr>
              <w:spacing w:line="240" w:lineRule="auto"/>
            </w:pPr>
            <w:r/>
            <w:r>
              <w:rPr>
                <w:sz w:val="16"/>
              </w:rPr>
              <w:t>A3</w:t>
            </w:r>
          </w:p>
        </w:tc>
        <w:tc>
          <w:tcPr>
            <w:tcW w:type="dxa" w:w="2736"/>
          </w:tcPr>
          <w:p>
            <w:pPr>
              <w:spacing w:line="240" w:lineRule="auto"/>
            </w:pPr>
            <w:r/>
            <w:r>
              <w:rPr>
                <w:sz w:val="16"/>
              </w:rPr>
              <w:t>every message the production orchestrator sends is permitted by the registry</w:t>
            </w:r>
          </w:p>
        </w:tc>
        <w:tc>
          <w:tcPr>
            <w:tcW w:type="dxa" w:w="792"/>
          </w:tcPr>
          <w:p>
            <w:pPr>
              <w:spacing w:line="240" w:lineRule="auto"/>
            </w:pPr>
            <w:r/>
            <w:r>
              <w:rPr>
                <w:sz w:val="16"/>
              </w:rPr>
              <w:t>PASS</w:t>
            </w:r>
          </w:p>
        </w:tc>
        <w:tc>
          <w:tcPr>
            <w:tcW w:type="dxa" w:w="5040"/>
          </w:tcPr>
          <w:p>
            <w:pPr>
              <w:spacing w:line="240" w:lineRule="auto"/>
            </w:pPr>
            <w:r/>
            <w:r>
              <w:rPr>
                <w:sz w:val="16"/>
              </w:rPr>
              <w:t>6/6 messages in the shipped sequence pass permission validation.</w:t>
            </w:r>
          </w:p>
        </w:tc>
      </w:tr>
      <w:tr>
        <w:tc>
          <w:tcPr>
            <w:tcW w:type="dxa" w:w="504"/>
          </w:tcPr>
          <w:p>
            <w:pPr>
              <w:spacing w:line="240" w:lineRule="auto"/>
            </w:pPr>
            <w:r/>
            <w:r>
              <w:rPr>
                <w:sz w:val="16"/>
              </w:rPr>
              <w:t>A4</w:t>
            </w:r>
          </w:p>
        </w:tc>
        <w:tc>
          <w:tcPr>
            <w:tcW w:type="dxa" w:w="2736"/>
          </w:tcPr>
          <w:p>
            <w:pPr>
              <w:spacing w:line="240" w:lineRule="auto"/>
            </w:pPr>
            <w:r/>
            <w:r>
              <w:rPr>
                <w:sz w:val="16"/>
              </w:rPr>
              <w:t>an undeclared sender/receiver edge and an empty payload are both rejected</w:t>
            </w:r>
          </w:p>
        </w:tc>
        <w:tc>
          <w:tcPr>
            <w:tcW w:type="dxa" w:w="792"/>
          </w:tcPr>
          <w:p>
            <w:pPr>
              <w:spacing w:line="240" w:lineRule="auto"/>
            </w:pPr>
            <w:r/>
            <w:r>
              <w:rPr>
                <w:sz w:val="16"/>
              </w:rPr>
              <w:t>PASS</w:t>
            </w:r>
          </w:p>
        </w:tc>
        <w:tc>
          <w:tcPr>
            <w:tcW w:type="dxa" w:w="5040"/>
          </w:tcPr>
          <w:p>
            <w:pPr>
              <w:spacing w:line="240" w:lineRule="auto"/>
            </w:pPr>
            <w:r/>
            <w:r>
              <w:rPr>
                <w:sz w:val="16"/>
              </w:rPr>
              <w:t>Permission validation and the empty-content guard both reject as designed.</w:t>
            </w:r>
          </w:p>
        </w:tc>
      </w:tr>
      <w:tr>
        <w:tc>
          <w:tcPr>
            <w:tcW w:type="dxa" w:w="504"/>
          </w:tcPr>
          <w:p>
            <w:pPr>
              <w:spacing w:line="240" w:lineRule="auto"/>
            </w:pPr>
            <w:r/>
            <w:r>
              <w:rPr>
                <w:sz w:val="16"/>
              </w:rPr>
              <w:t>A5</w:t>
            </w:r>
          </w:p>
        </w:tc>
        <w:tc>
          <w:tcPr>
            <w:tcW w:type="dxa" w:w="2736"/>
          </w:tcPr>
          <w:p>
            <w:pPr>
              <w:spacing w:line="240" w:lineRule="auto"/>
            </w:pPr>
            <w:r/>
            <w:r>
              <w:rPr>
                <w:sz w:val="16"/>
              </w:rPr>
              <w:t>a message polled by the wrong recipient stays queued for its real recipient</w:t>
            </w:r>
          </w:p>
        </w:tc>
        <w:tc>
          <w:tcPr>
            <w:tcW w:type="dxa" w:w="792"/>
          </w:tcPr>
          <w:p>
            <w:pPr>
              <w:spacing w:line="240" w:lineRule="auto"/>
            </w:pPr>
            <w:r/>
            <w:r>
              <w:rPr>
                <w:sz w:val="16"/>
              </w:rPr>
              <w:t>FAIL</w:t>
            </w:r>
          </w:p>
        </w:tc>
        <w:tc>
          <w:tcPr>
            <w:tcW w:type="dxa" w:w="5040"/>
          </w:tcPr>
          <w:p>
            <w:pPr>
              <w:spacing w:line="240" w:lineRule="auto"/>
            </w:pPr>
            <w:r/>
            <w:r>
              <w:rPr>
                <w:sz w:val="16"/>
              </w:rPr>
              <w:t>receive_message() dequeues before checking the recipient and discards the message when it does not match, so a single wrong poll destroys it. Not reached in production, which is why it never surfaced: the orchestrator uses the protocol as an audit log and never dequeues.</w:t>
            </w:r>
          </w:p>
        </w:tc>
      </w:tr>
      <w:tr>
        <w:tc>
          <w:tcPr>
            <w:tcW w:type="dxa" w:w="504"/>
          </w:tcPr>
          <w:p>
            <w:pPr>
              <w:spacing w:line="240" w:lineRule="auto"/>
            </w:pPr>
            <w:r/>
            <w:r>
              <w:rPr>
                <w:sz w:val="16"/>
              </w:rPr>
              <w:t>M1</w:t>
            </w:r>
          </w:p>
        </w:tc>
        <w:tc>
          <w:tcPr>
            <w:tcW w:type="dxa" w:w="2736"/>
          </w:tcPr>
          <w:p>
            <w:pPr>
              <w:spacing w:line="240" w:lineRule="auto"/>
            </w:pPr>
            <w:r/>
            <w:r>
              <w:rPr>
                <w:sz w:val="16"/>
              </w:rPr>
              <w:t>every advertised tool can be dispatched</w:t>
            </w:r>
          </w:p>
        </w:tc>
        <w:tc>
          <w:tcPr>
            <w:tcW w:type="dxa" w:w="792"/>
          </w:tcPr>
          <w:p>
            <w:pPr>
              <w:spacing w:line="240" w:lineRule="auto"/>
            </w:pPr>
            <w:r/>
            <w:r>
              <w:rPr>
                <w:sz w:val="16"/>
              </w:rPr>
              <w:t>PASS</w:t>
            </w:r>
          </w:p>
        </w:tc>
        <w:tc>
          <w:tcPr>
            <w:tcW w:type="dxa" w:w="5040"/>
          </w:tcPr>
          <w:p>
            <w:pPr>
              <w:spacing w:line="240" w:lineRule="auto"/>
            </w:pPr>
            <w:r/>
            <w:r>
              <w:rPr>
                <w:sz w:val="16"/>
              </w:rPr>
              <w:t>12 tools advertised, 12 dispatchable.</w:t>
            </w:r>
          </w:p>
        </w:tc>
      </w:tr>
      <w:tr>
        <w:tc>
          <w:tcPr>
            <w:tcW w:type="dxa" w:w="504"/>
          </w:tcPr>
          <w:p>
            <w:pPr>
              <w:spacing w:line="240" w:lineRule="auto"/>
            </w:pPr>
            <w:r/>
            <w:r>
              <w:rPr>
                <w:sz w:val="16"/>
              </w:rPr>
              <w:t>M2</w:t>
            </w:r>
          </w:p>
        </w:tc>
        <w:tc>
          <w:tcPr>
            <w:tcW w:type="dxa" w:w="2736"/>
          </w:tcPr>
          <w:p>
            <w:pPr>
              <w:spacing w:line="240" w:lineRule="auto"/>
            </w:pPr>
            <w:r/>
            <w:r>
              <w:rPr>
                <w:sz w:val="16"/>
              </w:rPr>
              <w:t>every parameter the implementation accepts is declared in inputSchema (proposal S3.10 target: 100% schema pass rate)</w:t>
            </w:r>
          </w:p>
        </w:tc>
        <w:tc>
          <w:tcPr>
            <w:tcW w:type="dxa" w:w="792"/>
          </w:tcPr>
          <w:p>
            <w:pPr>
              <w:spacing w:line="240" w:lineRule="auto"/>
            </w:pPr>
            <w:r/>
            <w:r>
              <w:rPr>
                <w:sz w:val="16"/>
              </w:rPr>
              <w:t>FAIL</w:t>
            </w:r>
          </w:p>
        </w:tc>
        <w:tc>
          <w:tcPr>
            <w:tcW w:type="dxa" w:w="5040"/>
          </w:tcPr>
          <w:p>
            <w:pPr>
              <w:spacing w:line="240" w:lineRule="auto"/>
            </w:pPr>
            <w:r/>
            <w:r>
              <w:rPr>
                <w:sz w:val="16"/>
              </w:rPr>
              <w:t>8/11 inspectable tools are clean. 6 implementation parameters are absent from their schema, so an agent cannot set them and they silently take defaults.</w:t>
            </w:r>
          </w:p>
        </w:tc>
      </w:tr>
      <w:tr>
        <w:tc>
          <w:tcPr>
            <w:tcW w:type="dxa" w:w="504"/>
          </w:tcPr>
          <w:p>
            <w:pPr>
              <w:spacing w:line="240" w:lineRule="auto"/>
            </w:pPr>
            <w:r/>
            <w:r>
              <w:rPr>
                <w:sz w:val="16"/>
              </w:rPr>
              <w:t>M3</w:t>
            </w:r>
          </w:p>
        </w:tc>
        <w:tc>
          <w:tcPr>
            <w:tcW w:type="dxa" w:w="2736"/>
          </w:tcPr>
          <w:p>
            <w:pPr>
              <w:spacing w:line="240" w:lineRule="auto"/>
            </w:pPr>
            <w:r/>
            <w:r>
              <w:rPr>
                <w:sz w:val="16"/>
              </w:rPr>
              <w:t>what the implementation treats as mandatory matches schema.required</w:t>
            </w:r>
          </w:p>
        </w:tc>
        <w:tc>
          <w:tcPr>
            <w:tcW w:type="dxa" w:w="792"/>
          </w:tcPr>
          <w:p>
            <w:pPr>
              <w:spacing w:line="240" w:lineRule="auto"/>
            </w:pPr>
            <w:r/>
            <w:r>
              <w:rPr>
                <w:sz w:val="16"/>
              </w:rPr>
              <w:t>FAIL</w:t>
            </w:r>
          </w:p>
        </w:tc>
        <w:tc>
          <w:tcPr>
            <w:tcW w:type="dxa" w:w="5040"/>
          </w:tcPr>
          <w:p>
            <w:pPr>
              <w:spacing w:line="240" w:lineRule="auto"/>
            </w:pPr>
            <w:r/>
            <w:r>
              <w:rPr>
                <w:sz w:val="16"/>
              </w:rPr>
              <w:t>1 parameter(s) are mandatory in the implementation but absent from schema.required.</w:t>
            </w:r>
          </w:p>
        </w:tc>
      </w:tr>
      <w:tr>
        <w:tc>
          <w:tcPr>
            <w:tcW w:type="dxa" w:w="504"/>
          </w:tcPr>
          <w:p>
            <w:pPr>
              <w:spacing w:line="240" w:lineRule="auto"/>
            </w:pPr>
            <w:r/>
            <w:r>
              <w:rPr>
                <w:sz w:val="16"/>
              </w:rPr>
              <w:t>M4</w:t>
            </w:r>
          </w:p>
        </w:tc>
        <w:tc>
          <w:tcPr>
            <w:tcW w:type="dxa" w:w="2736"/>
          </w:tcPr>
          <w:p>
            <w:pPr>
              <w:spacing w:line="240" w:lineRule="auto"/>
            </w:pPr>
            <w:r/>
            <w:r>
              <w:rPr>
                <w:sz w:val="16"/>
              </w:rPr>
              <w:t>the API provider named in a tool's description is the provider the dispatcher calls</w:t>
            </w:r>
          </w:p>
        </w:tc>
        <w:tc>
          <w:tcPr>
            <w:tcW w:type="dxa" w:w="792"/>
          </w:tcPr>
          <w:p>
            <w:pPr>
              <w:spacing w:line="240" w:lineRule="auto"/>
            </w:pPr>
            <w:r/>
            <w:r>
              <w:rPr>
                <w:sz w:val="16"/>
              </w:rPr>
              <w:t>FAIL</w:t>
            </w:r>
          </w:p>
        </w:tc>
        <w:tc>
          <w:tcPr>
            <w:tcW w:type="dxa" w:w="5040"/>
          </w:tcPr>
          <w:p>
            <w:pPr>
              <w:spacing w:line="240" w:lineRule="auto"/>
            </w:pPr>
            <w:r/>
            <w:r>
              <w:rPr>
                <w:sz w:val="16"/>
              </w:rPr>
              <w:t>1 tool(s) advertise one provider and call another. An agent selecting a tool on its description gets a different backend.</w:t>
            </w:r>
          </w:p>
        </w:tc>
      </w:tr>
    </w:tbl>
    <w:p/>
    <w:p>
      <w:pPr>
        <w:spacing w:line="240" w:lineRule="auto"/>
        <w:jc w:val="center"/>
      </w:pPr>
      <w:r>
        <w:rPr>
          <w:i/>
          <w:color w:val="52514E"/>
          <w:sz w:val="19"/>
        </w:rPr>
        <w:t>Table B.2: Per-tool schema audit. 8 of 11 inspectable tools are clean; 6 implementation parameters are undeclared in total.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232"/>
          </w:tcPr>
          <w:p>
            <w:pPr>
              <w:spacing w:line="240" w:lineRule="auto"/>
            </w:pPr>
            <w:r/>
            <w:r>
              <w:rPr>
                <w:b/>
                <w:sz w:val="16"/>
              </w:rPr>
              <w:t>Tool</w:t>
            </w:r>
          </w:p>
        </w:tc>
        <w:tc>
          <w:tcPr>
            <w:tcW w:type="dxa" w:w="2520"/>
          </w:tcPr>
          <w:p>
            <w:pPr>
              <w:spacing w:line="240" w:lineRule="auto"/>
            </w:pPr>
            <w:r/>
            <w:r>
              <w:rPr>
                <w:b/>
                <w:sz w:val="16"/>
              </w:rPr>
              <w:t>Dispatches to</w:t>
            </w:r>
          </w:p>
        </w:tc>
        <w:tc>
          <w:tcPr>
            <w:tcW w:type="dxa" w:w="2448"/>
          </w:tcPr>
          <w:p>
            <w:pPr>
              <w:spacing w:line="240" w:lineRule="auto"/>
            </w:pPr>
            <w:r/>
            <w:r>
              <w:rPr>
                <w:b/>
                <w:sz w:val="16"/>
              </w:rPr>
              <w:t>Parameters missing from schema</w:t>
            </w:r>
          </w:p>
        </w:tc>
        <w:tc>
          <w:tcPr>
            <w:tcW w:type="dxa" w:w="1872"/>
          </w:tcPr>
          <w:p>
            <w:pPr>
              <w:spacing w:line="240" w:lineRule="auto"/>
            </w:pPr>
            <w:r/>
            <w:r>
              <w:rPr>
                <w:b/>
                <w:sz w:val="16"/>
              </w:rPr>
              <w:t>Required mismatch</w:t>
            </w:r>
          </w:p>
        </w:tc>
      </w:tr>
      <w:tr>
        <w:tc>
          <w:tcPr>
            <w:tcW w:type="dxa" w:w="2232"/>
          </w:tcPr>
          <w:p>
            <w:pPr>
              <w:spacing w:line="240" w:lineRule="auto"/>
            </w:pPr>
            <w:r/>
            <w:r>
              <w:rPr>
                <w:sz w:val="16"/>
              </w:rPr>
              <w:t>search_flights</w:t>
            </w:r>
          </w:p>
        </w:tc>
        <w:tc>
          <w:tcPr>
            <w:tcW w:type="dxa" w:w="2520"/>
          </w:tcPr>
          <w:p>
            <w:pPr>
              <w:spacing w:line="240" w:lineRule="auto"/>
            </w:pPr>
            <w:r/>
            <w:r>
              <w:rPr>
                <w:sz w:val="16"/>
              </w:rPr>
              <w:t>_call_booking_flights_api</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search_hotels_comprehensive</w:t>
            </w:r>
          </w:p>
        </w:tc>
        <w:tc>
          <w:tcPr>
            <w:tcW w:type="dxa" w:w="2520"/>
          </w:tcPr>
          <w:p>
            <w:pPr>
              <w:spacing w:line="240" w:lineRule="auto"/>
            </w:pPr>
            <w:r/>
            <w:r>
              <w:rPr>
                <w:sz w:val="16"/>
              </w:rPr>
              <w:t>search_hotels_comprehensive</w:t>
            </w:r>
          </w:p>
        </w:tc>
        <w:tc>
          <w:tcPr>
            <w:tcW w:type="dxa" w:w="2448"/>
          </w:tcPr>
          <w:p>
            <w:pPr>
              <w:spacing w:line="240" w:lineRule="auto"/>
            </w:pPr>
            <w:r/>
            <w:r>
              <w:rPr>
                <w:sz w:val="16"/>
              </w:rPr>
              <w:t>currency_code</w:t>
            </w:r>
          </w:p>
        </w:tc>
        <w:tc>
          <w:tcPr>
            <w:tcW w:type="dxa" w:w="1872"/>
          </w:tcPr>
          <w:p>
            <w:pPr>
              <w:spacing w:line="240" w:lineRule="auto"/>
            </w:pPr>
            <w:r/>
            <w:r>
              <w:rPr>
                <w:sz w:val="16"/>
              </w:rPr>
              <w:t>none</w:t>
            </w:r>
          </w:p>
        </w:tc>
      </w:tr>
      <w:tr>
        <w:tc>
          <w:tcPr>
            <w:tcW w:type="dxa" w:w="2232"/>
          </w:tcPr>
          <w:p>
            <w:pPr>
              <w:spacing w:line="240" w:lineRule="auto"/>
            </w:pPr>
            <w:r/>
            <w:r>
              <w:rPr>
                <w:sz w:val="16"/>
              </w:rPr>
              <w:t>search_accommodations_with_location</w:t>
            </w:r>
          </w:p>
        </w:tc>
        <w:tc>
          <w:tcPr>
            <w:tcW w:type="dxa" w:w="2520"/>
          </w:tcPr>
          <w:p>
            <w:pPr>
              <w:spacing w:line="240" w:lineRule="auto"/>
            </w:pPr>
            <w:r/>
            <w:r>
              <w:rPr>
                <w:sz w:val="16"/>
              </w:rPr>
              <w:t>search_accommodations_with_location</w:t>
            </w:r>
          </w:p>
        </w:tc>
        <w:tc>
          <w:tcPr>
            <w:tcW w:type="dxa" w:w="2448"/>
          </w:tcPr>
          <w:p>
            <w:pPr>
              <w:spacing w:line="240" w:lineRule="auto"/>
            </w:pPr>
            <w:r/>
            <w:r>
              <w:rPr>
                <w:sz w:val="16"/>
              </w:rPr>
              <w:t>adults, currency_code, rooms</w:t>
            </w:r>
          </w:p>
        </w:tc>
        <w:tc>
          <w:tcPr>
            <w:tcW w:type="dxa" w:w="1872"/>
          </w:tcPr>
          <w:p>
            <w:pPr>
              <w:spacing w:line="240" w:lineRule="auto"/>
            </w:pPr>
            <w:r/>
            <w:r>
              <w:rPr>
                <w:sz w:val="16"/>
              </w:rPr>
              <w:t>none</w:t>
            </w:r>
          </w:p>
        </w:tc>
      </w:tr>
      <w:tr>
        <w:tc>
          <w:tcPr>
            <w:tcW w:type="dxa" w:w="2232"/>
          </w:tcPr>
          <w:p>
            <w:pPr>
              <w:spacing w:line="240" w:lineRule="auto"/>
            </w:pPr>
            <w:r/>
            <w:r>
              <w:rPr>
                <w:sz w:val="16"/>
              </w:rPr>
              <w:t>search_car_rentals</w:t>
            </w:r>
          </w:p>
        </w:tc>
        <w:tc>
          <w:tcPr>
            <w:tcW w:type="dxa" w:w="2520"/>
          </w:tcPr>
          <w:p>
            <w:pPr>
              <w:spacing w:line="240" w:lineRule="auto"/>
            </w:pPr>
            <w:r/>
            <w:r>
              <w:rPr>
                <w:sz w:val="16"/>
              </w:rPr>
              <w:t>search_car_rentals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search_internet</w:t>
            </w:r>
          </w:p>
        </w:tc>
        <w:tc>
          <w:tcPr>
            <w:tcW w:type="dxa" w:w="2520"/>
          </w:tcPr>
          <w:p>
            <w:pPr>
              <w:spacing w:line="240" w:lineRule="auto"/>
            </w:pPr>
            <w:r/>
            <w:r>
              <w:rPr>
                <w:sz w:val="16"/>
              </w:rPr>
              <w:t>search_internet</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search_attractions</w:t>
            </w:r>
          </w:p>
        </w:tc>
        <w:tc>
          <w:tcPr>
            <w:tcW w:type="dxa" w:w="2520"/>
          </w:tcPr>
          <w:p>
            <w:pPr>
              <w:spacing w:line="240" w:lineRule="auto"/>
            </w:pPr>
            <w:r/>
            <w:r>
              <w:rPr>
                <w:sz w:val="16"/>
              </w:rPr>
              <w:t>search_attractions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search_restaurants</w:t>
            </w:r>
          </w:p>
        </w:tc>
        <w:tc>
          <w:tcPr>
            <w:tcW w:type="dxa" w:w="2520"/>
          </w:tcPr>
          <w:p>
            <w:pPr>
              <w:spacing w:line="240" w:lineRule="auto"/>
            </w:pPr>
            <w:r/>
            <w:r>
              <w:rPr>
                <w:sz w:val="16"/>
              </w:rPr>
              <w:t>search_restaurants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calculate</w:t>
            </w:r>
          </w:p>
        </w:tc>
        <w:tc>
          <w:tcPr>
            <w:tcW w:type="dxa" w:w="2520"/>
          </w:tcPr>
          <w:p>
            <w:pPr>
              <w:spacing w:line="240" w:lineRule="auto"/>
            </w:pPr>
            <w:r/>
            <w:r>
              <w:rPr>
                <w:sz w:val="16"/>
              </w:rPr>
              <w:t>calculate</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search_hotel_destination</w:t>
            </w:r>
          </w:p>
        </w:tc>
        <w:tc>
          <w:tcPr>
            <w:tcW w:type="dxa" w:w="2520"/>
          </w:tcPr>
          <w:p>
            <w:pPr>
              <w:spacing w:line="240" w:lineRule="auto"/>
            </w:pPr>
            <w:r/>
            <w:r>
              <w:rPr>
                <w:sz w:val="16"/>
              </w:rPr>
              <w:t>search_hotel_destination</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search_hotels_by_destination</w:t>
            </w:r>
          </w:p>
        </w:tc>
        <w:tc>
          <w:tcPr>
            <w:tcW w:type="dxa" w:w="2520"/>
          </w:tcPr>
          <w:p>
            <w:pPr>
              <w:spacing w:line="240" w:lineRule="auto"/>
            </w:pPr>
            <w:r/>
            <w:r>
              <w:rPr>
                <w:sz w:val="16"/>
              </w:rPr>
              <w:t>search_hotels_by_destination</w:t>
            </w:r>
          </w:p>
        </w:tc>
        <w:tc>
          <w:tcPr>
            <w:tcW w:type="dxa" w:w="2448"/>
          </w:tcPr>
          <w:p>
            <w:pPr>
              <w:spacing w:line="240" w:lineRule="auto"/>
            </w:pPr>
            <w:r/>
            <w:r>
              <w:rPr>
                <w:sz w:val="16"/>
              </w:rPr>
              <w:t>children_age, page_number</w:t>
            </w:r>
          </w:p>
        </w:tc>
        <w:tc>
          <w:tcPr>
            <w:tcW w:type="dxa" w:w="1872"/>
          </w:tcPr>
          <w:p>
            <w:pPr>
              <w:spacing w:line="240" w:lineRule="auto"/>
            </w:pPr>
            <w:r/>
            <w:r>
              <w:rPr>
                <w:sz w:val="16"/>
              </w:rPr>
              <w:t>search_type</w:t>
            </w:r>
          </w:p>
        </w:tc>
      </w:tr>
      <w:tr>
        <w:tc>
          <w:tcPr>
            <w:tcW w:type="dxa" w:w="2232"/>
          </w:tcPr>
          <w:p>
            <w:pPr>
              <w:spacing w:line="240" w:lineRule="auto"/>
            </w:pPr>
            <w:r/>
            <w:r>
              <w:rPr>
                <w:sz w:val="16"/>
              </w:rPr>
              <w:t>get_hotel_reviews</w:t>
            </w:r>
          </w:p>
        </w:tc>
        <w:tc>
          <w:tcPr>
            <w:tcW w:type="dxa" w:w="2520"/>
          </w:tcPr>
          <w:p>
            <w:pPr>
              <w:spacing w:line="240" w:lineRule="auto"/>
            </w:pPr>
            <w:r/>
            <w:r>
              <w:rPr>
                <w:sz w:val="16"/>
              </w:rPr>
              <w:t>get_hotel_reviews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get_attractions_near_hotel</w:t>
            </w:r>
          </w:p>
        </w:tc>
        <w:tc>
          <w:tcPr>
            <w:tcW w:type="dxa" w:w="2520"/>
          </w:tcPr>
          <w:p>
            <w:pPr>
              <w:spacing w:line="240" w:lineRule="auto"/>
            </w:pPr>
            <w:r/>
            <w:r>
              <w:rPr>
                <w:sz w:val="16"/>
              </w:rPr>
              <w:t>get_attractions_near_hotel</w:t>
            </w:r>
          </w:p>
        </w:tc>
        <w:tc>
          <w:tcPr>
            <w:tcW w:type="dxa" w:w="2448"/>
          </w:tcPr>
          <w:p>
            <w:pPr>
              <w:spacing w:line="240" w:lineRule="auto"/>
            </w:pPr>
            <w:r/>
            <w:r>
              <w:rPr>
                <w:sz w:val="16"/>
              </w:rPr>
              <w:t>none</w:t>
            </w:r>
          </w:p>
        </w:tc>
        <w:tc>
          <w:tcPr>
            <w:tcW w:type="dxa" w:w="1872"/>
          </w:tcPr>
          <w:p>
            <w:pPr>
              <w:spacing w:line="240" w:lineRule="auto"/>
            </w:pPr>
            <w:r/>
            <w:r>
              <w:rPr>
                <w:sz w:val="16"/>
              </w:rPr>
              <w:t>none</w:t>
            </w:r>
          </w:p>
        </w:tc>
      </w:tr>
    </w:tbl>
    <w:p/>
    <w:p>
      <w:r>
        <w:br w:type="page"/>
      </w:r>
    </w:p>
    <w:p>
      <w:pPr>
        <w:pStyle w:val="Heading1"/>
      </w:pPr>
      <w:r>
        <w:t>Appendix C — Full budget gate decision table</w:t>
      </w:r>
    </w:p>
    <w:p>
      <w:pPr>
        <w:spacing w:line="240" w:lineRule="auto"/>
        <w:jc w:val="center"/>
      </w:pPr>
      <w:r>
        <w:rPr>
          <w:i/>
          <w:color w:val="52514E"/>
          <w:sz w:val="19"/>
        </w:rPr>
        <w:t>Table C.1: The feasibility gate's decision on all twenty designed scenarios.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864"/>
          </w:tcPr>
          <w:p>
            <w:pPr>
              <w:spacing w:line="240" w:lineRule="auto"/>
            </w:pPr>
            <w:r/>
            <w:r>
              <w:rPr>
                <w:b/>
                <w:sz w:val="15"/>
              </w:rPr>
              <w:t>Scenario</w:t>
            </w:r>
          </w:p>
        </w:tc>
        <w:tc>
          <w:tcPr>
            <w:tcW w:type="dxa" w:w="1368"/>
          </w:tcPr>
          <w:p>
            <w:pPr>
              <w:spacing w:line="240" w:lineRule="auto"/>
            </w:pPr>
            <w:r/>
            <w:r>
              <w:rPr>
                <w:b/>
                <w:sz w:val="15"/>
              </w:rPr>
              <w:t>Destination</w:t>
            </w:r>
          </w:p>
        </w:tc>
        <w:tc>
          <w:tcPr>
            <w:tcW w:type="dxa" w:w="720"/>
          </w:tcPr>
          <w:p>
            <w:pPr>
              <w:spacing w:line="240" w:lineRule="auto"/>
            </w:pPr>
            <w:r/>
            <w:r>
              <w:rPr>
                <w:b/>
                <w:sz w:val="15"/>
              </w:rPr>
              <w:t>Budget</w:t>
            </w:r>
          </w:p>
        </w:tc>
        <w:tc>
          <w:tcPr>
            <w:tcW w:type="dxa" w:w="648"/>
          </w:tcPr>
          <w:p>
            <w:pPr>
              <w:spacing w:line="240" w:lineRule="auto"/>
            </w:pPr>
            <w:r/>
            <w:r>
              <w:rPr>
                <w:b/>
                <w:sz w:val="15"/>
              </w:rPr>
              <w:t>Nights</w:t>
            </w:r>
          </w:p>
        </w:tc>
        <w:tc>
          <w:tcPr>
            <w:tcW w:type="dxa" w:w="792"/>
          </w:tcPr>
          <w:p>
            <w:pPr>
              <w:spacing w:line="240" w:lineRule="auto"/>
            </w:pPr>
            <w:r/>
            <w:r>
              <w:rPr>
                <w:b/>
                <w:sz w:val="15"/>
              </w:rPr>
              <w:t>Travellers</w:t>
            </w:r>
          </w:p>
        </w:tc>
        <w:tc>
          <w:tcPr>
            <w:tcW w:type="dxa" w:w="792"/>
          </w:tcPr>
          <w:p>
            <w:pPr>
              <w:spacing w:line="240" w:lineRule="auto"/>
            </w:pPr>
            <w:r/>
            <w:r>
              <w:rPr>
                <w:b/>
                <w:sz w:val="15"/>
              </w:rPr>
              <w:t>Minimum</w:t>
            </w:r>
          </w:p>
        </w:tc>
        <w:tc>
          <w:tcPr>
            <w:tcW w:type="dxa" w:w="1008"/>
          </w:tcPr>
          <w:p>
            <w:pPr>
              <w:spacing w:line="240" w:lineRule="auto"/>
            </w:pPr>
            <w:r/>
            <w:r>
              <w:rPr>
                <w:b/>
                <w:sz w:val="15"/>
              </w:rPr>
              <w:t>Comfortable</w:t>
            </w:r>
          </w:p>
        </w:tc>
        <w:tc>
          <w:tcPr>
            <w:tcW w:type="dxa" w:w="792"/>
          </w:tcPr>
          <w:p>
            <w:pPr>
              <w:spacing w:line="240" w:lineRule="auto"/>
            </w:pPr>
            <w:r/>
            <w:r>
              <w:rPr>
                <w:b/>
                <w:sz w:val="15"/>
              </w:rPr>
              <w:t>Budget/min</w:t>
            </w:r>
          </w:p>
        </w:tc>
        <w:tc>
          <w:tcPr>
            <w:tcW w:type="dxa" w:w="1152"/>
          </w:tcPr>
          <w:p>
            <w:pPr>
              <w:spacing w:line="240" w:lineRule="auto"/>
            </w:pPr>
            <w:r/>
            <w:r>
              <w:rPr>
                <w:b/>
                <w:sz w:val="15"/>
              </w:rPr>
              <w:t>Verdict</w:t>
            </w:r>
          </w:p>
        </w:tc>
        <w:tc>
          <w:tcPr>
            <w:tcW w:type="dxa" w:w="648"/>
          </w:tcPr>
          <w:p>
            <w:pPr>
              <w:spacing w:line="240" w:lineRule="auto"/>
            </w:pPr>
            <w:r/>
            <w:r>
              <w:rPr>
                <w:b/>
                <w:sz w:val="15"/>
              </w:rPr>
              <w:t>Agrees</w:t>
            </w:r>
          </w:p>
        </w:tc>
      </w:tr>
      <w:tr>
        <w:tc>
          <w:tcPr>
            <w:tcW w:type="dxa" w:w="864"/>
          </w:tcPr>
          <w:p>
            <w:pPr>
              <w:spacing w:line="240" w:lineRule="auto"/>
            </w:pPr>
            <w:r/>
            <w:r>
              <w:rPr>
                <w:sz w:val="15"/>
              </w:rPr>
              <w:t>SC-01</w:t>
            </w:r>
          </w:p>
        </w:tc>
        <w:tc>
          <w:tcPr>
            <w:tcW w:type="dxa" w:w="1368"/>
          </w:tcPr>
          <w:p>
            <w:pPr>
              <w:spacing w:line="240" w:lineRule="auto"/>
            </w:pPr>
            <w:r/>
            <w:r>
              <w:rPr>
                <w:sz w:val="15"/>
              </w:rPr>
              <w:t>Istanbul</w:t>
            </w:r>
          </w:p>
        </w:tc>
        <w:tc>
          <w:tcPr>
            <w:tcW w:type="dxa" w:w="720"/>
          </w:tcPr>
          <w:p>
            <w:pPr>
              <w:spacing w:line="240" w:lineRule="auto"/>
            </w:pPr>
            <w:r/>
            <w:r>
              <w:rPr>
                <w:sz w:val="15"/>
              </w:rPr>
              <w:t>$800</w:t>
            </w:r>
          </w:p>
        </w:tc>
        <w:tc>
          <w:tcPr>
            <w:tcW w:type="dxa" w:w="648"/>
          </w:tcPr>
          <w:p>
            <w:pPr>
              <w:spacing w:line="240" w:lineRule="auto"/>
            </w:pPr>
            <w:r/>
            <w:r>
              <w:rPr>
                <w:sz w:val="15"/>
              </w:rPr>
              <w:t>4</w:t>
            </w:r>
          </w:p>
        </w:tc>
        <w:tc>
          <w:tcPr>
            <w:tcW w:type="dxa" w:w="792"/>
          </w:tcPr>
          <w:p>
            <w:pPr>
              <w:spacing w:line="240" w:lineRule="auto"/>
            </w:pPr>
            <w:r/>
            <w:r>
              <w:rPr>
                <w:sz w:val="15"/>
              </w:rPr>
              <w:t>1</w:t>
            </w:r>
          </w:p>
        </w:tc>
        <w:tc>
          <w:tcPr>
            <w:tcW w:type="dxa" w:w="792"/>
          </w:tcPr>
          <w:p>
            <w:pPr>
              <w:spacing w:line="240" w:lineRule="auto"/>
            </w:pPr>
            <w:r/>
            <w:r>
              <w:rPr>
                <w:sz w:val="15"/>
              </w:rPr>
              <w:t>$453</w:t>
            </w:r>
          </w:p>
        </w:tc>
        <w:tc>
          <w:tcPr>
            <w:tcW w:type="dxa" w:w="1008"/>
          </w:tcPr>
          <w:p>
            <w:pPr>
              <w:spacing w:line="240" w:lineRule="auto"/>
            </w:pPr>
            <w:r/>
            <w:r>
              <w:rPr>
                <w:sz w:val="15"/>
              </w:rPr>
              <w:t>$1,145</w:t>
            </w:r>
          </w:p>
        </w:tc>
        <w:tc>
          <w:tcPr>
            <w:tcW w:type="dxa" w:w="792"/>
          </w:tcPr>
          <w:p>
            <w:pPr>
              <w:spacing w:line="240" w:lineRule="auto"/>
            </w:pPr>
            <w:r/>
            <w:r>
              <w:rPr>
                <w:sz w:val="15"/>
              </w:rPr>
              <w:t>1.77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SC-02</w:t>
            </w:r>
          </w:p>
        </w:tc>
        <w:tc>
          <w:tcPr>
            <w:tcW w:type="dxa" w:w="1368"/>
          </w:tcPr>
          <w:p>
            <w:pPr>
              <w:spacing w:line="240" w:lineRule="auto"/>
            </w:pPr>
            <w:r/>
            <w:r>
              <w:rPr>
                <w:sz w:val="15"/>
              </w:rPr>
              <w:t>Tokyo</w:t>
            </w:r>
          </w:p>
        </w:tc>
        <w:tc>
          <w:tcPr>
            <w:tcW w:type="dxa" w:w="720"/>
          </w:tcPr>
          <w:p>
            <w:pPr>
              <w:spacing w:line="240" w:lineRule="auto"/>
            </w:pPr>
            <w:r/>
            <w:r>
              <w:rPr>
                <w:sz w:val="15"/>
              </w:rPr>
              <w:t>$3,000</w:t>
            </w:r>
          </w:p>
        </w:tc>
        <w:tc>
          <w:tcPr>
            <w:tcW w:type="dxa" w:w="648"/>
          </w:tcPr>
          <w:p>
            <w:pPr>
              <w:spacing w:line="240" w:lineRule="auto"/>
            </w:pPr>
            <w:r/>
            <w:r>
              <w:rPr>
                <w:sz w:val="15"/>
              </w:rPr>
              <w:t>8</w:t>
            </w:r>
          </w:p>
        </w:tc>
        <w:tc>
          <w:tcPr>
            <w:tcW w:type="dxa" w:w="792"/>
          </w:tcPr>
          <w:p>
            <w:pPr>
              <w:spacing w:line="240" w:lineRule="auto"/>
            </w:pPr>
            <w:r/>
            <w:r>
              <w:rPr>
                <w:sz w:val="15"/>
              </w:rPr>
              <w:t>2</w:t>
            </w:r>
          </w:p>
        </w:tc>
        <w:tc>
          <w:tcPr>
            <w:tcW w:type="dxa" w:w="792"/>
          </w:tcPr>
          <w:p>
            <w:pPr>
              <w:spacing w:line="240" w:lineRule="auto"/>
            </w:pPr>
            <w:r/>
            <w:r>
              <w:rPr>
                <w:sz w:val="15"/>
              </w:rPr>
              <w:t>$2,046</w:t>
            </w:r>
          </w:p>
        </w:tc>
        <w:tc>
          <w:tcPr>
            <w:tcW w:type="dxa" w:w="1008"/>
          </w:tcPr>
          <w:p>
            <w:pPr>
              <w:spacing w:line="240" w:lineRule="auto"/>
            </w:pPr>
            <w:r/>
            <w:r>
              <w:rPr>
                <w:sz w:val="15"/>
              </w:rPr>
              <w:t>$5,090</w:t>
            </w:r>
          </w:p>
        </w:tc>
        <w:tc>
          <w:tcPr>
            <w:tcW w:type="dxa" w:w="792"/>
          </w:tcPr>
          <w:p>
            <w:pPr>
              <w:spacing w:line="240" w:lineRule="auto"/>
            </w:pPr>
            <w:r/>
            <w:r>
              <w:rPr>
                <w:sz w:val="15"/>
              </w:rPr>
              <w:t>1.47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SC-03</w:t>
            </w:r>
          </w:p>
        </w:tc>
        <w:tc>
          <w:tcPr>
            <w:tcW w:type="dxa" w:w="1368"/>
          </w:tcPr>
          <w:p>
            <w:pPr>
              <w:spacing w:line="240" w:lineRule="auto"/>
            </w:pPr>
            <w:r/>
            <w:r>
              <w:rPr>
                <w:sz w:val="15"/>
              </w:rPr>
              <w:t>Bangkok</w:t>
            </w:r>
          </w:p>
        </w:tc>
        <w:tc>
          <w:tcPr>
            <w:tcW w:type="dxa" w:w="720"/>
          </w:tcPr>
          <w:p>
            <w:pPr>
              <w:spacing w:line="240" w:lineRule="auto"/>
            </w:pPr>
            <w:r/>
            <w:r>
              <w:rPr>
                <w:sz w:val="15"/>
              </w:rPr>
              <w:t>$2,500</w:t>
            </w:r>
          </w:p>
        </w:tc>
        <w:tc>
          <w:tcPr>
            <w:tcW w:type="dxa" w:w="648"/>
          </w:tcPr>
          <w:p>
            <w:pPr>
              <w:spacing w:line="240" w:lineRule="auto"/>
            </w:pPr>
            <w:r/>
            <w:r>
              <w:rPr>
                <w:sz w:val="15"/>
              </w:rPr>
              <w:t>10</w:t>
            </w:r>
          </w:p>
        </w:tc>
        <w:tc>
          <w:tcPr>
            <w:tcW w:type="dxa" w:w="792"/>
          </w:tcPr>
          <w:p>
            <w:pPr>
              <w:spacing w:line="240" w:lineRule="auto"/>
            </w:pPr>
            <w:r/>
            <w:r>
              <w:rPr>
                <w:sz w:val="15"/>
              </w:rPr>
              <w:t>1</w:t>
            </w:r>
          </w:p>
        </w:tc>
        <w:tc>
          <w:tcPr>
            <w:tcW w:type="dxa" w:w="792"/>
          </w:tcPr>
          <w:p>
            <w:pPr>
              <w:spacing w:line="240" w:lineRule="auto"/>
            </w:pPr>
            <w:r/>
            <w:r>
              <w:rPr>
                <w:sz w:val="15"/>
              </w:rPr>
              <w:t>$591</w:t>
            </w:r>
          </w:p>
        </w:tc>
        <w:tc>
          <w:tcPr>
            <w:tcW w:type="dxa" w:w="1008"/>
          </w:tcPr>
          <w:p>
            <w:pPr>
              <w:spacing w:line="240" w:lineRule="auto"/>
            </w:pPr>
            <w:r/>
            <w:r>
              <w:rPr>
                <w:sz w:val="15"/>
              </w:rPr>
              <w:t>$1,745</w:t>
            </w:r>
          </w:p>
        </w:tc>
        <w:tc>
          <w:tcPr>
            <w:tcW w:type="dxa" w:w="792"/>
          </w:tcPr>
          <w:p>
            <w:pPr>
              <w:spacing w:line="240" w:lineRule="auto"/>
            </w:pPr>
            <w:r/>
            <w:r>
              <w:rPr>
                <w:sz w:val="15"/>
              </w:rPr>
              <w:t>4.23</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SC-04</w:t>
            </w:r>
          </w:p>
        </w:tc>
        <w:tc>
          <w:tcPr>
            <w:tcW w:type="dxa" w:w="1368"/>
          </w:tcPr>
          <w:p>
            <w:pPr>
              <w:spacing w:line="240" w:lineRule="auto"/>
            </w:pPr>
            <w:r/>
            <w:r>
              <w:rPr>
                <w:sz w:val="15"/>
              </w:rPr>
              <w:t>Bangkok</w:t>
            </w:r>
          </w:p>
        </w:tc>
        <w:tc>
          <w:tcPr>
            <w:tcW w:type="dxa" w:w="720"/>
          </w:tcPr>
          <w:p>
            <w:pPr>
              <w:spacing w:line="240" w:lineRule="auto"/>
            </w:pPr>
            <w:r/>
            <w:r>
              <w:rPr>
                <w:sz w:val="15"/>
              </w:rPr>
              <w:t>$700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$476</w:t>
            </w:r>
          </w:p>
        </w:tc>
        <w:tc>
          <w:tcPr>
            <w:tcW w:type="dxa" w:w="1008"/>
          </w:tcPr>
          <w:p>
            <w:pPr>
              <w:spacing w:line="240" w:lineRule="auto"/>
            </w:pPr>
            <w:r/>
            <w:r>
              <w:rPr>
                <w:sz w:val="15"/>
              </w:rPr>
              <w:t>$1,245</w:t>
            </w:r>
          </w:p>
        </w:tc>
        <w:tc>
          <w:tcPr>
            <w:tcW w:type="dxa" w:w="792"/>
          </w:tcPr>
          <w:p>
            <w:pPr>
              <w:spacing w:line="240" w:lineRule="auto"/>
            </w:pPr>
            <w:r/>
            <w:r>
              <w:rPr>
                <w:sz w:val="15"/>
              </w:rPr>
              <w:t>1.47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SC-05</w:t>
            </w:r>
          </w:p>
        </w:tc>
        <w:tc>
          <w:tcPr>
            <w:tcW w:type="dxa" w:w="1368"/>
          </w:tcPr>
          <w:p>
            <w:pPr>
              <w:spacing w:line="240" w:lineRule="auto"/>
            </w:pPr>
            <w:r/>
            <w:r>
              <w:rPr>
                <w:sz w:val="15"/>
              </w:rPr>
              <w:t>New York</w:t>
            </w:r>
          </w:p>
        </w:tc>
        <w:tc>
          <w:tcPr>
            <w:tcW w:type="dxa" w:w="720"/>
          </w:tcPr>
          <w:p>
            <w:pPr>
              <w:spacing w:line="240" w:lineRule="auto"/>
            </w:pPr>
            <w:r/>
            <w:r>
              <w:rPr>
                <w:sz w:val="15"/>
              </w:rPr>
              <w:t>$300</w:t>
            </w:r>
          </w:p>
        </w:tc>
        <w:tc>
          <w:tcPr>
            <w:tcW w:type="dxa" w:w="648"/>
          </w:tcPr>
          <w:p>
            <w:pPr>
              <w:spacing w:line="240" w:lineRule="auto"/>
            </w:pPr>
            <w:r/>
            <w:r>
              <w:rPr>
                <w:sz w:val="15"/>
              </w:rPr>
              <w:t>7</w:t>
            </w:r>
          </w:p>
        </w:tc>
        <w:tc>
          <w:tcPr>
            <w:tcW w:type="dxa" w:w="792"/>
          </w:tcPr>
          <w:p>
            <w:pPr>
              <w:spacing w:line="240" w:lineRule="auto"/>
            </w:pPr>
            <w:r/>
            <w:r>
              <w:rPr>
                <w:sz w:val="15"/>
              </w:rPr>
              <w:t>1</w:t>
            </w:r>
          </w:p>
        </w:tc>
        <w:tc>
          <w:tcPr>
            <w:tcW w:type="dxa" w:w="792"/>
          </w:tcPr>
          <w:p>
            <w:pPr>
              <w:spacing w:line="240" w:lineRule="auto"/>
            </w:pPr>
            <w:r/>
            <w:r>
              <w:rPr>
                <w:sz w:val="15"/>
              </w:rPr>
              <w:t>$1,131</w:t>
            </w:r>
          </w:p>
        </w:tc>
        <w:tc>
          <w:tcPr>
            <w:tcW w:type="dxa" w:w="1008"/>
          </w:tcPr>
          <w:p>
            <w:pPr>
              <w:spacing w:line="240" w:lineRule="auto"/>
            </w:pPr>
            <w:r/>
            <w:r>
              <w:rPr>
                <w:sz w:val="15"/>
              </w:rPr>
              <w:t>$2,930</w:t>
            </w:r>
          </w:p>
        </w:tc>
        <w:tc>
          <w:tcPr>
            <w:tcW w:type="dxa" w:w="792"/>
          </w:tcPr>
          <w:p>
            <w:pPr>
              <w:spacing w:line="240" w:lineRule="auto"/>
            </w:pPr>
            <w:r/>
            <w:r>
              <w:rPr>
                <w:sz w:val="15"/>
              </w:rPr>
              <w:t>0.27</w:t>
            </w:r>
          </w:p>
        </w:tc>
        <w:tc>
          <w:tcPr>
            <w:tcW w:type="dxa" w:w="1152"/>
          </w:tcPr>
          <w:p>
            <w:pPr>
              <w:spacing w:line="240" w:lineRule="auto"/>
            </w:pPr>
            <w:r/>
            <w:r>
              <w:rPr>
                <w:sz w:val="15"/>
              </w:rPr>
              <w:t>impossible</w:t>
            </w:r>
          </w:p>
        </w:tc>
        <w:tc>
          <w:tcPr>
            <w:tcW w:type="dxa" w:w="648"/>
          </w:tcPr>
          <w:p>
            <w:pPr>
              <w:spacing w:line="240" w:lineRule="auto"/>
            </w:pPr>
            <w:r/>
            <w:r>
              <w:rPr>
                <w:sz w:val="15"/>
              </w:rPr>
              <w:t>yes</w:t>
            </w:r>
          </w:p>
        </w:tc>
      </w:tr>
      <w:tr>
        <w:tc>
          <w:tcPr>
            <w:tcW w:type="dxa" w:w="864"/>
          </w:tcPr>
          <w:p>
            <w:pPr>
              <w:spacing w:line="240" w:lineRule="auto"/>
            </w:pPr>
            <w:r/>
            <w:r>
              <w:rPr>
                <w:sz w:val="15"/>
              </w:rPr>
              <w:t>SC-06</w:t>
            </w:r>
          </w:p>
        </w:tc>
        <w:tc>
          <w:tcPr>
            <w:tcW w:type="dxa" w:w="1368"/>
          </w:tcPr>
          <w:p>
            <w:pPr>
              <w:spacing w:line="240" w:lineRule="auto"/>
            </w:pPr>
            <w:r/>
            <w:r>
              <w:rPr>
                <w:sz w:val="15"/>
              </w:rPr>
              <w:t>London</w:t>
            </w:r>
          </w:p>
        </w:tc>
        <w:tc>
          <w:tcPr>
            <w:tcW w:type="dxa" w:w="720"/>
          </w:tcPr>
          <w:p>
            <w:pPr>
              <w:spacing w:line="240" w:lineRule="auto"/>
            </w:pPr>
            <w:r/>
            <w:r>
              <w:rPr>
                <w:sz w:val="15"/>
              </w:rPr>
              <w:t>$3,500</w:t>
            </w:r>
          </w:p>
        </w:tc>
        <w:tc>
          <w:tcPr>
            <w:tcW w:type="dxa" w:w="648"/>
          </w:tcPr>
          <w:p>
            <w:pPr>
              <w:spacing w:line="240" w:lineRule="auto"/>
            </w:pPr>
            <w:r/>
            <w:r>
              <w:rPr>
                <w:sz w:val="15"/>
              </w:rPr>
              <w:t>9</w:t>
            </w:r>
          </w:p>
        </w:tc>
        <w:tc>
          <w:tcPr>
            <w:tcW w:type="dxa" w:w="792"/>
          </w:tcPr>
          <w:p>
            <w:pPr>
              <w:spacing w:line="240" w:lineRule="auto"/>
            </w:pPr>
            <w:r/>
            <w:r>
              <w:rPr>
                <w:sz w:val="15"/>
              </w:rPr>
              <w:t>2</w:t>
            </w:r>
          </w:p>
        </w:tc>
        <w:tc>
          <w:tcPr>
            <w:tcW w:type="dxa" w:w="792"/>
          </w:tcPr>
          <w:p>
            <w:pPr>
              <w:spacing w:line="240" w:lineRule="auto"/>
            </w:pPr>
            <w:r/>
            <w:r>
              <w:rPr>
                <w:sz w:val="15"/>
              </w:rPr>
              <w:t>$2,145</w:t>
            </w:r>
          </w:p>
        </w:tc>
        <w:tc>
          <w:tcPr>
            <w:tcW w:type="dxa" w:w="1008"/>
          </w:tcPr>
          <w:p>
            <w:pPr>
              <w:spacing w:line="240" w:lineRule="auto"/>
            </w:pPr>
            <w:r/>
            <w:r>
              <w:rPr>
                <w:sz w:val="15"/>
              </w:rPr>
              <w:t>$5,440</w:t>
            </w:r>
          </w:p>
        </w:tc>
        <w:tc>
          <w:tcPr>
            <w:tcW w:type="dxa" w:w="792"/>
          </w:tcPr>
          <w:p>
            <w:pPr>
              <w:spacing w:line="240" w:lineRule="auto"/>
            </w:pPr>
            <w:r/>
            <w:r>
              <w:rPr>
                <w:sz w:val="15"/>
              </w:rPr>
              <w:t>1.63</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SC-07</w:t>
            </w:r>
          </w:p>
        </w:tc>
        <w:tc>
          <w:tcPr>
            <w:tcW w:type="dxa" w:w="1368"/>
          </w:tcPr>
          <w:p>
            <w:pPr>
              <w:spacing w:line="240" w:lineRule="auto"/>
            </w:pPr>
            <w:r/>
            <w:r>
              <w:rPr>
                <w:sz w:val="15"/>
              </w:rPr>
              <w:t>Dubai</w:t>
            </w:r>
          </w:p>
        </w:tc>
        <w:tc>
          <w:tcPr>
            <w:tcW w:type="dxa" w:w="720"/>
          </w:tcPr>
          <w:p>
            <w:pPr>
              <w:spacing w:line="240" w:lineRule="auto"/>
            </w:pPr>
            <w:r/>
            <w:r>
              <w:rPr>
                <w:sz w:val="15"/>
              </w:rPr>
              <w:t>$4,000</w:t>
            </w:r>
          </w:p>
        </w:tc>
        <w:tc>
          <w:tcPr>
            <w:tcW w:type="dxa" w:w="648"/>
          </w:tcPr>
          <w:p>
            <w:pPr>
              <w:spacing w:line="240" w:lineRule="auto"/>
            </w:pPr>
            <w:r/>
            <w:r>
              <w:rPr>
                <w:sz w:val="15"/>
              </w:rPr>
              <w:t>5</w:t>
            </w:r>
          </w:p>
        </w:tc>
        <w:tc>
          <w:tcPr>
            <w:tcW w:type="dxa" w:w="792"/>
          </w:tcPr>
          <w:p>
            <w:pPr>
              <w:spacing w:line="240" w:lineRule="auto"/>
            </w:pPr>
            <w:r/>
            <w:r>
              <w:rPr>
                <w:sz w:val="15"/>
              </w:rPr>
              <w:t>2</w:t>
            </w:r>
          </w:p>
        </w:tc>
        <w:tc>
          <w:tcPr>
            <w:tcW w:type="dxa" w:w="792"/>
          </w:tcPr>
          <w:p>
            <w:pPr>
              <w:spacing w:line="240" w:lineRule="auto"/>
            </w:pPr>
            <w:r/>
            <w:r>
              <w:rPr>
                <w:sz w:val="15"/>
              </w:rPr>
              <w:t>$738</w:t>
            </w:r>
          </w:p>
        </w:tc>
        <w:tc>
          <w:tcPr>
            <w:tcW w:type="dxa" w:w="1008"/>
          </w:tcPr>
          <w:p>
            <w:pPr>
              <w:spacing w:line="240" w:lineRule="auto"/>
            </w:pPr>
            <w:r/>
            <w:r>
              <w:rPr>
                <w:sz w:val="15"/>
              </w:rPr>
              <w:t>$2,005</w:t>
            </w:r>
          </w:p>
        </w:tc>
        <w:tc>
          <w:tcPr>
            <w:tcW w:type="dxa" w:w="792"/>
          </w:tcPr>
          <w:p>
            <w:pPr>
              <w:spacing w:line="240" w:lineRule="auto"/>
            </w:pPr>
            <w:r/>
            <w:r>
              <w:rPr>
                <w:sz w:val="15"/>
              </w:rPr>
              <w:t>5.42</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SC-08</w:t>
            </w:r>
          </w:p>
        </w:tc>
        <w:tc>
          <w:tcPr>
            <w:tcW w:type="dxa" w:w="1368"/>
          </w:tcPr>
          <w:p>
            <w:pPr>
              <w:spacing w:line="240" w:lineRule="auto"/>
            </w:pPr>
            <w:r/>
            <w:r>
              <w:rPr>
                <w:sz w:val="15"/>
              </w:rPr>
              <w:t>Kuala Lumpur</w:t>
            </w:r>
          </w:p>
        </w:tc>
        <w:tc>
          <w:tcPr>
            <w:tcW w:type="dxa" w:w="720"/>
          </w:tcPr>
          <w:p>
            <w:pPr>
              <w:spacing w:line="240" w:lineRule="auto"/>
            </w:pPr>
            <w:r/>
            <w:r>
              <w:rPr>
                <w:sz w:val="15"/>
              </w:rPr>
              <w:t>$900</w:t>
            </w:r>
          </w:p>
        </w:tc>
        <w:tc>
          <w:tcPr>
            <w:tcW w:type="dxa" w:w="648"/>
          </w:tcPr>
          <w:p>
            <w:pPr>
              <w:spacing w:line="240" w:lineRule="auto"/>
            </w:pPr>
            <w:r/>
            <w:r>
              <w:rPr>
                <w:sz w:val="15"/>
              </w:rPr>
              <w:t>7</w:t>
            </w:r>
          </w:p>
        </w:tc>
        <w:tc>
          <w:tcPr>
            <w:tcW w:type="dxa" w:w="792"/>
          </w:tcPr>
          <w:p>
            <w:pPr>
              <w:spacing w:line="240" w:lineRule="auto"/>
            </w:pPr>
            <w:r/>
            <w:r>
              <w:rPr>
                <w:sz w:val="15"/>
              </w:rPr>
              <w:t>1</w:t>
            </w:r>
          </w:p>
        </w:tc>
        <w:tc>
          <w:tcPr>
            <w:tcW w:type="dxa" w:w="792"/>
          </w:tcPr>
          <w:p>
            <w:pPr>
              <w:spacing w:line="240" w:lineRule="auto"/>
            </w:pPr>
            <w:r/>
            <w:r>
              <w:rPr>
                <w:sz w:val="15"/>
              </w:rPr>
              <w:t>$522</w:t>
            </w:r>
          </w:p>
        </w:tc>
        <w:tc>
          <w:tcPr>
            <w:tcW w:type="dxa" w:w="1008"/>
          </w:tcPr>
          <w:p>
            <w:pPr>
              <w:spacing w:line="240" w:lineRule="auto"/>
            </w:pPr>
            <w:r/>
            <w:r>
              <w:rPr>
                <w:sz w:val="15"/>
              </w:rPr>
              <w:t>$1,445</w:t>
            </w:r>
          </w:p>
        </w:tc>
        <w:tc>
          <w:tcPr>
            <w:tcW w:type="dxa" w:w="792"/>
          </w:tcPr>
          <w:p>
            <w:pPr>
              <w:spacing w:line="240" w:lineRule="auto"/>
            </w:pPr>
            <w:r/>
            <w:r>
              <w:rPr>
                <w:sz w:val="15"/>
              </w:rPr>
              <w:t>1.72</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SC-09</w:t>
            </w:r>
          </w:p>
        </w:tc>
        <w:tc>
          <w:tcPr>
            <w:tcW w:type="dxa" w:w="1368"/>
          </w:tcPr>
          <w:p>
            <w:pPr>
              <w:spacing w:line="240" w:lineRule="auto"/>
            </w:pPr>
            <w:r/>
            <w:r>
              <w:rPr>
                <w:sz w:val="15"/>
              </w:rPr>
              <w:t>Jeddah</w:t>
            </w:r>
          </w:p>
        </w:tc>
        <w:tc>
          <w:tcPr>
            <w:tcW w:type="dxa" w:w="720"/>
          </w:tcPr>
          <w:p>
            <w:pPr>
              <w:spacing w:line="240" w:lineRule="auto"/>
            </w:pPr>
            <w:r/>
            <w:r>
              <w:rPr>
                <w:sz w:val="15"/>
              </w:rPr>
              <w:t>$1,500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$444</w:t>
            </w:r>
          </w:p>
        </w:tc>
        <w:tc>
          <w:tcPr>
            <w:tcW w:type="dxa" w:w="1008"/>
          </w:tcPr>
          <w:p>
            <w:pPr>
              <w:spacing w:line="240" w:lineRule="auto"/>
            </w:pPr>
            <w:r/>
            <w:r>
              <w:rPr>
                <w:sz w:val="15"/>
              </w:rPr>
              <w:t>$1,265</w:t>
            </w:r>
          </w:p>
        </w:tc>
        <w:tc>
          <w:tcPr>
            <w:tcW w:type="dxa" w:w="792"/>
          </w:tcPr>
          <w:p>
            <w:pPr>
              <w:spacing w:line="240" w:lineRule="auto"/>
            </w:pPr>
            <w:r/>
            <w:r>
              <w:rPr>
                <w:sz w:val="15"/>
              </w:rPr>
              <w:t>3.38</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SC-10</w:t>
            </w:r>
          </w:p>
        </w:tc>
        <w:tc>
          <w:tcPr>
            <w:tcW w:type="dxa" w:w="1368"/>
          </w:tcPr>
          <w:p>
            <w:pPr>
              <w:spacing w:line="240" w:lineRule="auto"/>
            </w:pPr>
            <w:r/>
            <w:r>
              <w:rPr>
                <w:sz w:val="15"/>
              </w:rPr>
              <w:t>Istanbul</w:t>
            </w:r>
          </w:p>
        </w:tc>
        <w:tc>
          <w:tcPr>
            <w:tcW w:type="dxa" w:w="720"/>
          </w:tcPr>
          <w:p>
            <w:pPr>
              <w:spacing w:line="240" w:lineRule="auto"/>
            </w:pPr>
            <w:r/>
            <w:r>
              <w:rPr>
                <w:sz w:val="15"/>
              </w:rPr>
              <w:t>$1,200</w:t>
            </w:r>
          </w:p>
        </w:tc>
        <w:tc>
          <w:tcPr>
            <w:tcW w:type="dxa" w:w="648"/>
          </w:tcPr>
          <w:p>
            <w:pPr>
              <w:spacing w:line="240" w:lineRule="auto"/>
            </w:pPr>
            <w:r/>
            <w:r>
              <w:rPr>
                <w:sz w:val="15"/>
              </w:rPr>
              <w:t>6</w:t>
            </w:r>
          </w:p>
        </w:tc>
        <w:tc>
          <w:tcPr>
            <w:tcW w:type="dxa" w:w="792"/>
          </w:tcPr>
          <w:p>
            <w:pPr>
              <w:spacing w:line="240" w:lineRule="auto"/>
            </w:pPr>
            <w:r/>
            <w:r>
              <w:rPr>
                <w:sz w:val="15"/>
              </w:rPr>
              <w:t>1</w:t>
            </w:r>
          </w:p>
        </w:tc>
        <w:tc>
          <w:tcPr>
            <w:tcW w:type="dxa" w:w="792"/>
          </w:tcPr>
          <w:p>
            <w:pPr>
              <w:spacing w:line="240" w:lineRule="auto"/>
            </w:pPr>
            <w:r/>
            <w:r>
              <w:rPr>
                <w:sz w:val="15"/>
              </w:rPr>
              <w:t>$499</w:t>
            </w:r>
          </w:p>
        </w:tc>
        <w:tc>
          <w:tcPr>
            <w:tcW w:type="dxa" w:w="1008"/>
          </w:tcPr>
          <w:p>
            <w:pPr>
              <w:spacing w:line="240" w:lineRule="auto"/>
            </w:pPr>
            <w:r/>
            <w:r>
              <w:rPr>
                <w:sz w:val="15"/>
              </w:rPr>
              <w:t>$1,345</w:t>
            </w:r>
          </w:p>
        </w:tc>
        <w:tc>
          <w:tcPr>
            <w:tcW w:type="dxa" w:w="792"/>
          </w:tcPr>
          <w:p>
            <w:pPr>
              <w:spacing w:line="240" w:lineRule="auto"/>
            </w:pPr>
            <w:r/>
            <w:r>
              <w:rPr>
                <w:sz w:val="15"/>
              </w:rPr>
              <w:t>2.40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SC-11</w:t>
            </w:r>
          </w:p>
        </w:tc>
        <w:tc>
          <w:tcPr>
            <w:tcW w:type="dxa" w:w="1368"/>
          </w:tcPr>
          <w:p>
            <w:pPr>
              <w:spacing w:line="240" w:lineRule="auto"/>
            </w:pPr>
            <w:r/>
            <w:r>
              <w:rPr>
                <w:sz w:val="15"/>
              </w:rPr>
              <w:t>Bangkok</w:t>
            </w:r>
          </w:p>
        </w:tc>
        <w:tc>
          <w:tcPr>
            <w:tcW w:type="dxa" w:w="720"/>
          </w:tcPr>
          <w:p>
            <w:pPr>
              <w:spacing w:line="240" w:lineRule="auto"/>
            </w:pPr>
            <w:r/>
            <w:r>
              <w:rPr>
                <w:sz w:val="15"/>
              </w:rPr>
              <w:t>$1,500</w:t>
            </w:r>
          </w:p>
        </w:tc>
        <w:tc>
          <w:tcPr>
            <w:tcW w:type="dxa" w:w="648"/>
          </w:tcPr>
          <w:p>
            <w:pPr>
              <w:spacing w:line="240" w:lineRule="auto"/>
            </w:pPr>
            <w:r/>
            <w:r>
              <w:rPr>
                <w:sz w:val="15"/>
              </w:rPr>
              <w:t>6</w:t>
            </w:r>
          </w:p>
        </w:tc>
        <w:tc>
          <w:tcPr>
            <w:tcW w:type="dxa" w:w="792"/>
          </w:tcPr>
          <w:p>
            <w:pPr>
              <w:spacing w:line="240" w:lineRule="auto"/>
            </w:pPr>
            <w:r/>
            <w:r>
              <w:rPr>
                <w:sz w:val="15"/>
              </w:rPr>
              <w:t>1</w:t>
            </w:r>
          </w:p>
        </w:tc>
        <w:tc>
          <w:tcPr>
            <w:tcW w:type="dxa" w:w="792"/>
          </w:tcPr>
          <w:p>
            <w:pPr>
              <w:spacing w:line="240" w:lineRule="auto"/>
            </w:pPr>
            <w:r/>
            <w:r>
              <w:rPr>
                <w:sz w:val="15"/>
              </w:rPr>
              <w:t>$499</w:t>
            </w:r>
          </w:p>
        </w:tc>
        <w:tc>
          <w:tcPr>
            <w:tcW w:type="dxa" w:w="1008"/>
          </w:tcPr>
          <w:p>
            <w:pPr>
              <w:spacing w:line="240" w:lineRule="auto"/>
            </w:pPr>
            <w:r/>
            <w:r>
              <w:rPr>
                <w:sz w:val="15"/>
              </w:rPr>
              <w:t>$1,345</w:t>
            </w:r>
          </w:p>
        </w:tc>
        <w:tc>
          <w:tcPr>
            <w:tcW w:type="dxa" w:w="792"/>
          </w:tcPr>
          <w:p>
            <w:pPr>
              <w:spacing w:line="240" w:lineRule="auto"/>
            </w:pPr>
            <w:r/>
            <w:r>
              <w:rPr>
                <w:sz w:val="15"/>
              </w:rPr>
              <w:t>3.01</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SC-12</w:t>
            </w:r>
          </w:p>
        </w:tc>
        <w:tc>
          <w:tcPr>
            <w:tcW w:type="dxa" w:w="1368"/>
          </w:tcPr>
          <w:p>
            <w:pPr>
              <w:spacing w:line="240" w:lineRule="auto"/>
            </w:pPr>
            <w:r/>
            <w:r>
              <w:rPr>
                <w:sz w:val="15"/>
              </w:rPr>
              <w:t>Dubai</w:t>
            </w:r>
          </w:p>
        </w:tc>
        <w:tc>
          <w:tcPr>
            <w:tcW w:type="dxa" w:w="720"/>
          </w:tcPr>
          <w:p>
            <w:pPr>
              <w:spacing w:line="240" w:lineRule="auto"/>
            </w:pPr>
            <w:r/>
            <w:r>
              <w:rPr>
                <w:sz w:val="15"/>
              </w:rPr>
              <w:t>$3,500</w:t>
            </w:r>
          </w:p>
        </w:tc>
        <w:tc>
          <w:tcPr>
            <w:tcW w:type="dxa" w:w="648"/>
          </w:tcPr>
          <w:p>
            <w:pPr>
              <w:spacing w:line="240" w:lineRule="auto"/>
            </w:pPr>
            <w:r/>
            <w:r>
              <w:rPr>
                <w:sz w:val="15"/>
              </w:rPr>
              <w:t>7</w:t>
            </w:r>
          </w:p>
        </w:tc>
        <w:tc>
          <w:tcPr>
            <w:tcW w:type="dxa" w:w="792"/>
          </w:tcPr>
          <w:p>
            <w:pPr>
              <w:spacing w:line="240" w:lineRule="auto"/>
            </w:pPr>
            <w:r/>
            <w:r>
              <w:rPr>
                <w:sz w:val="15"/>
              </w:rPr>
              <w:t>4</w:t>
            </w:r>
          </w:p>
        </w:tc>
        <w:tc>
          <w:tcPr>
            <w:tcW w:type="dxa" w:w="792"/>
          </w:tcPr>
          <w:p>
            <w:pPr>
              <w:spacing w:line="240" w:lineRule="auto"/>
            </w:pPr>
            <w:r/>
            <w:r>
              <w:rPr>
                <w:sz w:val="15"/>
              </w:rPr>
              <w:t>$1,748</w:t>
            </w:r>
          </w:p>
        </w:tc>
        <w:tc>
          <w:tcPr>
            <w:tcW w:type="dxa" w:w="1008"/>
          </w:tcPr>
          <w:p>
            <w:pPr>
              <w:spacing w:line="240" w:lineRule="auto"/>
            </w:pPr>
            <w:r/>
            <w:r>
              <w:rPr>
                <w:sz w:val="15"/>
              </w:rPr>
              <w:t>$4,990</w:t>
            </w:r>
          </w:p>
        </w:tc>
        <w:tc>
          <w:tcPr>
            <w:tcW w:type="dxa" w:w="792"/>
          </w:tcPr>
          <w:p>
            <w:pPr>
              <w:spacing w:line="240" w:lineRule="auto"/>
            </w:pPr>
            <w:r/>
            <w:r>
              <w:rPr>
                <w:sz w:val="15"/>
              </w:rPr>
              <w:t>2.00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SC-13</w:t>
            </w:r>
          </w:p>
        </w:tc>
        <w:tc>
          <w:tcPr>
            <w:tcW w:type="dxa" w:w="1368"/>
          </w:tcPr>
          <w:p>
            <w:pPr>
              <w:spacing w:line="240" w:lineRule="auto"/>
            </w:pPr>
            <w:r/>
            <w:r>
              <w:rPr>
                <w:sz w:val="15"/>
              </w:rPr>
              <w:t>Male</w:t>
            </w:r>
          </w:p>
        </w:tc>
        <w:tc>
          <w:tcPr>
            <w:tcW w:type="dxa" w:w="720"/>
          </w:tcPr>
          <w:p>
            <w:pPr>
              <w:spacing w:line="240" w:lineRule="auto"/>
            </w:pPr>
            <w:r/>
            <w:r>
              <w:rPr>
                <w:sz w:val="15"/>
              </w:rPr>
              <w:t>$5,000</w:t>
            </w:r>
          </w:p>
        </w:tc>
        <w:tc>
          <w:tcPr>
            <w:tcW w:type="dxa" w:w="648"/>
          </w:tcPr>
          <w:p>
            <w:pPr>
              <w:spacing w:line="240" w:lineRule="auto"/>
            </w:pPr>
            <w:r/>
            <w:r>
              <w:rPr>
                <w:sz w:val="15"/>
              </w:rPr>
              <w:t>5</w:t>
            </w:r>
          </w:p>
        </w:tc>
        <w:tc>
          <w:tcPr>
            <w:tcW w:type="dxa" w:w="792"/>
          </w:tcPr>
          <w:p>
            <w:pPr>
              <w:spacing w:line="240" w:lineRule="auto"/>
            </w:pPr>
            <w:r/>
            <w:r>
              <w:rPr>
                <w:sz w:val="15"/>
              </w:rPr>
              <w:t>2</w:t>
            </w:r>
          </w:p>
        </w:tc>
        <w:tc>
          <w:tcPr>
            <w:tcW w:type="dxa" w:w="792"/>
          </w:tcPr>
          <w:p>
            <w:pPr>
              <w:spacing w:line="240" w:lineRule="auto"/>
            </w:pPr>
            <w:r/>
            <w:r>
              <w:rPr>
                <w:sz w:val="15"/>
              </w:rPr>
              <w:t>$1,249</w:t>
            </w:r>
          </w:p>
        </w:tc>
        <w:tc>
          <w:tcPr>
            <w:tcW w:type="dxa" w:w="1008"/>
          </w:tcPr>
          <w:p>
            <w:pPr>
              <w:spacing w:line="240" w:lineRule="auto"/>
            </w:pPr>
            <w:r/>
            <w:r>
              <w:rPr>
                <w:sz w:val="15"/>
              </w:rPr>
              <w:t>$3,340</w:t>
            </w:r>
          </w:p>
        </w:tc>
        <w:tc>
          <w:tcPr>
            <w:tcW w:type="dxa" w:w="792"/>
          </w:tcPr>
          <w:p>
            <w:pPr>
              <w:spacing w:line="240" w:lineRule="auto"/>
            </w:pPr>
            <w:r/>
            <w:r>
              <w:rPr>
                <w:sz w:val="15"/>
              </w:rPr>
              <w:t>4.00</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SC-14</w:t>
            </w:r>
          </w:p>
        </w:tc>
        <w:tc>
          <w:tcPr>
            <w:tcW w:type="dxa" w:w="1368"/>
          </w:tcPr>
          <w:p>
            <w:pPr>
              <w:spacing w:line="240" w:lineRule="auto"/>
            </w:pPr>
            <w:r/>
            <w:r>
              <w:rPr>
                <w:sz w:val="15"/>
              </w:rPr>
              <w:t>Istanbul</w:t>
            </w:r>
          </w:p>
        </w:tc>
        <w:tc>
          <w:tcPr>
            <w:tcW w:type="dxa" w:w="720"/>
          </w:tcPr>
          <w:p>
            <w:pPr>
              <w:spacing w:line="240" w:lineRule="auto"/>
            </w:pPr>
            <w:r/>
            <w:r>
              <w:rPr>
                <w:sz w:val="15"/>
              </w:rPr>
              <w:t>$2,000</w:t>
            </w:r>
          </w:p>
        </w:tc>
        <w:tc>
          <w:tcPr>
            <w:tcW w:type="dxa" w:w="648"/>
          </w:tcPr>
          <w:p>
            <w:pPr>
              <w:spacing w:line="240" w:lineRule="auto"/>
            </w:pPr>
            <w:r/>
            <w:r>
              <w:rPr>
                <w:sz w:val="15"/>
              </w:rPr>
              <w:t>6</w:t>
            </w:r>
          </w:p>
        </w:tc>
        <w:tc>
          <w:tcPr>
            <w:tcW w:type="dxa" w:w="792"/>
          </w:tcPr>
          <w:p>
            <w:pPr>
              <w:spacing w:line="240" w:lineRule="auto"/>
            </w:pPr>
            <w:r/>
            <w:r>
              <w:rPr>
                <w:sz w:val="15"/>
              </w:rPr>
              <w:t>3</w:t>
            </w:r>
          </w:p>
        </w:tc>
        <w:tc>
          <w:tcPr>
            <w:tcW w:type="dxa" w:w="792"/>
          </w:tcPr>
          <w:p>
            <w:pPr>
              <w:spacing w:line="240" w:lineRule="auto"/>
            </w:pPr>
            <w:r/>
            <w:r>
              <w:rPr>
                <w:sz w:val="15"/>
              </w:rPr>
              <w:t>$1,425</w:t>
            </w:r>
          </w:p>
        </w:tc>
        <w:tc>
          <w:tcPr>
            <w:tcW w:type="dxa" w:w="1008"/>
          </w:tcPr>
          <w:p>
            <w:pPr>
              <w:spacing w:line="240" w:lineRule="auto"/>
            </w:pPr>
            <w:r/>
            <w:r>
              <w:rPr>
                <w:sz w:val="15"/>
              </w:rPr>
              <w:t>$3,705</w:t>
            </w:r>
          </w:p>
        </w:tc>
        <w:tc>
          <w:tcPr>
            <w:tcW w:type="dxa" w:w="792"/>
          </w:tcPr>
          <w:p>
            <w:pPr>
              <w:spacing w:line="240" w:lineRule="auto"/>
            </w:pPr>
            <w:r/>
            <w:r>
              <w:rPr>
                <w:sz w:val="15"/>
              </w:rPr>
              <w:t>1.40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SC-15</w:t>
            </w:r>
          </w:p>
        </w:tc>
        <w:tc>
          <w:tcPr>
            <w:tcW w:type="dxa" w:w="1368"/>
          </w:tcPr>
          <w:p>
            <w:pPr>
              <w:spacing w:line="240" w:lineRule="auto"/>
            </w:pPr>
            <w:r/>
            <w:r>
              <w:rPr>
                <w:sz w:val="15"/>
              </w:rPr>
              <w:t>Dubai</w:t>
            </w:r>
          </w:p>
        </w:tc>
        <w:tc>
          <w:tcPr>
            <w:tcW w:type="dxa" w:w="720"/>
          </w:tcPr>
          <w:p>
            <w:pPr>
              <w:spacing w:line="240" w:lineRule="auto"/>
            </w:pPr>
            <w:r/>
            <w:r>
              <w:rPr>
                <w:sz w:val="15"/>
              </w:rPr>
              <w:t>$1,000</w:t>
            </w:r>
          </w:p>
        </w:tc>
        <w:tc>
          <w:tcPr>
            <w:tcW w:type="dxa" w:w="648"/>
          </w:tcPr>
          <w:p>
            <w:pPr>
              <w:spacing w:line="240" w:lineRule="auto"/>
            </w:pPr>
            <w:r/>
            <w:r>
              <w:rPr>
                <w:sz w:val="15"/>
              </w:rPr>
              <w:t>3</w:t>
            </w:r>
          </w:p>
        </w:tc>
        <w:tc>
          <w:tcPr>
            <w:tcW w:type="dxa" w:w="792"/>
          </w:tcPr>
          <w:p>
            <w:pPr>
              <w:spacing w:line="240" w:lineRule="auto"/>
            </w:pPr>
            <w:r/>
            <w:r>
              <w:rPr>
                <w:sz w:val="15"/>
              </w:rPr>
              <w:t>1</w:t>
            </w:r>
          </w:p>
        </w:tc>
        <w:tc>
          <w:tcPr>
            <w:tcW w:type="dxa" w:w="792"/>
          </w:tcPr>
          <w:p>
            <w:pPr>
              <w:spacing w:line="240" w:lineRule="auto"/>
            </w:pPr>
            <w:r/>
            <w:r>
              <w:rPr>
                <w:sz w:val="15"/>
              </w:rPr>
              <w:t>$346</w:t>
            </w:r>
          </w:p>
        </w:tc>
        <w:tc>
          <w:tcPr>
            <w:tcW w:type="dxa" w:w="1008"/>
          </w:tcPr>
          <w:p>
            <w:pPr>
              <w:spacing w:line="240" w:lineRule="auto"/>
            </w:pPr>
            <w:r/>
            <w:r>
              <w:rPr>
                <w:sz w:val="15"/>
              </w:rPr>
              <w:t>$915</w:t>
            </w:r>
          </w:p>
        </w:tc>
        <w:tc>
          <w:tcPr>
            <w:tcW w:type="dxa" w:w="792"/>
          </w:tcPr>
          <w:p>
            <w:pPr>
              <w:spacing w:line="240" w:lineRule="auto"/>
            </w:pPr>
            <w:r/>
            <w:r>
              <w:rPr>
                <w:sz w:val="15"/>
              </w:rPr>
              <w:t>2.89</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SC-16</w:t>
            </w:r>
          </w:p>
        </w:tc>
        <w:tc>
          <w:tcPr>
            <w:tcW w:type="dxa" w:w="1368"/>
          </w:tcPr>
          <w:p>
            <w:pPr>
              <w:spacing w:line="240" w:lineRule="auto"/>
            </w:pPr>
            <w:r/>
            <w:r>
              <w:rPr>
                <w:sz w:val="15"/>
              </w:rPr>
              <w:t>Kuala Lumpur</w:t>
            </w:r>
          </w:p>
        </w:tc>
        <w:tc>
          <w:tcPr>
            <w:tcW w:type="dxa" w:w="720"/>
          </w:tcPr>
          <w:p>
            <w:pPr>
              <w:spacing w:line="240" w:lineRule="auto"/>
            </w:pPr>
            <w:r/>
            <w:r>
              <w:rPr>
                <w:sz w:val="15"/>
              </w:rPr>
              <w:t>$2,000</w:t>
            </w:r>
          </w:p>
        </w:tc>
        <w:tc>
          <w:tcPr>
            <w:tcW w:type="dxa" w:w="648"/>
          </w:tcPr>
          <w:p>
            <w:pPr>
              <w:spacing w:line="240" w:lineRule="auto"/>
            </w:pPr>
            <w:r/>
            <w:r>
              <w:rPr>
                <w:sz w:val="15"/>
              </w:rPr>
              <w:t>14</w:t>
            </w:r>
          </w:p>
        </w:tc>
        <w:tc>
          <w:tcPr>
            <w:tcW w:type="dxa" w:w="792"/>
          </w:tcPr>
          <w:p>
            <w:pPr>
              <w:spacing w:line="240" w:lineRule="auto"/>
            </w:pPr>
            <w:r/>
            <w:r>
              <w:rPr>
                <w:sz w:val="15"/>
              </w:rPr>
              <w:t>1</w:t>
            </w:r>
          </w:p>
        </w:tc>
        <w:tc>
          <w:tcPr>
            <w:tcW w:type="dxa" w:w="792"/>
          </w:tcPr>
          <w:p>
            <w:pPr>
              <w:spacing w:line="240" w:lineRule="auto"/>
            </w:pPr>
            <w:r/>
            <w:r>
              <w:rPr>
                <w:sz w:val="15"/>
              </w:rPr>
              <w:t>$683</w:t>
            </w:r>
          </w:p>
        </w:tc>
        <w:tc>
          <w:tcPr>
            <w:tcW w:type="dxa" w:w="1008"/>
          </w:tcPr>
          <w:p>
            <w:pPr>
              <w:spacing w:line="240" w:lineRule="auto"/>
            </w:pPr>
            <w:r/>
            <w:r>
              <w:rPr>
                <w:sz w:val="15"/>
              </w:rPr>
              <w:t>$2,145</w:t>
            </w:r>
          </w:p>
        </w:tc>
        <w:tc>
          <w:tcPr>
            <w:tcW w:type="dxa" w:w="792"/>
          </w:tcPr>
          <w:p>
            <w:pPr>
              <w:spacing w:line="240" w:lineRule="auto"/>
            </w:pPr>
            <w:r/>
            <w:r>
              <w:rPr>
                <w:sz w:val="15"/>
              </w:rPr>
              <w:t>2.93</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SC-17</w:t>
            </w:r>
          </w:p>
        </w:tc>
        <w:tc>
          <w:tcPr>
            <w:tcW w:type="dxa" w:w="1368"/>
          </w:tcPr>
          <w:p>
            <w:pPr>
              <w:spacing w:line="240" w:lineRule="auto"/>
            </w:pPr>
            <w:r/>
            <w:r>
              <w:rPr>
                <w:sz w:val="15"/>
              </w:rPr>
              <w:t>London</w:t>
            </w:r>
          </w:p>
        </w:tc>
        <w:tc>
          <w:tcPr>
            <w:tcW w:type="dxa" w:w="720"/>
          </w:tcPr>
          <w:p>
            <w:pPr>
              <w:spacing w:line="240" w:lineRule="auto"/>
            </w:pPr>
            <w:r/>
            <w:r>
              <w:rPr>
                <w:sz w:val="15"/>
              </w:rPr>
              <w:t>$2,500</w:t>
            </w:r>
          </w:p>
        </w:tc>
        <w:tc>
          <w:tcPr>
            <w:tcW w:type="dxa" w:w="648"/>
          </w:tcPr>
          <w:p>
            <w:pPr>
              <w:spacing w:line="240" w:lineRule="auto"/>
            </w:pPr>
            <w:r/>
            <w:r>
              <w:rPr>
                <w:sz w:val="15"/>
              </w:rPr>
              <w:t>4</w:t>
            </w:r>
          </w:p>
        </w:tc>
        <w:tc>
          <w:tcPr>
            <w:tcW w:type="dxa" w:w="792"/>
          </w:tcPr>
          <w:p>
            <w:pPr>
              <w:spacing w:line="240" w:lineRule="auto"/>
            </w:pPr>
            <w:r/>
            <w:r>
              <w:rPr>
                <w:sz w:val="15"/>
              </w:rPr>
              <w:t>1</w:t>
            </w:r>
          </w:p>
        </w:tc>
        <w:tc>
          <w:tcPr>
            <w:tcW w:type="dxa" w:w="792"/>
          </w:tcPr>
          <w:p>
            <w:pPr>
              <w:spacing w:line="240" w:lineRule="auto"/>
            </w:pPr>
            <w:r/>
            <w:r>
              <w:rPr>
                <w:sz w:val="15"/>
              </w:rPr>
              <w:t>$915</w:t>
            </w:r>
          </w:p>
        </w:tc>
        <w:tc>
          <w:tcPr>
            <w:tcW w:type="dxa" w:w="1008"/>
          </w:tcPr>
          <w:p>
            <w:pPr>
              <w:spacing w:line="240" w:lineRule="auto"/>
            </w:pPr>
            <w:r/>
            <w:r>
              <w:rPr>
                <w:sz w:val="15"/>
              </w:rPr>
              <w:t>$2,165</w:t>
            </w:r>
          </w:p>
        </w:tc>
        <w:tc>
          <w:tcPr>
            <w:tcW w:type="dxa" w:w="792"/>
          </w:tcPr>
          <w:p>
            <w:pPr>
              <w:spacing w:line="240" w:lineRule="auto"/>
            </w:pPr>
            <w:r/>
            <w:r>
              <w:rPr>
                <w:sz w:val="15"/>
              </w:rPr>
              <w:t>2.73</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SC-18</w:t>
            </w:r>
          </w:p>
        </w:tc>
        <w:tc>
          <w:tcPr>
            <w:tcW w:type="dxa" w:w="1368"/>
          </w:tcPr>
          <w:p>
            <w:pPr>
              <w:spacing w:line="240" w:lineRule="auto"/>
            </w:pPr>
            <w:r/>
            <w:r>
              <w:rPr>
                <w:sz w:val="15"/>
              </w:rPr>
              <w:t>Phuket</w:t>
            </w:r>
          </w:p>
        </w:tc>
        <w:tc>
          <w:tcPr>
            <w:tcW w:type="dxa" w:w="720"/>
          </w:tcPr>
          <w:p>
            <w:pPr>
              <w:spacing w:line="240" w:lineRule="auto"/>
            </w:pPr>
            <w:r/>
            <w:r>
              <w:rPr>
                <w:sz w:val="15"/>
              </w:rPr>
              <w:t>$2,000</w:t>
            </w:r>
          </w:p>
        </w:tc>
        <w:tc>
          <w:tcPr>
            <w:tcW w:type="dxa" w:w="648"/>
          </w:tcPr>
          <w:p>
            <w:pPr>
              <w:spacing w:line="240" w:lineRule="auto"/>
            </w:pPr>
            <w:r/>
            <w:r>
              <w:rPr>
                <w:sz w:val="15"/>
              </w:rPr>
              <w:t>7</w:t>
            </w:r>
          </w:p>
        </w:tc>
        <w:tc>
          <w:tcPr>
            <w:tcW w:type="dxa" w:w="792"/>
          </w:tcPr>
          <w:p>
            <w:pPr>
              <w:spacing w:line="240" w:lineRule="auto"/>
            </w:pPr>
            <w:r/>
            <w:r>
              <w:rPr>
                <w:sz w:val="15"/>
              </w:rPr>
              <w:t>2</w:t>
            </w:r>
          </w:p>
        </w:tc>
        <w:tc>
          <w:tcPr>
            <w:tcW w:type="dxa" w:w="792"/>
          </w:tcPr>
          <w:p>
            <w:pPr>
              <w:spacing w:line="240" w:lineRule="auto"/>
            </w:pPr>
            <w:r/>
            <w:r>
              <w:rPr>
                <w:sz w:val="15"/>
              </w:rPr>
              <w:t>$960</w:t>
            </w:r>
          </w:p>
        </w:tc>
        <w:tc>
          <w:tcPr>
            <w:tcW w:type="dxa" w:w="1008"/>
          </w:tcPr>
          <w:p>
            <w:pPr>
              <w:spacing w:line="240" w:lineRule="auto"/>
            </w:pPr>
            <w:r/>
            <w:r>
              <w:rPr>
                <w:sz w:val="15"/>
              </w:rPr>
              <w:t>$2,505</w:t>
            </w:r>
          </w:p>
        </w:tc>
        <w:tc>
          <w:tcPr>
            <w:tcW w:type="dxa" w:w="792"/>
          </w:tcPr>
          <w:p>
            <w:pPr>
              <w:spacing w:line="240" w:lineRule="auto"/>
            </w:pPr>
            <w:r/>
            <w:r>
              <w:rPr>
                <w:sz w:val="15"/>
              </w:rPr>
              <w:t>2.08</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SC-19</w:t>
            </w:r>
          </w:p>
        </w:tc>
        <w:tc>
          <w:tcPr>
            <w:tcW w:type="dxa" w:w="1368"/>
          </w:tcPr>
          <w:p>
            <w:pPr>
              <w:spacing w:line="240" w:lineRule="auto"/>
            </w:pPr>
            <w:r/>
            <w:r>
              <w:rPr>
                <w:sz w:val="15"/>
              </w:rPr>
              <w:t>Istanbul</w:t>
            </w:r>
          </w:p>
        </w:tc>
        <w:tc>
          <w:tcPr>
            <w:tcW w:type="dxa" w:w="720"/>
          </w:tcPr>
          <w:p>
            <w:pPr>
              <w:spacing w:line="240" w:lineRule="auto"/>
            </w:pPr>
            <w:r/>
            <w:r>
              <w:rPr>
                <w:sz w:val="15"/>
              </w:rPr>
              <w:t>$500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$476</w:t>
            </w:r>
          </w:p>
        </w:tc>
        <w:tc>
          <w:tcPr>
            <w:tcW w:type="dxa" w:w="1008"/>
          </w:tcPr>
          <w:p>
            <w:pPr>
              <w:spacing w:line="240" w:lineRule="auto"/>
            </w:pPr>
            <w:r/>
            <w:r>
              <w:rPr>
                <w:sz w:val="15"/>
              </w:rPr>
              <w:t>$1,245</w:t>
            </w:r>
          </w:p>
        </w:tc>
        <w:tc>
          <w:tcPr>
            <w:tcW w:type="dxa" w:w="792"/>
          </w:tcPr>
          <w:p>
            <w:pPr>
              <w:spacing w:line="240" w:lineRule="auto"/>
            </w:pPr>
            <w:r/>
            <w:r>
              <w:rPr>
                <w:sz w:val="15"/>
              </w:rPr>
              <w:t>1.05</w:t>
            </w:r>
          </w:p>
        </w:tc>
        <w:tc>
          <w:tcPr>
            <w:tcW w:type="dxa" w:w="1152"/>
          </w:tcPr>
          <w:p>
            <w:pPr>
              <w:spacing w:line="240" w:lineRule="auto"/>
            </w:pPr>
            <w:r/>
            <w:r>
              <w:rPr>
                <w:sz w:val="15"/>
              </w:rPr>
              <w:t>very tight</w:t>
            </w:r>
          </w:p>
        </w:tc>
        <w:tc>
          <w:tcPr>
            <w:tcW w:type="dxa" w:w="648"/>
          </w:tcPr>
          <w:p>
            <w:pPr>
              <w:spacing w:line="240" w:lineRule="auto"/>
            </w:pPr>
            <w:r/>
            <w:r>
              <w:rPr>
                <w:sz w:val="15"/>
              </w:rPr>
              <w:t>NO</w:t>
            </w:r>
          </w:p>
        </w:tc>
      </w:tr>
      <w:tr>
        <w:tc>
          <w:tcPr>
            <w:tcW w:type="dxa" w:w="864"/>
          </w:tcPr>
          <w:p>
            <w:pPr>
              <w:spacing w:line="240" w:lineRule="auto"/>
            </w:pPr>
            <w:r/>
            <w:r>
              <w:rPr>
                <w:sz w:val="15"/>
              </w:rPr>
              <w:t>SC-20</w:t>
            </w:r>
          </w:p>
        </w:tc>
        <w:tc>
          <w:tcPr>
            <w:tcW w:type="dxa" w:w="1368"/>
          </w:tcPr>
          <w:p>
            <w:pPr>
              <w:spacing w:line="240" w:lineRule="auto"/>
            </w:pPr>
            <w:r/>
            <w:r>
              <w:rPr>
                <w:sz w:val="15"/>
              </w:rPr>
              <w:t>Tokyo</w:t>
            </w:r>
          </w:p>
        </w:tc>
        <w:tc>
          <w:tcPr>
            <w:tcW w:type="dxa" w:w="720"/>
          </w:tcPr>
          <w:p>
            <w:pPr>
              <w:spacing w:line="240" w:lineRule="auto"/>
            </w:pPr>
            <w:r/>
            <w:r>
              <w:rPr>
                <w:sz w:val="15"/>
              </w:rPr>
              <w:t>$8,000</w:t>
            </w:r>
          </w:p>
        </w:tc>
        <w:tc>
          <w:tcPr>
            <w:tcW w:type="dxa" w:w="648"/>
          </w:tcPr>
          <w:p>
            <w:pPr>
              <w:spacing w:line="240" w:lineRule="auto"/>
            </w:pPr>
            <w:r/>
            <w:r>
              <w:rPr>
                <w:sz w:val="15"/>
              </w:rPr>
              <w:t>10</w:t>
            </w:r>
          </w:p>
        </w:tc>
        <w:tc>
          <w:tcPr>
            <w:tcW w:type="dxa" w:w="792"/>
          </w:tcPr>
          <w:p>
            <w:pPr>
              <w:spacing w:line="240" w:lineRule="auto"/>
            </w:pPr>
            <w:r/>
            <w:r>
              <w:rPr>
                <w:sz w:val="15"/>
              </w:rPr>
              <w:t>2</w:t>
            </w:r>
          </w:p>
        </w:tc>
        <w:tc>
          <w:tcPr>
            <w:tcW w:type="dxa" w:w="792"/>
          </w:tcPr>
          <w:p>
            <w:pPr>
              <w:spacing w:line="240" w:lineRule="auto"/>
            </w:pPr>
            <w:r/>
            <w:r>
              <w:rPr>
                <w:sz w:val="15"/>
              </w:rPr>
              <w:t>$2,244</w:t>
            </w:r>
          </w:p>
        </w:tc>
        <w:tc>
          <w:tcPr>
            <w:tcW w:type="dxa" w:w="1008"/>
          </w:tcPr>
          <w:p>
            <w:pPr>
              <w:spacing w:line="240" w:lineRule="auto"/>
            </w:pPr>
            <w:r/>
            <w:r>
              <w:rPr>
                <w:sz w:val="15"/>
              </w:rPr>
              <w:t>$5,790</w:t>
            </w:r>
          </w:p>
        </w:tc>
        <w:tc>
          <w:tcPr>
            <w:tcW w:type="dxa" w:w="792"/>
          </w:tcPr>
          <w:p>
            <w:pPr>
              <w:spacing w:line="240" w:lineRule="auto"/>
            </w:pPr>
            <w:r/>
            <w:r>
              <w:rPr>
                <w:sz w:val="15"/>
              </w:rPr>
              <w:t>3.57</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bl>
    <w:p/>
    <w:p>
      <w:pPr>
        <w:spacing w:line="240" w:lineRule="auto"/>
        <w:jc w:val="center"/>
      </w:pPr>
      <w:r>
        <w:rPr>
          <w:i/>
          <w:color w:val="52514E"/>
          <w:sz w:val="19"/>
        </w:rPr>
        <w:t>Table C.2: Agreement statistics for the feasibility gate.</w:t>
      </w:r>
    </w:p>
    <w:tbl>
      <w:tblPr>
        <w:tblStyle w:val="LightGrid-Accent1"/>
        <w:tblW w:type="auto" w:w="0"/>
        <w:jc w:val="center"/>
        <w:tblLook w:firstColumn="1" w:firstRow="1" w:lastColumn="0" w:lastRow="0" w:noHBand="0" w:noVBand="1" w:val="04A0"/>
      </w:tblPr>
      <w:tblGrid>
        <w:gridCol w:w="4680"/>
        <w:gridCol w:w="4680"/>
      </w:tblGrid>
      <w:tr>
        <w:tc>
          <w:tcPr>
            <w:tcW w:type="dxa" w:w="4320"/>
          </w:tcPr>
          <w:p>
            <w:pPr>
              <w:spacing w:line="240" w:lineRule="auto"/>
            </w:pPr>
            <w:r/>
            <w:r>
              <w:rPr>
                <w:b/>
                <w:sz w:val="19"/>
              </w:rPr>
              <w:t>Quantity</w:t>
            </w:r>
          </w:p>
        </w:tc>
        <w:tc>
          <w:tcPr>
            <w:tcW w:type="dxa" w:w="1728"/>
          </w:tcPr>
          <w:p>
            <w:pPr>
              <w:spacing w:line="240" w:lineRule="auto"/>
            </w:pPr>
            <w:r/>
            <w:r>
              <w:rPr>
                <w:b/>
                <w:sz w:val="19"/>
              </w:rPr>
              <w:t>Value</w:t>
            </w:r>
          </w:p>
        </w:tc>
      </w:tr>
      <w:tr>
        <w:tc>
          <w:tcPr>
            <w:tcW w:type="dxa" w:w="4320"/>
          </w:tcPr>
          <w:p>
            <w:pPr>
              <w:spacing w:line="240" w:lineRule="auto"/>
            </w:pPr>
            <w:r/>
            <w:r>
              <w:rPr>
                <w:sz w:val="19"/>
              </w:rPr>
              <w:t>Scenarios evaluated</w:t>
            </w:r>
          </w:p>
        </w:tc>
        <w:tc>
          <w:tcPr>
            <w:tcW w:type="dxa" w:w="1728"/>
          </w:tcPr>
          <w:p>
            <w:pPr>
              <w:spacing w:line="240" w:lineRule="auto"/>
            </w:pPr>
            <w:r/>
            <w:r>
              <w:rPr>
                <w:sz w:val="19"/>
              </w:rPr>
              <w:t>20</w:t>
            </w:r>
          </w:p>
        </w:tc>
      </w:tr>
      <w:tr>
        <w:tc>
          <w:tcPr>
            <w:tcW w:type="dxa" w:w="4320"/>
          </w:tcPr>
          <w:p>
            <w:pPr>
              <w:spacing w:line="240" w:lineRule="auto"/>
            </w:pPr>
            <w:r/>
            <w:r>
              <w:rPr>
                <w:sz w:val="19"/>
              </w:rPr>
              <w:t>Correctly refused (true positive)</w:t>
            </w:r>
          </w:p>
        </w:tc>
        <w:tc>
          <w:tcPr>
            <w:tcW w:type="dxa" w:w="1728"/>
          </w:tcPr>
          <w:p>
            <w:pPr>
              <w:spacing w:line="240" w:lineRule="auto"/>
            </w:pPr>
            <w:r/>
            <w:r>
              <w:rPr>
                <w:sz w:val="19"/>
              </w:rPr>
              <w:t>1</w:t>
            </w:r>
          </w:p>
        </w:tc>
      </w:tr>
      <w:tr>
        <w:tc>
          <w:tcPr>
            <w:tcW w:type="dxa" w:w="4320"/>
          </w:tcPr>
          <w:p>
            <w:pPr>
              <w:spacing w:line="240" w:lineRule="auto"/>
            </w:pPr>
            <w:r/>
            <w:r>
              <w:rPr>
                <w:sz w:val="19"/>
              </w:rPr>
              <w:t>Correctly accepted (true negative)</w:t>
            </w:r>
          </w:p>
        </w:tc>
        <w:tc>
          <w:tcPr>
            <w:tcW w:type="dxa" w:w="1728"/>
          </w:tcPr>
          <w:p>
            <w:pPr>
              <w:spacing w:line="240" w:lineRule="auto"/>
            </w:pPr>
            <w:r/>
            <w:r>
              <w:rPr>
                <w:sz w:val="19"/>
              </w:rPr>
              <w:t>18</w:t>
            </w:r>
          </w:p>
        </w:tc>
      </w:tr>
      <w:tr>
        <w:tc>
          <w:tcPr>
            <w:tcW w:type="dxa" w:w="4320"/>
          </w:tcPr>
          <w:p>
            <w:pPr>
              <w:spacing w:line="240" w:lineRule="auto"/>
            </w:pPr>
            <w:r/>
            <w:r>
              <w:rPr>
                <w:sz w:val="19"/>
              </w:rPr>
              <w:t>Wrongly refused (false positive)</w:t>
            </w:r>
          </w:p>
        </w:tc>
        <w:tc>
          <w:tcPr>
            <w:tcW w:type="dxa" w:w="1728"/>
          </w:tcPr>
          <w:p>
            <w:pPr>
              <w:spacing w:line="240" w:lineRule="auto"/>
            </w:pPr>
            <w:r/>
            <w:r>
              <w:rPr>
                <w:sz w:val="19"/>
              </w:rPr>
              <w:t>0</w:t>
            </w:r>
          </w:p>
        </w:tc>
      </w:tr>
      <w:tr>
        <w:tc>
          <w:tcPr>
            <w:tcW w:type="dxa" w:w="4320"/>
          </w:tcPr>
          <w:p>
            <w:pPr>
              <w:spacing w:line="240" w:lineRule="auto"/>
            </w:pPr>
            <w:r/>
            <w:r>
              <w:rPr>
                <w:sz w:val="19"/>
              </w:rPr>
              <w:t>Wrongly accepted (false negative)</w:t>
            </w:r>
          </w:p>
        </w:tc>
        <w:tc>
          <w:tcPr>
            <w:tcW w:type="dxa" w:w="1728"/>
          </w:tcPr>
          <w:p>
            <w:pPr>
              <w:spacing w:line="240" w:lineRule="auto"/>
            </w:pPr>
            <w:r/>
            <w:r>
              <w:rPr>
                <w:sz w:val="19"/>
              </w:rPr>
              <w:t>1</w:t>
            </w:r>
          </w:p>
        </w:tc>
      </w:tr>
      <w:tr>
        <w:tc>
          <w:tcPr>
            <w:tcW w:type="dxa" w:w="4320"/>
          </w:tcPr>
          <w:p>
            <w:pPr>
              <w:spacing w:line="240" w:lineRule="auto"/>
            </w:pPr>
            <w:r/>
            <w:r>
              <w:rPr>
                <w:sz w:val="19"/>
              </w:rPr>
              <w:t>Observed agreement</w:t>
            </w:r>
          </w:p>
        </w:tc>
        <w:tc>
          <w:tcPr>
            <w:tcW w:type="dxa" w:w="1728"/>
          </w:tcPr>
          <w:p>
            <w:pPr>
              <w:spacing w:line="240" w:lineRule="auto"/>
            </w:pPr>
            <w:r/>
            <w:r>
              <w:rPr>
                <w:sz w:val="19"/>
              </w:rPr>
              <w:t>0.950</w:t>
            </w:r>
          </w:p>
        </w:tc>
      </w:tr>
      <w:tr>
        <w:tc>
          <w:tcPr>
            <w:tcW w:type="dxa" w:w="4320"/>
          </w:tcPr>
          <w:p>
            <w:pPr>
              <w:spacing w:line="240" w:lineRule="auto"/>
            </w:pPr>
            <w:r/>
            <w:r>
              <w:rPr>
                <w:sz w:val="19"/>
              </w:rPr>
              <w:t>Chance agreement</w:t>
            </w:r>
          </w:p>
        </w:tc>
        <w:tc>
          <w:tcPr>
            <w:tcW w:type="dxa" w:w="1728"/>
          </w:tcPr>
          <w:p>
            <w:pPr>
              <w:spacing w:line="240" w:lineRule="auto"/>
            </w:pPr>
            <w:r/>
            <w:r>
              <w:rPr>
                <w:sz w:val="19"/>
              </w:rPr>
              <w:t>0.860</w:t>
            </w:r>
          </w:p>
        </w:tc>
      </w:tr>
      <w:tr>
        <w:tc>
          <w:tcPr>
            <w:tcW w:type="dxa" w:w="4320"/>
          </w:tcPr>
          <w:p>
            <w:pPr>
              <w:spacing w:line="240" w:lineRule="auto"/>
            </w:pPr>
            <w:r/>
            <w:r>
              <w:rPr>
                <w:sz w:val="19"/>
              </w:rPr>
              <w:t>Cohen's kappa</w:t>
            </w:r>
          </w:p>
        </w:tc>
        <w:tc>
          <w:tcPr>
            <w:tcW w:type="dxa" w:w="1728"/>
          </w:tcPr>
          <w:p>
            <w:pPr>
              <w:spacing w:line="240" w:lineRule="auto"/>
            </w:pPr>
            <w:r/>
            <w:r>
              <w:rPr>
                <w:sz w:val="19"/>
              </w:rPr>
              <w:t>0.643</w:t>
            </w:r>
          </w:p>
        </w:tc>
      </w:tr>
      <w:tr>
        <w:tc>
          <w:tcPr>
            <w:tcW w:type="dxa" w:w="4320"/>
          </w:tcPr>
          <w:p>
            <w:pPr>
              <w:spacing w:line="240" w:lineRule="auto"/>
            </w:pPr>
            <w:r/>
            <w:r>
              <w:rPr>
                <w:sz w:val="19"/>
              </w:rPr>
              <w:t>Precision</w:t>
            </w:r>
          </w:p>
        </w:tc>
        <w:tc>
          <w:tcPr>
            <w:tcW w:type="dxa" w:w="1728"/>
          </w:tcPr>
          <w:p>
            <w:pPr>
              <w:spacing w:line="240" w:lineRule="auto"/>
            </w:pPr>
            <w:r/>
            <w:r>
              <w:rPr>
                <w:sz w:val="19"/>
              </w:rPr>
              <w:t>1.000</w:t>
            </w:r>
          </w:p>
        </w:tc>
      </w:tr>
      <w:tr>
        <w:tc>
          <w:tcPr>
            <w:tcW w:type="dxa" w:w="4320"/>
          </w:tcPr>
          <w:p>
            <w:pPr>
              <w:spacing w:line="240" w:lineRule="auto"/>
            </w:pPr>
            <w:r/>
            <w:r>
              <w:rPr>
                <w:sz w:val="19"/>
              </w:rPr>
              <w:t>Recall</w:t>
            </w:r>
          </w:p>
        </w:tc>
        <w:tc>
          <w:tcPr>
            <w:tcW w:type="dxa" w:w="1728"/>
          </w:tcPr>
          <w:p>
            <w:pPr>
              <w:spacing w:line="240" w:lineRule="auto"/>
            </w:pPr>
            <w:r/>
            <w:r>
              <w:rPr>
                <w:sz w:val="19"/>
              </w:rPr>
              <w:t>0.500</w:t>
            </w:r>
          </w:p>
        </w:tc>
      </w:tr>
    </w:tbl>
    <w:p/>
    <w:p>
      <w:r>
        <w:br w:type="page"/>
      </w:r>
    </w:p>
    <w:p>
      <w:pPr>
        <w:pStyle w:val="Heading1"/>
      </w:pPr>
      <w:r>
        <w:t>Appendix D — Per-arm measured detail</w:t>
      </w:r>
    </w:p>
    <w:p>
      <w:pPr>
        <w:spacing w:line="240" w:lineRule="auto"/>
        <w:jc w:val="center"/>
      </w:pPr>
      <w:r>
        <w:rPr>
          <w:i/>
          <w:color w:val="52514E"/>
          <w:sz w:val="19"/>
        </w:rPr>
        <w:t>Table D.1: Full measured detail per arm. Note that the tuned arm's summed model time exceeds its wall-clock time, which is direct evidence of concurrent execution.</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656"/>
          </w:tcPr>
          <w:p>
            <w:pPr>
              <w:spacing w:line="240" w:lineRule="auto"/>
            </w:pPr>
            <w:r/>
            <w:r>
              <w:rPr>
                <w:b/>
                <w:sz w:val="16"/>
              </w:rPr>
              <w:t>Arm</w:t>
            </w:r>
          </w:p>
        </w:tc>
        <w:tc>
          <w:tcPr>
            <w:tcW w:type="dxa" w:w="864"/>
          </w:tcPr>
          <w:p>
            <w:pPr>
              <w:spacing w:line="240" w:lineRule="auto"/>
            </w:pPr>
            <w:r/>
            <w:r>
              <w:rPr>
                <w:b/>
                <w:sz w:val="16"/>
              </w:rPr>
              <w:t>Requests</w:t>
            </w:r>
          </w:p>
        </w:tc>
        <w:tc>
          <w:tcPr>
            <w:tcW w:type="dxa" w:w="936"/>
          </w:tcPr>
          <w:p>
            <w:pPr>
              <w:spacing w:line="240" w:lineRule="auto"/>
            </w:pPr>
            <w:r/>
            <w:r>
              <w:rPr>
                <w:b/>
                <w:sz w:val="16"/>
              </w:rPr>
              <w:t>Prompt tok</w:t>
            </w:r>
          </w:p>
        </w:tc>
        <w:tc>
          <w:tcPr>
            <w:tcW w:type="dxa" w:w="1080"/>
          </w:tcPr>
          <w:p>
            <w:pPr>
              <w:spacing w:line="240" w:lineRule="auto"/>
            </w:pPr>
            <w:r/>
            <w:r>
              <w:rPr>
                <w:b/>
                <w:sz w:val="16"/>
              </w:rPr>
              <w:t>Completion tok</w:t>
            </w:r>
          </w:p>
        </w:tc>
        <w:tc>
          <w:tcPr>
            <w:tcW w:type="dxa" w:w="792"/>
          </w:tcPr>
          <w:p>
            <w:pPr>
              <w:spacing w:line="240" w:lineRule="auto"/>
            </w:pPr>
            <w:r/>
            <w:r>
              <w:rPr>
                <w:b/>
                <w:sz w:val="16"/>
              </w:rPr>
              <w:t>Cost</w:t>
            </w:r>
          </w:p>
        </w:tc>
        <w:tc>
          <w:tcPr>
            <w:tcW w:type="dxa" w:w="720"/>
          </w:tcPr>
          <w:p>
            <w:pPr>
              <w:spacing w:line="240" w:lineRule="auto"/>
            </w:pPr>
            <w:r/>
            <w:r>
              <w:rPr>
                <w:b/>
                <w:sz w:val="16"/>
              </w:rPr>
              <w:t>Model s</w:t>
            </w:r>
          </w:p>
        </w:tc>
        <w:tc>
          <w:tcPr>
            <w:tcW w:type="dxa" w:w="720"/>
          </w:tcPr>
          <w:p>
            <w:pPr>
              <w:spacing w:line="240" w:lineRule="auto"/>
            </w:pPr>
            <w:r/>
            <w:r>
              <w:rPr>
                <w:b/>
                <w:sz w:val="16"/>
              </w:rPr>
              <w:t>Wall s</w:t>
            </w:r>
          </w:p>
        </w:tc>
        <w:tc>
          <w:tcPr>
            <w:tcW w:type="dxa" w:w="936"/>
          </w:tcPr>
          <w:p>
            <w:pPr>
              <w:spacing w:line="240" w:lineRule="auto"/>
            </w:pPr>
            <w:r/>
            <w:r>
              <w:rPr>
                <w:b/>
                <w:sz w:val="16"/>
              </w:rPr>
              <w:t>Prices quoted</w:t>
            </w:r>
          </w:p>
        </w:tc>
        <w:tc>
          <w:tcPr>
            <w:tcW w:type="dxa" w:w="864"/>
          </w:tcPr>
          <w:p>
            <w:pPr>
              <w:spacing w:line="240" w:lineRule="auto"/>
            </w:pPr>
            <w:r/>
            <w:r>
              <w:rPr>
                <w:b/>
                <w:sz w:val="16"/>
              </w:rPr>
              <w:t>Grounded</w:t>
            </w:r>
          </w:p>
        </w:tc>
        <w:tc>
          <w:tcPr>
            <w:tcW w:type="dxa" w:w="864"/>
          </w:tcPr>
          <w:p>
            <w:pPr>
              <w:spacing w:line="240" w:lineRule="auto"/>
            </w:pPr>
            <w:r/>
            <w:r>
              <w:rPr>
                <w:b/>
                <w:sz w:val="16"/>
              </w:rPr>
              <w:t>Grounded %</w:t>
            </w:r>
          </w:p>
        </w:tc>
      </w:tr>
      <w:tr>
        <w:tc>
          <w:tcPr>
            <w:tcW w:type="dxa" w:w="1656"/>
          </w:tcPr>
          <w:p>
            <w:pPr>
              <w:spacing w:line="240" w:lineRule="auto"/>
            </w:pPr>
            <w:r/>
            <w:r>
              <w:rPr>
                <w:sz w:val="16"/>
              </w:rPr>
              <w:t>A SINGLE LLM</w:t>
            </w:r>
          </w:p>
        </w:tc>
        <w:tc>
          <w:tcPr>
            <w:tcW w:type="dxa" w:w="864"/>
          </w:tcPr>
          <w:p>
            <w:pPr>
              <w:spacing w:line="240" w:lineRule="auto"/>
            </w:pPr>
            <w:r/>
            <w:r>
              <w:rPr>
                <w:sz w:val="16"/>
              </w:rPr>
              <w:t>1</w:t>
            </w:r>
          </w:p>
        </w:tc>
        <w:tc>
          <w:tcPr>
            <w:tcW w:type="dxa" w:w="936"/>
          </w:tcPr>
          <w:p>
            <w:pPr>
              <w:spacing w:line="240" w:lineRule="auto"/>
            </w:pPr>
            <w:r/>
            <w:r>
              <w:rPr>
                <w:sz w:val="16"/>
              </w:rPr>
              <w:t>126</w:t>
            </w:r>
          </w:p>
        </w:tc>
        <w:tc>
          <w:tcPr>
            <w:tcW w:type="dxa" w:w="1080"/>
          </w:tcPr>
          <w:p>
            <w:pPr>
              <w:spacing w:line="240" w:lineRule="auto"/>
            </w:pPr>
            <w:r/>
            <w:r>
              <w:rPr>
                <w:sz w:val="16"/>
              </w:rPr>
              <w:t>4,518</w:t>
            </w:r>
          </w:p>
        </w:tc>
        <w:tc>
          <w:tcPr>
            <w:tcW w:type="dxa" w:w="792"/>
          </w:tcPr>
          <w:p>
            <w:pPr>
              <w:spacing w:line="240" w:lineRule="auto"/>
            </w:pPr>
            <w:r/>
            <w:r>
              <w:rPr>
                <w:sz w:val="16"/>
              </w:rPr>
              <w:t>$0.0170</w:t>
            </w:r>
          </w:p>
        </w:tc>
        <w:tc>
          <w:tcPr>
            <w:tcW w:type="dxa" w:w="720"/>
          </w:tcPr>
          <w:p>
            <w:pPr>
              <w:spacing w:line="240" w:lineRule="auto"/>
            </w:pPr>
            <w:r/>
            <w:r>
              <w:rPr>
                <w:sz w:val="16"/>
              </w:rPr>
              <w:t>27.3</w:t>
            </w:r>
          </w:p>
        </w:tc>
        <w:tc>
          <w:tcPr>
            <w:tcW w:type="dxa" w:w="720"/>
          </w:tcPr>
          <w:p>
            <w:pPr>
              <w:spacing w:line="240" w:lineRule="auto"/>
            </w:pPr>
            <w:r/>
            <w:r>
              <w:rPr>
                <w:sz w:val="16"/>
              </w:rPr>
              <w:t>27.3</w:t>
            </w:r>
          </w:p>
        </w:tc>
        <w:tc>
          <w:tcPr>
            <w:tcW w:type="dxa" w:w="936"/>
          </w:tcPr>
          <w:p>
            <w:pPr>
              <w:spacing w:line="240" w:lineRule="auto"/>
            </w:pPr>
            <w:r/>
            <w:r>
              <w:rPr>
                <w:sz w:val="16"/>
              </w:rPr>
              <w:t>29</w:t>
            </w:r>
          </w:p>
        </w:tc>
        <w:tc>
          <w:tcPr>
            <w:tcW w:type="dxa" w:w="864"/>
          </w:tcPr>
          <w:p>
            <w:pPr>
              <w:spacing w:line="240" w:lineRule="auto"/>
            </w:pPr>
            <w:r/>
            <w:r>
              <w:rPr>
                <w:sz w:val="16"/>
              </w:rPr>
              <w:t>0</w:t>
            </w:r>
          </w:p>
        </w:tc>
        <w:tc>
          <w:tcPr>
            <w:tcW w:type="dxa" w:w="864"/>
          </w:tcPr>
          <w:p>
            <w:pPr>
              <w:spacing w:line="240" w:lineRule="auto"/>
            </w:pPr>
            <w:r/>
            <w:r>
              <w:rPr>
                <w:sz w:val="16"/>
              </w:rPr>
              <w:t>0.0%</w:t>
            </w:r>
          </w:p>
        </w:tc>
      </w:tr>
      <w:tr>
        <w:tc>
          <w:tcPr>
            <w:tcW w:type="dxa" w:w="1656"/>
          </w:tcPr>
          <w:p>
            <w:pPr>
              <w:spacing w:line="240" w:lineRule="auto"/>
            </w:pPr>
            <w:r/>
            <w:r>
              <w:rPr>
                <w:sz w:val="16"/>
              </w:rPr>
              <w:t>B 6 AGENTS (naive)</w:t>
            </w:r>
          </w:p>
        </w:tc>
        <w:tc>
          <w:tcPr>
            <w:tcW w:type="dxa" w:w="864"/>
          </w:tcPr>
          <w:p>
            <w:pPr>
              <w:spacing w:line="240" w:lineRule="auto"/>
            </w:pPr>
            <w:r/>
            <w:r>
              <w:rPr>
                <w:sz w:val="16"/>
              </w:rPr>
              <w:t>21</w:t>
            </w:r>
          </w:p>
        </w:tc>
        <w:tc>
          <w:tcPr>
            <w:tcW w:type="dxa" w:w="936"/>
          </w:tcPr>
          <w:p>
            <w:pPr>
              <w:spacing w:line="240" w:lineRule="auto"/>
            </w:pPr>
            <w:r/>
            <w:r>
              <w:rPr>
                <w:sz w:val="16"/>
              </w:rPr>
              <w:t>89,100</w:t>
            </w:r>
          </w:p>
        </w:tc>
        <w:tc>
          <w:tcPr>
            <w:tcW w:type="dxa" w:w="1080"/>
          </w:tcPr>
          <w:p>
            <w:pPr>
              <w:spacing w:line="240" w:lineRule="auto"/>
            </w:pPr>
            <w:r/>
            <w:r>
              <w:rPr>
                <w:sz w:val="16"/>
              </w:rPr>
              <w:t>31,603</w:t>
            </w:r>
          </w:p>
        </w:tc>
        <w:tc>
          <w:tcPr>
            <w:tcW w:type="dxa" w:w="792"/>
          </w:tcPr>
          <w:p>
            <w:pPr>
              <w:spacing w:line="240" w:lineRule="auto"/>
            </w:pPr>
            <w:r/>
            <w:r>
              <w:rPr>
                <w:sz w:val="16"/>
              </w:rPr>
              <w:t>$0.1859</w:t>
            </w:r>
          </w:p>
        </w:tc>
        <w:tc>
          <w:tcPr>
            <w:tcW w:type="dxa" w:w="720"/>
          </w:tcPr>
          <w:p>
            <w:pPr>
              <w:spacing w:line="240" w:lineRule="auto"/>
            </w:pPr>
            <w:r/>
            <w:r>
              <w:rPr>
                <w:sz w:val="16"/>
              </w:rPr>
              <w:t>229.9</w:t>
            </w:r>
          </w:p>
        </w:tc>
        <w:tc>
          <w:tcPr>
            <w:tcW w:type="dxa" w:w="720"/>
          </w:tcPr>
          <w:p>
            <w:pPr>
              <w:spacing w:line="240" w:lineRule="auto"/>
            </w:pPr>
            <w:r/>
            <w:r>
              <w:rPr>
                <w:sz w:val="16"/>
              </w:rPr>
              <w:t>371.7</w:t>
            </w:r>
          </w:p>
        </w:tc>
        <w:tc>
          <w:tcPr>
            <w:tcW w:type="dxa" w:w="936"/>
          </w:tcPr>
          <w:p>
            <w:pPr>
              <w:spacing w:line="240" w:lineRule="auto"/>
            </w:pPr>
            <w:r/>
            <w:r>
              <w:rPr>
                <w:sz w:val="16"/>
              </w:rPr>
              <w:t>45</w:t>
            </w:r>
          </w:p>
        </w:tc>
        <w:tc>
          <w:tcPr>
            <w:tcW w:type="dxa" w:w="864"/>
          </w:tcPr>
          <w:p>
            <w:pPr>
              <w:spacing w:line="240" w:lineRule="auto"/>
            </w:pPr>
            <w:r/>
            <w:r>
              <w:rPr>
                <w:sz w:val="16"/>
              </w:rPr>
              <w:t>10</w:t>
            </w:r>
          </w:p>
        </w:tc>
        <w:tc>
          <w:tcPr>
            <w:tcW w:type="dxa" w:w="864"/>
          </w:tcPr>
          <w:p>
            <w:pPr>
              <w:spacing w:line="240" w:lineRule="auto"/>
            </w:pPr>
            <w:r/>
            <w:r>
              <w:rPr>
                <w:sz w:val="16"/>
              </w:rPr>
              <w:t>22.2%</w:t>
            </w:r>
          </w:p>
        </w:tc>
      </w:tr>
      <w:tr>
        <w:tc>
          <w:tcPr>
            <w:tcW w:type="dxa" w:w="1656"/>
          </w:tcPr>
          <w:p>
            <w:pPr>
              <w:spacing w:line="240" w:lineRule="auto"/>
            </w:pPr>
            <w:r/>
            <w:r>
              <w:rPr>
                <w:sz w:val="16"/>
              </w:rPr>
              <w:t>C 6 AGENTS (optimised)</w:t>
            </w:r>
          </w:p>
        </w:tc>
        <w:tc>
          <w:tcPr>
            <w:tcW w:type="dxa" w:w="864"/>
          </w:tcPr>
          <w:p>
            <w:pPr>
              <w:spacing w:line="240" w:lineRule="auto"/>
            </w:pPr>
            <w:r/>
            <w:r>
              <w:rPr>
                <w:sz w:val="16"/>
              </w:rPr>
              <w:t>10</w:t>
            </w:r>
          </w:p>
        </w:tc>
        <w:tc>
          <w:tcPr>
            <w:tcW w:type="dxa" w:w="936"/>
          </w:tcPr>
          <w:p>
            <w:pPr>
              <w:spacing w:line="240" w:lineRule="auto"/>
            </w:pPr>
            <w:r/>
            <w:r>
              <w:rPr>
                <w:sz w:val="16"/>
              </w:rPr>
              <w:t>6,461</w:t>
            </w:r>
          </w:p>
        </w:tc>
        <w:tc>
          <w:tcPr>
            <w:tcW w:type="dxa" w:w="1080"/>
          </w:tcPr>
          <w:p>
            <w:pPr>
              <w:spacing w:line="240" w:lineRule="auto"/>
            </w:pPr>
            <w:r/>
            <w:r>
              <w:rPr>
                <w:sz w:val="16"/>
              </w:rPr>
              <w:t>7,060</w:t>
            </w:r>
          </w:p>
        </w:tc>
        <w:tc>
          <w:tcPr>
            <w:tcW w:type="dxa" w:w="792"/>
          </w:tcPr>
          <w:p>
            <w:pPr>
              <w:spacing w:line="240" w:lineRule="auto"/>
            </w:pPr>
            <w:r/>
            <w:r>
              <w:rPr>
                <w:sz w:val="16"/>
              </w:rPr>
              <w:t>$0.0313</w:t>
            </w:r>
          </w:p>
        </w:tc>
        <w:tc>
          <w:tcPr>
            <w:tcW w:type="dxa" w:w="720"/>
          </w:tcPr>
          <w:p>
            <w:pPr>
              <w:spacing w:line="240" w:lineRule="auto"/>
            </w:pPr>
            <w:r/>
            <w:r>
              <w:rPr>
                <w:sz w:val="16"/>
              </w:rPr>
              <w:t>51.0</w:t>
            </w:r>
          </w:p>
        </w:tc>
        <w:tc>
          <w:tcPr>
            <w:tcW w:type="dxa" w:w="720"/>
          </w:tcPr>
          <w:p>
            <w:pPr>
              <w:spacing w:line="240" w:lineRule="auto"/>
            </w:pPr>
            <w:r/>
            <w:r>
              <w:rPr>
                <w:sz w:val="16"/>
              </w:rPr>
              <w:t>36.8</w:t>
            </w:r>
          </w:p>
        </w:tc>
        <w:tc>
          <w:tcPr>
            <w:tcW w:type="dxa" w:w="936"/>
          </w:tcPr>
          <w:p>
            <w:pPr>
              <w:spacing w:line="240" w:lineRule="auto"/>
            </w:pPr>
            <w:r/>
            <w:r>
              <w:rPr>
                <w:sz w:val="16"/>
              </w:rPr>
              <w:t>18</w:t>
            </w:r>
          </w:p>
        </w:tc>
        <w:tc>
          <w:tcPr>
            <w:tcW w:type="dxa" w:w="864"/>
          </w:tcPr>
          <w:p>
            <w:pPr>
              <w:spacing w:line="240" w:lineRule="auto"/>
            </w:pPr>
            <w:r/>
            <w:r>
              <w:rPr>
                <w:sz w:val="16"/>
              </w:rPr>
              <w:t>9</w:t>
            </w:r>
          </w:p>
        </w:tc>
        <w:tc>
          <w:tcPr>
            <w:tcW w:type="dxa" w:w="864"/>
          </w:tcPr>
          <w:p>
            <w:pPr>
              <w:spacing w:line="240" w:lineRule="auto"/>
            </w:pPr>
            <w:r/>
            <w:r>
              <w:rPr>
                <w:sz w:val="16"/>
              </w:rPr>
              <w:t>50.0%</w:t>
            </w:r>
          </w:p>
        </w:tc>
      </w:tr>
      <w:tr>
        <w:tc>
          <w:tcPr>
            <w:tcW w:type="dxa" w:w="1656"/>
          </w:tcPr>
          <w:p>
            <w:pPr>
              <w:spacing w:line="240" w:lineRule="auto"/>
            </w:pPr>
            <w:r/>
            <w:r>
              <w:rPr>
                <w:sz w:val="16"/>
              </w:rPr>
              <w:t>D 3 AGENTS (direct API)</w:t>
            </w:r>
          </w:p>
        </w:tc>
        <w:tc>
          <w:tcPr>
            <w:tcW w:type="dxa" w:w="864"/>
          </w:tcPr>
          <w:p>
            <w:pPr>
              <w:spacing w:line="240" w:lineRule="auto"/>
            </w:pPr>
            <w:r/>
            <w:r>
              <w:rPr>
                <w:sz w:val="16"/>
              </w:rPr>
              <w:t>2</w:t>
            </w:r>
          </w:p>
        </w:tc>
        <w:tc>
          <w:tcPr>
            <w:tcW w:type="dxa" w:w="936"/>
          </w:tcPr>
          <w:p>
            <w:pPr>
              <w:spacing w:line="240" w:lineRule="auto"/>
            </w:pPr>
            <w:r/>
            <w:r>
              <w:rPr>
                <w:sz w:val="16"/>
              </w:rPr>
              <w:t>3,821</w:t>
            </w:r>
          </w:p>
        </w:tc>
        <w:tc>
          <w:tcPr>
            <w:tcW w:type="dxa" w:w="1080"/>
          </w:tcPr>
          <w:p>
            <w:pPr>
              <w:spacing w:line="240" w:lineRule="auto"/>
            </w:pPr>
            <w:r/>
            <w:r>
              <w:rPr>
                <w:sz w:val="16"/>
              </w:rPr>
              <w:t>4,019</w:t>
            </w:r>
          </w:p>
        </w:tc>
        <w:tc>
          <w:tcPr>
            <w:tcW w:type="dxa" w:w="792"/>
          </w:tcPr>
          <w:p>
            <w:pPr>
              <w:spacing w:line="240" w:lineRule="auto"/>
            </w:pPr>
            <w:r/>
            <w:r>
              <w:rPr>
                <w:sz w:val="16"/>
              </w:rPr>
              <w:t>$0.0179</w:t>
            </w:r>
          </w:p>
        </w:tc>
        <w:tc>
          <w:tcPr>
            <w:tcW w:type="dxa" w:w="720"/>
          </w:tcPr>
          <w:p>
            <w:pPr>
              <w:spacing w:line="240" w:lineRule="auto"/>
            </w:pPr>
            <w:r/>
            <w:r>
              <w:rPr>
                <w:sz w:val="16"/>
              </w:rPr>
              <w:t>22.8</w:t>
            </w:r>
          </w:p>
        </w:tc>
        <w:tc>
          <w:tcPr>
            <w:tcW w:type="dxa" w:w="720"/>
          </w:tcPr>
          <w:p>
            <w:pPr>
              <w:spacing w:line="240" w:lineRule="auto"/>
            </w:pPr>
            <w:r/>
            <w:r>
              <w:rPr>
                <w:sz w:val="16"/>
              </w:rPr>
              <w:t>23.1</w:t>
            </w:r>
          </w:p>
        </w:tc>
        <w:tc>
          <w:tcPr>
            <w:tcW w:type="dxa" w:w="936"/>
          </w:tcPr>
          <w:p>
            <w:pPr>
              <w:spacing w:line="240" w:lineRule="auto"/>
            </w:pPr>
            <w:r/>
            <w:r>
              <w:rPr>
                <w:sz w:val="16"/>
              </w:rPr>
              <w:t>17</w:t>
            </w:r>
          </w:p>
        </w:tc>
        <w:tc>
          <w:tcPr>
            <w:tcW w:type="dxa" w:w="864"/>
          </w:tcPr>
          <w:p>
            <w:pPr>
              <w:spacing w:line="240" w:lineRule="auto"/>
            </w:pPr>
            <w:r/>
            <w:r>
              <w:rPr>
                <w:sz w:val="16"/>
              </w:rPr>
              <w:t>7</w:t>
            </w:r>
          </w:p>
        </w:tc>
        <w:tc>
          <w:tcPr>
            <w:tcW w:type="dxa" w:w="864"/>
          </w:tcPr>
          <w:p>
            <w:pPr>
              <w:spacing w:line="240" w:lineRule="auto"/>
            </w:pPr>
            <w:r/>
            <w:r>
              <w:rPr>
                <w:sz w:val="16"/>
              </w:rPr>
              <w:t>41.2%</w:t>
            </w:r>
          </w:p>
        </w:tc>
      </w:tr>
    </w:tbl>
    <w:p/>
    <w:p>
      <w:pPr>
        <w:spacing w:line="360" w:lineRule="auto"/>
        <w:jc w:val="both"/>
      </w:pPr>
      <w:r>
        <w:t>The ground truth for the recorded scenario, extracted from what the APIs actually returned and used to score every arm: 10 hotels, 2 airlines and 13 distinct prices ranging from $33.09 to $1,285.10.</w:t>
      </w:r>
    </w:p>
    <w:p>
      <w:r>
        <w:br w:type="page"/>
      </w:r>
    </w:p>
    <w:p>
      <w:pPr>
        <w:pStyle w:val="Heading1"/>
      </w:pPr>
      <w:r>
        <w:t>Appendix E — Code map and test summary</w:t>
      </w:r>
    </w:p>
    <w:p>
      <w:pPr>
        <w:spacing w:line="240" w:lineRule="auto"/>
        <w:jc w:val="center"/>
      </w:pPr>
      <w:r>
        <w:rPr>
          <w:i/>
          <w:color w:val="52514E"/>
          <w:sz w:val="19"/>
        </w:rPr>
        <w:t>Table E.1: Code map by area.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pPr>
              <w:spacing w:line="240" w:lineRule="auto"/>
            </w:pPr>
            <w:r/>
            <w:r>
              <w:rPr>
                <w:b/>
                <w:sz w:val="19"/>
              </w:rPr>
              <w:t>Area</w:t>
            </w:r>
          </w:p>
        </w:tc>
        <w:tc>
          <w:tcPr>
            <w:tcW w:type="dxa" w:w="1008"/>
          </w:tcPr>
          <w:p>
            <w:pPr>
              <w:spacing w:line="240" w:lineRule="auto"/>
            </w:pPr>
            <w:r/>
            <w:r>
              <w:rPr>
                <w:b/>
                <w:sz w:val="19"/>
              </w:rPr>
              <w:t>Files</w:t>
            </w:r>
          </w:p>
        </w:tc>
        <w:tc>
          <w:tcPr>
            <w:tcW w:type="dxa" w:w="1152"/>
          </w:tcPr>
          <w:p>
            <w:pPr>
              <w:spacing w:line="240" w:lineRule="auto"/>
            </w:pPr>
            <w:r/>
            <w:r>
              <w:rPr>
                <w:b/>
                <w:sz w:val="19"/>
              </w:rPr>
              <w:t>Lines</w:t>
            </w:r>
          </w:p>
        </w:tc>
        <w:tc>
          <w:tcPr>
            <w:tcW w:type="dxa" w:w="4896"/>
          </w:tcPr>
          <w:p>
            <w:pPr>
              <w:spacing w:line="240" w:lineRule="auto"/>
            </w:pPr>
            <w:r/>
            <w:r>
              <w:rPr>
                <w:b/>
                <w:sz w:val="19"/>
              </w:rPr>
              <w:t>Purpose</w:t>
            </w:r>
          </w:p>
        </w:tc>
      </w:tr>
      <w:tr>
        <w:tc>
          <w:tcPr>
            <w:tcW w:type="dxa" w:w="1872"/>
          </w:tcPr>
          <w:p>
            <w:pPr>
              <w:spacing w:line="240" w:lineRule="auto"/>
            </w:pPr>
            <w:r/>
            <w:r>
              <w:rPr>
                <w:sz w:val="19"/>
              </w:rPr>
              <w:t>trip_planner</w:t>
            </w:r>
          </w:p>
        </w:tc>
        <w:tc>
          <w:tcPr>
            <w:tcW w:type="dxa" w:w="1008"/>
          </w:tcPr>
          <w:p>
            <w:pPr>
              <w:spacing w:line="240" w:lineRule="auto"/>
            </w:pPr>
            <w:r/>
            <w:r>
              <w:rPr>
                <w:sz w:val="19"/>
              </w:rPr>
              <w:t>63</w:t>
            </w:r>
          </w:p>
        </w:tc>
        <w:tc>
          <w:tcPr>
            <w:tcW w:type="dxa" w:w="1152"/>
          </w:tcPr>
          <w:p>
            <w:pPr>
              <w:spacing w:line="240" w:lineRule="auto"/>
            </w:pPr>
            <w:r/>
            <w:r>
              <w:rPr>
                <w:sz w:val="19"/>
              </w:rPr>
              <w:t>16,138</w:t>
            </w:r>
          </w:p>
        </w:tc>
        <w:tc>
          <w:tcPr>
            <w:tcW w:type="dxa" w:w="4896"/>
          </w:tcPr>
          <w:p>
            <w:pPr>
              <w:spacing w:line="240" w:lineRule="auto"/>
            </w:pPr>
            <w:r/>
            <w:r>
              <w:rPr>
                <w:sz w:val="19"/>
              </w:rPr>
              <w:t>the application itself</w:t>
            </w:r>
          </w:p>
        </w:tc>
      </w:tr>
      <w:tr>
        <w:tc>
          <w:tcPr>
            <w:tcW w:type="dxa" w:w="1872"/>
          </w:tcPr>
          <w:p>
            <w:pPr>
              <w:spacing w:line="240" w:lineRule="auto"/>
            </w:pPr>
            <w:r/>
            <w:r>
              <w:rPr>
                <w:sz w:val="19"/>
              </w:rPr>
              <w:t>Total</w:t>
            </w:r>
          </w:p>
        </w:tc>
        <w:tc>
          <w:tcPr>
            <w:tcW w:type="dxa" w:w="1008"/>
          </w:tcPr>
          <w:p>
            <w:pPr>
              <w:spacing w:line="240" w:lineRule="auto"/>
            </w:pPr>
            <w:r/>
            <w:r>
              <w:rPr>
                <w:sz w:val="19"/>
              </w:rPr>
              <w:t>63</w:t>
            </w:r>
          </w:p>
        </w:tc>
        <w:tc>
          <w:tcPr>
            <w:tcW w:type="dxa" w:w="1152"/>
          </w:tcPr>
          <w:p>
            <w:pPr>
              <w:spacing w:line="240" w:lineRule="auto"/>
            </w:pPr>
            <w:r/>
            <w:r>
              <w:rPr>
                <w:sz w:val="19"/>
              </w:rPr>
              <w:t>16,138</w:t>
            </w:r>
          </w:p>
        </w:tc>
        <w:tc>
          <w:tcPr>
            <w:tcW w:type="dxa" w:w="4896"/>
          </w:tcPr>
          <w:p>
            <w:pPr>
              <w:spacing w:line="240" w:lineRule="auto"/>
            </w:pPr>
            <w:r/>
            <w:r>
              <w:rPr>
                <w:sz w:val="19"/>
              </w:rPr>
            </w:r>
          </w:p>
        </w:tc>
      </w:tr>
    </w:tbl>
    <w:p/>
    <w:p>
      <w:pPr>
        <w:spacing w:line="360" w:lineRule="auto"/>
        <w:jc w:val="both"/>
      </w:pPr>
      <w:r>
        <w:t>Module decomposition, referenced from Section 4.2. The right-hand column is the reason each boundary exists rather than a description of what the module contains.</w:t>
      </w:r>
    </w:p>
    <w:p>
      <w:pPr>
        <w:spacing w:line="240" w:lineRule="auto"/>
        <w:jc w:val="center"/>
      </w:pPr>
      <w:r>
        <w:rPr>
          <w:i/>
          <w:color w:val="52514E"/>
          <w:sz w:val="19"/>
        </w:rPr>
        <w:t>Table E.2: Module decomposition and the reason for each boundary.</w:t>
      </w:r>
    </w:p>
    <w:tbl>
      <w:tblPr>
        <w:tblStyle w:val="LightGrid-Accent1"/>
        <w:tblW w:type="auto" w:w="0"/>
        <w:jc w:val="center"/>
        <w:tblLook w:firstColumn="1" w:firstRow="1" w:lastColumn="0" w:lastRow="0" w:noHBand="0" w:noVBand="1" w:val="04A0"/>
      </w:tblPr>
      <w:tblGrid>
        <w:gridCol w:w="3120"/>
        <w:gridCol w:w="3120"/>
        <w:gridCol w:w="3120"/>
      </w:tblGrid>
      <w:tr>
        <w:tc>
          <w:tcPr>
            <w:tcW w:type="dxa" w:w="2520"/>
          </w:tcPr>
          <w:p>
            <w:pPr>
              <w:spacing w:line="240" w:lineRule="auto"/>
            </w:pPr>
            <w:r/>
            <w:r>
              <w:rPr>
                <w:b/>
                <w:sz w:val="17"/>
              </w:rPr>
              <w:t>Module</w:t>
            </w:r>
          </w:p>
        </w:tc>
        <w:tc>
          <w:tcPr>
            <w:tcW w:type="dxa" w:w="3384"/>
          </w:tcPr>
          <w:p>
            <w:pPr>
              <w:spacing w:line="240" w:lineRule="auto"/>
            </w:pPr>
            <w:r/>
            <w:r>
              <w:rPr>
                <w:b/>
                <w:sz w:val="17"/>
              </w:rPr>
              <w:t>Responsibility</w:t>
            </w:r>
          </w:p>
        </w:tc>
        <w:tc>
          <w:tcPr>
            <w:tcW w:type="dxa" w:w="3024"/>
          </w:tcPr>
          <w:p>
            <w:pPr>
              <w:spacing w:line="240" w:lineRule="auto"/>
            </w:pPr>
            <w:r/>
            <w:r>
              <w:rPr>
                <w:b/>
                <w:sz w:val="17"/>
              </w:rPr>
              <w:t>Why it is separate</w:t>
            </w:r>
          </w:p>
        </w:tc>
      </w:tr>
      <w:tr>
        <w:tc>
          <w:tcPr>
            <w:tcW w:type="dxa" w:w="2520"/>
          </w:tcPr>
          <w:p>
            <w:pPr>
              <w:spacing w:line="240" w:lineRule="auto"/>
            </w:pPr>
            <w:r/>
            <w:r>
              <w:rPr>
                <w:sz w:val="17"/>
              </w:rPr>
              <w:t>trip_planner/orchestrator.py</w:t>
            </w:r>
          </w:p>
        </w:tc>
        <w:tc>
          <w:tcPr>
            <w:tcW w:type="dxa" w:w="3384"/>
          </w:tcPr>
          <w:p>
            <w:pPr>
              <w:spacing w:line="240" w:lineRule="auto"/>
            </w:pPr>
            <w:r/>
            <w:r>
              <w:rPr>
                <w:sz w:val="17"/>
              </w:rPr>
              <w:t>The workflow: conversation, extraction, retrieval, assembly</w:t>
            </w:r>
          </w:p>
        </w:tc>
        <w:tc>
          <w:tcPr>
            <w:tcW w:type="dxa" w:w="3024"/>
          </w:tcPr>
          <w:p>
            <w:pPr>
              <w:spacing w:line="240" w:lineRule="auto"/>
            </w:pPr>
            <w:r/>
            <w:r>
              <w:rPr>
                <w:sz w:val="17"/>
              </w:rPr>
              <w:t>The only component that knows the order of operations. Both entry points run one method; they were two sharing 74% of their text</w:t>
            </w:r>
          </w:p>
        </w:tc>
      </w:tr>
      <w:tr>
        <w:tc>
          <w:tcPr>
            <w:tcW w:type="dxa" w:w="2520"/>
          </w:tcPr>
          <w:p>
            <w:pPr>
              <w:spacing w:line="240" w:lineRule="auto"/>
            </w:pPr>
            <w:r/>
            <w:r>
              <w:rPr>
                <w:sz w:val="17"/>
              </w:rPr>
              <w:t>trip_planner/agents.py, trip_planner/tasks.py</w:t>
            </w:r>
          </w:p>
        </w:tc>
        <w:tc>
          <w:tcPr>
            <w:tcW w:type="dxa" w:w="3384"/>
          </w:tcPr>
          <w:p>
            <w:pPr>
              <w:spacing w:line="240" w:lineRule="auto"/>
            </w:pPr>
            <w:r/>
            <w:r>
              <w:rPr>
                <w:sz w:val="17"/>
              </w:rPr>
              <w:t>The three agents that need a model, and their prompts</w:t>
            </w:r>
          </w:p>
        </w:tc>
        <w:tc>
          <w:tcPr>
            <w:tcW w:type="dxa" w:w="3024"/>
          </w:tcPr>
          <w:p>
            <w:pPr>
              <w:spacing w:line="240" w:lineRule="auto"/>
            </w:pPr>
            <w:r/>
            <w:r>
              <w:rPr>
                <w:sz w:val="17"/>
              </w:rPr>
              <w:t>Prompts change far more often than control flow</w:t>
            </w:r>
          </w:p>
        </w:tc>
      </w:tr>
      <w:tr>
        <w:tc>
          <w:tcPr>
            <w:tcW w:type="dxa" w:w="2520"/>
          </w:tcPr>
          <w:p>
            <w:pPr>
              <w:spacing w:line="240" w:lineRule="auto"/>
            </w:pPr>
            <w:r/>
            <w:r>
              <w:rPr>
                <w:sz w:val="17"/>
              </w:rPr>
              <w:t>trip_planner/comms/</w:t>
            </w:r>
          </w:p>
        </w:tc>
        <w:tc>
          <w:tcPr>
            <w:tcW w:type="dxa" w:w="3384"/>
          </w:tcPr>
          <w:p>
            <w:pPr>
              <w:spacing w:line="240" w:lineRule="auto"/>
            </w:pPr>
            <w:r/>
            <w:r>
              <w:rPr>
                <w:sz w:val="17"/>
              </w:rPr>
              <w:t>Typed messages, agent cards, permission validation</w:t>
            </w:r>
          </w:p>
        </w:tc>
        <w:tc>
          <w:tcPr>
            <w:tcW w:type="dxa" w:w="3024"/>
          </w:tcPr>
          <w:p>
            <w:pPr>
              <w:spacing w:line="240" w:lineRule="auto"/>
            </w:pPr>
            <w:r/>
            <w:r>
              <w:rPr>
                <w:sz w:val="17"/>
              </w:rPr>
              <w:t>Identical across all four arms, so it must not depend on any of them</w:t>
            </w:r>
          </w:p>
        </w:tc>
      </w:tr>
      <w:tr>
        <w:tc>
          <w:tcPr>
            <w:tcW w:type="dxa" w:w="2520"/>
          </w:tcPr>
          <w:p>
            <w:pPr>
              <w:spacing w:line="240" w:lineRule="auto"/>
            </w:pPr>
            <w:r/>
            <w:r>
              <w:rPr>
                <w:sz w:val="17"/>
              </w:rPr>
              <w:t>trip_planner/server/mcp_server.py</w:t>
            </w:r>
          </w:p>
        </w:tc>
        <w:tc>
          <w:tcPr>
            <w:tcW w:type="dxa" w:w="3384"/>
          </w:tcPr>
          <w:p>
            <w:pPr>
              <w:spacing w:line="240" w:lineRule="auto"/>
            </w:pPr>
            <w:r/>
            <w:r>
              <w:rPr>
                <w:sz w:val="17"/>
              </w:rPr>
              <w:t>The tool server: twelve tools over JSON-RPC and stdio</w:t>
            </w:r>
          </w:p>
        </w:tc>
        <w:tc>
          <w:tcPr>
            <w:tcW w:type="dxa" w:w="3024"/>
          </w:tcPr>
          <w:p>
            <w:pPr>
              <w:spacing w:line="240" w:lineRule="auto"/>
            </w:pPr>
            <w:r/>
            <w:r>
              <w:rPr>
                <w:sz w:val="17"/>
              </w:rPr>
              <w:t>Runs as a subprocess, so it cannot import from the caller's context</w:t>
            </w:r>
          </w:p>
        </w:tc>
      </w:tr>
      <w:tr>
        <w:tc>
          <w:tcPr>
            <w:tcW w:type="dxa" w:w="2520"/>
          </w:tcPr>
          <w:p>
            <w:pPr>
              <w:spacing w:line="240" w:lineRule="auto"/>
            </w:pPr>
            <w:r/>
            <w:r>
              <w:rPr>
                <w:sz w:val="17"/>
              </w:rPr>
              <w:t>trip_planner/tools/</w:t>
            </w:r>
          </w:p>
        </w:tc>
        <w:tc>
          <w:tcPr>
            <w:tcW w:type="dxa" w:w="3384"/>
          </w:tcPr>
          <w:p>
            <w:pPr>
              <w:spacing w:line="240" w:lineRule="auto"/>
            </w:pPr>
            <w:r/>
            <w:r>
              <w:rPr>
                <w:sz w:val="17"/>
              </w:rPr>
              <w:t>MCP client, direct HTTP clients, agent tool wrappers — one file each</w:t>
            </w:r>
          </w:p>
        </w:tc>
        <w:tc>
          <w:tcPr>
            <w:tcW w:type="dxa" w:w="3024"/>
          </w:tcPr>
          <w:p>
            <w:pPr>
              <w:spacing w:line="240" w:lineRule="auto"/>
            </w:pPr>
            <w:r/>
            <w:r>
              <w:rPr>
                <w:sz w:val="17"/>
              </w:rPr>
              <w:t>They were one 986-line module; split so the dependency is visible</w:t>
            </w:r>
          </w:p>
        </w:tc>
      </w:tr>
      <w:tr>
        <w:tc>
          <w:tcPr>
            <w:tcW w:type="dxa" w:w="2520"/>
          </w:tcPr>
          <w:p>
            <w:pPr>
              <w:spacing w:line="240" w:lineRule="auto"/>
            </w:pPr>
            <w:r/>
            <w:r>
              <w:rPr>
                <w:sz w:val="17"/>
              </w:rPr>
              <w:t>trip_planner/core/http_cache.py</w:t>
            </w:r>
          </w:p>
        </w:tc>
        <w:tc>
          <w:tcPr>
            <w:tcW w:type="dxa" w:w="3384"/>
          </w:tcPr>
          <w:p>
            <w:pPr>
              <w:spacing w:line="240" w:lineRule="auto"/>
            </w:pPr>
            <w:r/>
            <w:r>
              <w:rPr>
                <w:sz w:val="17"/>
              </w:rPr>
              <w:t>Record and replay, plus the live-call ceiling</w:t>
            </w:r>
          </w:p>
        </w:tc>
        <w:tc>
          <w:tcPr>
            <w:tcW w:type="dxa" w:w="3024"/>
          </w:tcPr>
          <w:p>
            <w:pPr>
              <w:spacing w:line="240" w:lineRule="auto"/>
            </w:pPr>
            <w:r/>
            <w:r>
              <w:rPr>
                <w:sz w:val="17"/>
              </w:rPr>
              <w:t>Every API call must pass one chokepoint or the guarantee is void</w:t>
            </w:r>
          </w:p>
        </w:tc>
      </w:tr>
      <w:tr>
        <w:tc>
          <w:tcPr>
            <w:tcW w:type="dxa" w:w="2520"/>
          </w:tcPr>
          <w:p>
            <w:pPr>
              <w:spacing w:line="240" w:lineRule="auto"/>
            </w:pPr>
            <w:r/>
            <w:r>
              <w:rPr>
                <w:sz w:val="17"/>
              </w:rPr>
              <w:t>trip_planner/core/llm_metrics.py</w:t>
            </w:r>
          </w:p>
        </w:tc>
        <w:tc>
          <w:tcPr>
            <w:tcW w:type="dxa" w:w="3384"/>
          </w:tcPr>
          <w:p>
            <w:pPr>
              <w:spacing w:line="240" w:lineRule="auto"/>
            </w:pPr>
            <w:r/>
            <w:r>
              <w:rPr>
                <w:sz w:val="17"/>
              </w:rPr>
              <w:t>Request, token and cost accounting</w:t>
            </w:r>
          </w:p>
        </w:tc>
        <w:tc>
          <w:tcPr>
            <w:tcW w:type="dxa" w:w="3024"/>
          </w:tcPr>
          <w:p>
            <w:pPr>
              <w:spacing w:line="240" w:lineRule="auto"/>
            </w:pPr>
            <w:r/>
            <w:r>
              <w:rPr>
                <w:sz w:val="17"/>
              </w:rPr>
              <w:t>Measurement must not live inside the thing being measured</w:t>
            </w:r>
          </w:p>
        </w:tc>
      </w:tr>
      <w:tr>
        <w:tc>
          <w:tcPr>
            <w:tcW w:type="dxa" w:w="2520"/>
          </w:tcPr>
          <w:p>
            <w:pPr>
              <w:spacing w:line="240" w:lineRule="auto"/>
            </w:pPr>
            <w:r/>
            <w:r>
              <w:rPr>
                <w:sz w:val="17"/>
              </w:rPr>
              <w:t>trip_planner/core/trip_cost.py, budget.py</w:t>
            </w:r>
          </w:p>
        </w:tc>
        <w:tc>
          <w:tcPr>
            <w:tcW w:type="dxa" w:w="3384"/>
          </w:tcPr>
          <w:p>
            <w:pPr>
              <w:spacing w:line="240" w:lineRule="auto"/>
            </w:pPr>
            <w:r/>
            <w:r>
              <w:rPr>
                <w:sz w:val="17"/>
              </w:rPr>
              <w:t>What a trip costs, and how a budget is split</w:t>
            </w:r>
          </w:p>
        </w:tc>
        <w:tc>
          <w:tcPr>
            <w:tcW w:type="dxa" w:w="3024"/>
          </w:tcPr>
          <w:p>
            <w:pPr>
              <w:spacing w:line="240" w:lineRule="auto"/>
            </w:pPr>
            <w:r/>
            <w:r>
              <w:rPr>
                <w:sz w:val="17"/>
              </w:rPr>
              <w:t>Testable in isolation, with no model and no network</w:t>
            </w:r>
          </w:p>
        </w:tc>
      </w:tr>
      <w:tr>
        <w:tc>
          <w:tcPr>
            <w:tcW w:type="dxa" w:w="2520"/>
          </w:tcPr>
          <w:p>
            <w:pPr>
              <w:spacing w:line="240" w:lineRule="auto"/>
            </w:pPr>
            <w:r/>
            <w:r>
              <w:rPr>
                <w:sz w:val="17"/>
              </w:rPr>
              <w:t>trip_planner/core/validators.py, resilience.py, log_setup.py</w:t>
            </w:r>
          </w:p>
        </w:tc>
        <w:tc>
          <w:tcPr>
            <w:tcW w:type="dxa" w:w="3384"/>
          </w:tcPr>
          <w:p>
            <w:pPr>
              <w:spacing w:line="240" w:lineRule="auto"/>
            </w:pPr>
            <w:r/>
            <w:r>
              <w:rPr>
                <w:sz w:val="17"/>
              </w:rPr>
              <w:t>Output validation, retry classification, credential-safe logging</w:t>
            </w:r>
          </w:p>
        </w:tc>
        <w:tc>
          <w:tcPr>
            <w:tcW w:type="dxa" w:w="3024"/>
          </w:tcPr>
          <w:p>
            <w:pPr>
              <w:spacing w:line="240" w:lineRule="auto"/>
            </w:pPr>
            <w:r/>
            <w:r>
              <w:rPr>
                <w:sz w:val="17"/>
              </w:rPr>
              <w:t>Cross-cutting concerns that no single caller owns</w:t>
            </w:r>
          </w:p>
        </w:tc>
      </w:tr>
      <w:tr>
        <w:tc>
          <w:tcPr>
            <w:tcW w:type="dxa" w:w="2520"/>
          </w:tcPr>
          <w:p>
            <w:pPr>
              <w:spacing w:line="240" w:lineRule="auto"/>
            </w:pPr>
            <w:r/>
            <w:r>
              <w:rPr>
                <w:sz w:val="17"/>
              </w:rPr>
              <w:t>trip_planner/evaluation/</w:t>
            </w:r>
          </w:p>
        </w:tc>
        <w:tc>
          <w:tcPr>
            <w:tcW w:type="dxa" w:w="3384"/>
          </w:tcPr>
          <w:p>
            <w:pPr>
              <w:spacing w:line="240" w:lineRule="auto"/>
            </w:pPr>
            <w:r/>
            <w:r>
              <w:rPr>
                <w:sz w:val="17"/>
              </w:rPr>
              <w:t>The four arms, the scenarios, the metrics, the runner</w:t>
            </w:r>
          </w:p>
        </w:tc>
        <w:tc>
          <w:tcPr>
            <w:tcW w:type="dxa" w:w="3024"/>
          </w:tcPr>
          <w:p>
            <w:pPr>
              <w:spacing w:line="240" w:lineRule="auto"/>
            </w:pPr>
            <w:r/>
            <w:r>
              <w:rPr>
                <w:sz w:val="17"/>
              </w:rPr>
              <w:t>Evaluation code must not be reachable from the shipped path</w:t>
            </w:r>
          </w:p>
        </w:tc>
      </w:tr>
      <w:tr>
        <w:tc>
          <w:tcPr>
            <w:tcW w:type="dxa" w:w="2520"/>
          </w:tcPr>
          <w:p>
            <w:pPr>
              <w:spacing w:line="240" w:lineRule="auto"/>
            </w:pPr>
            <w:r/>
            <w:r>
              <w:rPr>
                <w:sz w:val="17"/>
              </w:rPr>
              <w:t>submission/build/make_*.py</w:t>
            </w:r>
          </w:p>
        </w:tc>
        <w:tc>
          <w:tcPr>
            <w:tcW w:type="dxa" w:w="3384"/>
          </w:tcPr>
          <w:p>
            <w:pPr>
              <w:spacing w:line="240" w:lineRule="auto"/>
            </w:pPr>
            <w:r/>
            <w:r>
              <w:rPr>
                <w:sz w:val="17"/>
              </w:rPr>
              <w:t>Figure generation with mechanical layout validation</w:t>
            </w:r>
          </w:p>
        </w:tc>
        <w:tc>
          <w:tcPr>
            <w:tcW w:type="dxa" w:w="3024"/>
          </w:tcPr>
          <w:p>
            <w:pPr>
              <w:spacing w:line="240" w:lineRule="auto"/>
            </w:pPr>
            <w:r/>
            <w:r>
              <w:rPr>
                <w:sz w:val="17"/>
              </w:rPr>
              <w:t>A document generator is code, and can be wrong like any other</w:t>
            </w:r>
          </w:p>
        </w:tc>
      </w:tr>
      <w:tr>
        <w:tc>
          <w:tcPr>
            <w:tcW w:type="dxa" w:w="2520"/>
          </w:tcPr>
          <w:p>
            <w:pPr>
              <w:spacing w:line="240" w:lineRule="auto"/>
            </w:pPr>
            <w:r/>
            <w:r>
              <w:rPr>
                <w:sz w:val="17"/>
              </w:rPr>
              <w:t>submission/build/</w:t>
            </w:r>
          </w:p>
        </w:tc>
        <w:tc>
          <w:tcPr>
            <w:tcW w:type="dxa" w:w="3384"/>
          </w:tcPr>
          <w:p>
            <w:pPr>
              <w:spacing w:line="240" w:lineRule="auto"/>
            </w:pPr>
            <w:r/>
            <w:r>
              <w:rPr>
                <w:sz w:val="17"/>
              </w:rPr>
              <w:t>One module per chapter, plus shared helpers</w:t>
            </w:r>
          </w:p>
        </w:tc>
        <w:tc>
          <w:tcPr>
            <w:tcW w:type="dxa" w:w="3024"/>
          </w:tcPr>
          <w:p>
            <w:pPr>
              <w:spacing w:line="240" w:lineRule="auto"/>
            </w:pPr>
            <w:r/>
            <w:r>
              <w:rPr>
                <w:sz w:val="17"/>
              </w:rPr>
              <w:t>Every number is interpolated from measured data, never typed</w:t>
            </w:r>
          </w:p>
        </w:tc>
      </w:tr>
    </w:tbl>
    <w:p/>
    <w:p>
      <w:pPr>
        <w:spacing w:line="360" w:lineRule="auto"/>
        <w:jc w:val="both"/>
      </w:pPr>
      <w:r>
        <w:t>The suite collects 403 tests. Section 5.7 sets out what they cover and, more importantly, what they do not: the message layer, the tool server, the record-and-replay cache and the metric collector have no unit tests, and are covered instead by the conformance experiment in Appendix B.</w:t>
      </w:r>
    </w:p>
    <w:p>
      <w:pPr>
        <w:spacing w:line="240" w:lineRule="auto"/>
        <w:jc w:val="center"/>
      </w:pPr>
      <w:r>
        <w:rPr>
          <w:i/>
          <w:color w:val="52514E"/>
          <w:sz w:val="19"/>
        </w:rPr>
        <w:t>Table E.3: Recorded API responses by host, 2,870 kB committed in total. These are what make the results reproducible without credentials.</w:t>
      </w:r>
    </w:p>
    <w:tbl>
      <w:tblPr>
        <w:tblStyle w:val="LightGrid-Accent1"/>
        <w:tblW w:type="auto" w:w="0"/>
        <w:jc w:val="center"/>
        <w:tblLook w:firstColumn="1" w:firstRow="1" w:lastColumn="0" w:lastRow="0" w:noHBand="0" w:noVBand="1" w:val="04A0"/>
      </w:tblPr>
      <w:tblGrid>
        <w:gridCol w:w="4680"/>
        <w:gridCol w:w="4680"/>
      </w:tblGrid>
      <w:tr>
        <w:tc>
          <w:tcPr>
            <w:tcW w:type="dxa" w:w="3744"/>
          </w:tcPr>
          <w:p>
            <w:pPr>
              <w:spacing w:line="240" w:lineRule="auto"/>
            </w:pPr>
            <w:r/>
            <w:r>
              <w:rPr>
                <w:b/>
                <w:sz w:val="19"/>
              </w:rPr>
              <w:t>Host</w:t>
            </w:r>
          </w:p>
        </w:tc>
        <w:tc>
          <w:tcPr>
            <w:tcW w:type="dxa" w:w="2016"/>
          </w:tcPr>
          <w:p>
            <w:pPr>
              <w:spacing w:line="240" w:lineRule="auto"/>
            </w:pPr>
            <w:r/>
            <w:r>
              <w:rPr>
                <w:b/>
                <w:sz w:val="19"/>
              </w:rPr>
              <w:t>Recorded responses</w:t>
            </w:r>
          </w:p>
        </w:tc>
      </w:tr>
      <w:tr>
        <w:tc>
          <w:tcPr>
            <w:tcW w:type="dxa" w:w="3744"/>
          </w:tcPr>
          <w:p>
            <w:pPr>
              <w:spacing w:line="240" w:lineRule="auto"/>
            </w:pPr>
            <w:r/>
            <w:r>
              <w:rPr>
                <w:sz w:val="19"/>
              </w:rPr>
              <w:t>booking-com15.p.rapidapi.com</w:t>
            </w:r>
          </w:p>
        </w:tc>
        <w:tc>
          <w:tcPr>
            <w:tcW w:type="dxa" w:w="2016"/>
          </w:tcPr>
          <w:p>
            <w:pPr>
              <w:spacing w:line="240" w:lineRule="auto"/>
            </w:pPr>
            <w:r/>
            <w:r>
              <w:rPr>
                <w:sz w:val="19"/>
              </w:rPr>
              <w:t>16</w:t>
            </w:r>
          </w:p>
        </w:tc>
      </w:tr>
      <w:tr>
        <w:tc>
          <w:tcPr>
            <w:tcW w:type="dxa" w:w="3744"/>
          </w:tcPr>
          <w:p>
            <w:pPr>
              <w:spacing w:line="240" w:lineRule="auto"/>
            </w:pPr>
            <w:r/>
            <w:r>
              <w:rPr>
                <w:sz w:val="19"/>
              </w:rPr>
              <w:t>fly-scraper.p.rapidapi.com</w:t>
            </w:r>
          </w:p>
        </w:tc>
        <w:tc>
          <w:tcPr>
            <w:tcW w:type="dxa" w:w="2016"/>
          </w:tcPr>
          <w:p>
            <w:pPr>
              <w:spacing w:line="240" w:lineRule="auto"/>
            </w:pPr>
            <w:r/>
            <w:r>
              <w:rPr>
                <w:sz w:val="19"/>
              </w:rPr>
              <w:t>8</w:t>
            </w:r>
          </w:p>
        </w:tc>
      </w:tr>
      <w:tr>
        <w:tc>
          <w:tcPr>
            <w:tcW w:type="dxa" w:w="3744"/>
          </w:tcPr>
          <w:p>
            <w:pPr>
              <w:spacing w:line="240" w:lineRule="auto"/>
            </w:pPr>
            <w:r/>
            <w:r>
              <w:rPr>
                <w:sz w:val="19"/>
              </w:rPr>
              <w:t>google.serper.dev</w:t>
            </w:r>
          </w:p>
        </w:tc>
        <w:tc>
          <w:tcPr>
            <w:tcW w:type="dxa" w:w="2016"/>
          </w:tcPr>
          <w:p>
            <w:pPr>
              <w:spacing w:line="240" w:lineRule="auto"/>
            </w:pPr>
            <w:r/>
            <w:r>
              <w:rPr>
                <w:sz w:val="19"/>
              </w:rPr>
              <w:t>6</w:t>
            </w:r>
          </w:p>
        </w:tc>
      </w:tr>
      <w:tr>
        <w:tc>
          <w:tcPr>
            <w:tcW w:type="dxa" w:w="3744"/>
          </w:tcPr>
          <w:p>
            <w:pPr>
              <w:spacing w:line="240" w:lineRule="auto"/>
            </w:pPr>
            <w:r/>
            <w:r>
              <w:rPr>
                <w:sz w:val="19"/>
              </w:rPr>
              <w:t>Total</w:t>
            </w:r>
          </w:p>
        </w:tc>
        <w:tc>
          <w:tcPr>
            <w:tcW w:type="dxa" w:w="2016"/>
          </w:tcPr>
          <w:p>
            <w:pPr>
              <w:spacing w:line="240" w:lineRule="auto"/>
            </w:pPr>
            <w:r/>
            <w:r>
              <w:rPr>
                <w:sz w:val="19"/>
              </w:rPr>
              <w:t>30</w:t>
            </w:r>
          </w:p>
        </w:tc>
      </w:tr>
    </w:tbl>
    <w:p/>
    <w:p>
      <w:r>
        <w:br w:type="page"/>
      </w:r>
    </w:p>
    <w:p>
      <w:pPr>
        <w:pStyle w:val="Heading1"/>
      </w:pPr>
      <w:r>
        <w:t>Appendix F — Forensic evidence from the recorded flight responses</w:t>
      </w:r>
    </w:p>
    <w:p>
      <w:pPr>
        <w:spacing w:line="360" w:lineRule="auto"/>
        <w:jc w:val="both"/>
      </w:pPr>
      <w:r>
        <w:t>The response cache doubles as a record of the flight-search defects described in Section 5.3. The three kinds of recording can be compared directly.</w:t>
      </w:r>
    </w:p>
    <w:p>
      <w:pPr>
        <w:spacing w:line="240" w:lineRule="auto"/>
        <w:jc w:val="center"/>
      </w:pPr>
      <w:r>
        <w:rPr>
          <w:i/>
          <w:color w:val="52514E"/>
          <w:sz w:val="19"/>
        </w:rPr>
        <w:t>Table F.1: Recorded evidence for the two silent flight-search defects. Both fixes were necessary; neither was signalled by an error.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736"/>
          </w:tcPr>
          <w:p>
            <w:pPr>
              <w:spacing w:line="240" w:lineRule="auto"/>
            </w:pPr>
            <w:r/>
            <w:r>
              <w:rPr>
                <w:b/>
                <w:sz w:val="17"/>
              </w:rPr>
              <w:t>Recording</w:t>
            </w:r>
          </w:p>
        </w:tc>
        <w:tc>
          <w:tcPr>
            <w:tcW w:type="dxa" w:w="1152"/>
          </w:tcPr>
          <w:p>
            <w:pPr>
              <w:spacing w:line="240" w:lineRule="auto"/>
            </w:pPr>
            <w:r/>
            <w:r>
              <w:rPr>
                <w:b/>
                <w:sz w:val="17"/>
              </w:rPr>
              <w:t>Bytes</w:t>
            </w:r>
          </w:p>
        </w:tc>
        <w:tc>
          <w:tcPr>
            <w:tcW w:type="dxa" w:w="1224"/>
          </w:tcPr>
          <w:p>
            <w:pPr>
              <w:spacing w:line="240" w:lineRule="auto"/>
            </w:pPr>
            <w:r/>
            <w:r>
              <w:rPr>
                <w:b/>
                <w:sz w:val="17"/>
              </w:rPr>
              <w:t>Itineraries returned</w:t>
            </w:r>
          </w:p>
        </w:tc>
        <w:tc>
          <w:tcPr>
            <w:tcW w:type="dxa" w:w="3960"/>
          </w:tcPr>
          <w:p>
            <w:pPr>
              <w:spacing w:line="240" w:lineRule="auto"/>
            </w:pPr>
            <w:r/>
            <w:r>
              <w:rPr>
                <w:b/>
                <w:sz w:val="17"/>
              </w:rPr>
              <w:t>What it demonstrates</w:t>
            </w:r>
          </w:p>
        </w:tc>
      </w:tr>
      <w:tr>
        <w:tc>
          <w:tcPr>
            <w:tcW w:type="dxa" w:w="2736"/>
          </w:tcPr>
          <w:p>
            <w:pPr>
              <w:spacing w:line="240" w:lineRule="auto"/>
            </w:pPr>
            <w:r/>
            <w:r>
              <w:rPr>
                <w:sz w:val="17"/>
              </w:rPr>
              <w:t>Search with snake_case date parameters</w:t>
            </w:r>
          </w:p>
        </w:tc>
        <w:tc>
          <w:tcPr>
            <w:tcW w:type="dxa" w:w="1152"/>
          </w:tcPr>
          <w:p>
            <w:pPr>
              <w:spacing w:line="240" w:lineRule="auto"/>
            </w:pPr>
            <w:r/>
            <w:r>
              <w:rPr>
                <w:sz w:val="17"/>
              </w:rPr>
              <w:t>703 / 3,269</w:t>
            </w:r>
          </w:p>
        </w:tc>
        <w:tc>
          <w:tcPr>
            <w:tcW w:type="dxa" w:w="1224"/>
          </w:tcPr>
          <w:p>
            <w:pPr>
              <w:spacing w:line="240" w:lineRule="auto"/>
            </w:pPr>
            <w:r/>
            <w:r>
              <w:rPr>
                <w:sz w:val="17"/>
              </w:rPr>
              <w:t>0</w:t>
            </w:r>
          </w:p>
        </w:tc>
        <w:tc>
          <w:tcPr>
            <w:tcW w:type="dxa" w:w="3960"/>
          </w:tcPr>
          <w:p>
            <w:pPr>
              <w:spacing w:line="240" w:lineRule="auto"/>
            </w:pPr>
            <w:r/>
            <w:r>
              <w:rPr>
                <w:sz w:val="17"/>
              </w:rPr>
              <w:t>The API accepted the request, returned HTTP 200, and ignored the dates</w:t>
            </w:r>
          </w:p>
        </w:tc>
      </w:tr>
      <w:tr>
        <w:tc>
          <w:tcPr>
            <w:tcW w:type="dxa" w:w="2736"/>
          </w:tcPr>
          <w:p>
            <w:pPr>
              <w:spacing w:line="240" w:lineRule="auto"/>
            </w:pPr>
            <w:r/>
            <w:r>
              <w:rPr>
                <w:sz w:val="17"/>
              </w:rPr>
              <w:t>Search with camelCase date parameters</w:t>
            </w:r>
          </w:p>
        </w:tc>
        <w:tc>
          <w:tcPr>
            <w:tcW w:type="dxa" w:w="1152"/>
          </w:tcPr>
          <w:p>
            <w:pPr>
              <w:spacing w:line="240" w:lineRule="auto"/>
            </w:pPr>
            <w:r/>
            <w:r>
              <w:rPr>
                <w:sz w:val="17"/>
              </w:rPr>
              <w:t>80,363</w:t>
            </w:r>
          </w:p>
        </w:tc>
        <w:tc>
          <w:tcPr>
            <w:tcW w:type="dxa" w:w="1224"/>
          </w:tcPr>
          <w:p>
            <w:pPr>
              <w:spacing w:line="240" w:lineRule="auto"/>
            </w:pPr>
            <w:r/>
            <w:r>
              <w:rPr>
                <w:sz w:val="17"/>
              </w:rPr>
              <w:t>10</w:t>
            </w:r>
          </w:p>
        </w:tc>
        <w:tc>
          <w:tcPr>
            <w:tcW w:type="dxa" w:w="3960"/>
          </w:tcPr>
          <w:p>
            <w:pPr>
              <w:spacing w:line="240" w:lineRule="auto"/>
            </w:pPr>
            <w:r/>
            <w:r>
              <w:rPr>
                <w:sz w:val="17"/>
              </w:rPr>
              <w:t>Correct dates, but status is still 'incomplete' — the search has only started</w:t>
            </w:r>
          </w:p>
        </w:tc>
      </w:tr>
      <w:tr>
        <w:tc>
          <w:tcPr>
            <w:tcW w:type="dxa" w:w="2736"/>
          </w:tcPr>
          <w:p>
            <w:pPr>
              <w:spacing w:line="240" w:lineRule="auto"/>
            </w:pPr>
            <w:r/>
            <w:r>
              <w:rPr>
                <w:sz w:val="17"/>
              </w:rPr>
              <w:t>Poll of the incomplete search</w:t>
            </w:r>
          </w:p>
        </w:tc>
        <w:tc>
          <w:tcPr>
            <w:tcW w:type="dxa" w:w="1152"/>
          </w:tcPr>
          <w:p>
            <w:pPr>
              <w:spacing w:line="240" w:lineRule="auto"/>
            </w:pPr>
            <w:r/>
            <w:r>
              <w:rPr>
                <w:sz w:val="17"/>
              </w:rPr>
              <w:t>2,348,924</w:t>
            </w:r>
          </w:p>
        </w:tc>
        <w:tc>
          <w:tcPr>
            <w:tcW w:type="dxa" w:w="1224"/>
          </w:tcPr>
          <w:p>
            <w:pPr>
              <w:spacing w:line="240" w:lineRule="auto"/>
            </w:pPr>
            <w:r/>
            <w:r>
              <w:rPr>
                <w:sz w:val="17"/>
              </w:rPr>
              <w:t>173</w:t>
            </w:r>
          </w:p>
        </w:tc>
        <w:tc>
          <w:tcPr>
            <w:tcW w:type="dxa" w:w="3960"/>
          </w:tcPr>
          <w:p>
            <w:pPr>
              <w:spacing w:line="240" w:lineRule="auto"/>
            </w:pPr>
            <w:r/>
            <w:r>
              <w:rPr>
                <w:sz w:val="17"/>
              </w:rPr>
              <w:t>Status 'complete'. Reading only the first response discards most available fares</w:t>
            </w:r>
          </w:p>
        </w:tc>
      </w:tr>
    </w:tbl>
    <w:p/>
    <w:p>
      <w:r>
        <w:br w:type="page"/>
      </w:r>
    </w:p>
    <w:p>
      <w:pPr>
        <w:pStyle w:val="Heading1"/>
      </w:pPr>
      <w:r>
        <w:t>Appendix G — Metrics, their provenance and their limits</w:t>
      </w:r>
    </w:p>
    <w:p>
      <w:pPr>
        <w:spacing w:line="360" w:lineRule="auto"/>
        <w:jc w:val="both"/>
      </w:pPr>
      <w:r>
        <w:t>Referenced from Section 3.4. The right-hand column governs how strongly Chapter 6 states its conclusions, and is the reason price grounding carries the quality claim while entity grounding is reported only as support.</w:t>
      </w:r>
    </w:p>
    <w:p>
      <w:pPr>
        <w:spacing w:line="240" w:lineRule="auto"/>
        <w:jc w:val="center"/>
      </w:pPr>
      <w:r>
        <w:rPr>
          <w:i/>
          <w:color w:val="52514E"/>
          <w:sz w:val="19"/>
        </w:rPr>
        <w:t>Table G.1: The seven metrics, their provenance, and the limit of each.</w:t>
      </w:r>
    </w:p>
    <w:tbl>
      <w:tblPr>
        <w:tblStyle w:val="LightGrid-Accent1"/>
        <w:tblW w:type="auto" w:w="0"/>
        <w:jc w:val="center"/>
        <w:tblLook w:firstColumn="1" w:firstRow="1" w:lastColumn="0" w:lastRow="0" w:noHBand="0" w:noVBand="1" w:val="04A0"/>
      </w:tblPr>
      <w:tblGrid>
        <w:gridCol w:w="3120"/>
        <w:gridCol w:w="3120"/>
        <w:gridCol w:w="3120"/>
      </w:tblGrid>
      <w:tr>
        <w:tc>
          <w:tcPr>
            <w:tcW w:type="dxa" w:w="1944"/>
          </w:tcPr>
          <w:p>
            <w:pPr>
              <w:spacing w:line="240" w:lineRule="auto"/>
            </w:pPr>
            <w:r/>
            <w:r>
              <w:rPr>
                <w:b/>
                <w:sz w:val="17"/>
              </w:rPr>
              <w:t>Metric</w:t>
            </w:r>
          </w:p>
        </w:tc>
        <w:tc>
          <w:tcPr>
            <w:tcW w:type="dxa" w:w="3528"/>
          </w:tcPr>
          <w:p>
            <w:pPr>
              <w:spacing w:line="240" w:lineRule="auto"/>
            </w:pPr>
            <w:r/>
            <w:r>
              <w:rPr>
                <w:b/>
                <w:sz w:val="17"/>
              </w:rPr>
              <w:t>How it is obtained</w:t>
            </w:r>
          </w:p>
        </w:tc>
        <w:tc>
          <w:tcPr>
            <w:tcW w:type="dxa" w:w="3456"/>
          </w:tcPr>
          <w:p>
            <w:pPr>
              <w:spacing w:line="240" w:lineRule="auto"/>
            </w:pPr>
            <w:r/>
            <w:r>
              <w:rPr>
                <w:b/>
                <w:sz w:val="17"/>
              </w:rPr>
              <w:t>What it cannot establish</w:t>
            </w:r>
          </w:p>
        </w:tc>
      </w:tr>
      <w:tr>
        <w:tc>
          <w:tcPr>
            <w:tcW w:type="dxa" w:w="1944"/>
          </w:tcPr>
          <w:p>
            <w:pPr>
              <w:spacing w:line="240" w:lineRule="auto"/>
            </w:pPr>
            <w:r/>
            <w:r>
              <w:rPr>
                <w:sz w:val="17"/>
              </w:rPr>
              <w:t>Model requests per trip</w:t>
            </w:r>
          </w:p>
        </w:tc>
        <w:tc>
          <w:tcPr>
            <w:tcW w:type="dxa" w:w="3528"/>
          </w:tcPr>
          <w:p>
            <w:pPr>
              <w:spacing w:line="240" w:lineRule="auto"/>
            </w:pPr>
            <w:r/>
            <w:r>
              <w:rPr>
                <w:sz w:val="17"/>
              </w:rPr>
              <w:t>Counted by provider callback on every completion, including those issued inside reasoning loops and internal retries</w:t>
            </w:r>
          </w:p>
        </w:tc>
        <w:tc>
          <w:tcPr>
            <w:tcW w:type="dxa" w:w="3456"/>
          </w:tcPr>
          <w:p>
            <w:pPr>
              <w:spacing w:line="240" w:lineRule="auto"/>
            </w:pPr>
            <w:r/>
            <w:r>
              <w:rPr>
                <w:sz w:val="17"/>
              </w:rPr>
              <w:t>Nothing about whether a request was useful — only that it happened</w:t>
            </w:r>
          </w:p>
        </w:tc>
      </w:tr>
      <w:tr>
        <w:tc>
          <w:tcPr>
            <w:tcW w:type="dxa" w:w="1944"/>
          </w:tcPr>
          <w:p>
            <w:pPr>
              <w:spacing w:line="240" w:lineRule="auto"/>
            </w:pPr>
            <w:r/>
            <w:r>
              <w:rPr>
                <w:sz w:val="17"/>
              </w:rPr>
              <w:t>Prompt and completion tokens</w:t>
            </w:r>
          </w:p>
        </w:tc>
        <w:tc>
          <w:tcPr>
            <w:tcW w:type="dxa" w:w="3528"/>
          </w:tcPr>
          <w:p>
            <w:pPr>
              <w:spacing w:line="240" w:lineRule="auto"/>
            </w:pPr>
            <w:r/>
            <w:r>
              <w:rPr>
                <w:sz w:val="17"/>
              </w:rPr>
              <w:t>Read from the provider's usage field per request</w:t>
            </w:r>
          </w:p>
        </w:tc>
        <w:tc>
          <w:tcPr>
            <w:tcW w:type="dxa" w:w="3456"/>
          </w:tcPr>
          <w:p>
            <w:pPr>
              <w:spacing w:line="240" w:lineRule="auto"/>
            </w:pPr>
            <w:r/>
            <w:r>
              <w:rPr>
                <w:sz w:val="17"/>
              </w:rPr>
              <w:t>Cost equivalence: on this model output tokens are billed several times input, so a token total conceals which kind it is made of</w:t>
            </w:r>
          </w:p>
        </w:tc>
      </w:tr>
      <w:tr>
        <w:tc>
          <w:tcPr>
            <w:tcW w:type="dxa" w:w="1944"/>
          </w:tcPr>
          <w:p>
            <w:pPr>
              <w:spacing w:line="240" w:lineRule="auto"/>
            </w:pPr>
            <w:r/>
            <w:r>
              <w:rPr>
                <w:sz w:val="17"/>
              </w:rPr>
              <w:t>Cost in US dollars</w:t>
            </w:r>
          </w:p>
        </w:tc>
        <w:tc>
          <w:tcPr>
            <w:tcW w:type="dxa" w:w="3528"/>
          </w:tcPr>
          <w:p>
            <w:pPr>
              <w:spacing w:line="240" w:lineRule="auto"/>
            </w:pPr>
            <w:r/>
            <w:r>
              <w:rPr>
                <w:sz w:val="17"/>
              </w:rPr>
              <w:t>Computed by the client library from its own price table</w:t>
            </w:r>
          </w:p>
        </w:tc>
        <w:tc>
          <w:tcPr>
            <w:tcW w:type="dxa" w:w="3456"/>
          </w:tcPr>
          <w:p>
            <w:pPr>
              <w:spacing w:line="240" w:lineRule="auto"/>
            </w:pPr>
            <w:r/>
            <w:r>
              <w:rPr>
                <w:sz w:val="17"/>
              </w:rPr>
              <w:t>Portability. A different provider or tier changes every figure</w:t>
            </w:r>
          </w:p>
        </w:tc>
      </w:tr>
      <w:tr>
        <w:tc>
          <w:tcPr>
            <w:tcW w:type="dxa" w:w="1944"/>
          </w:tcPr>
          <w:p>
            <w:pPr>
              <w:spacing w:line="240" w:lineRule="auto"/>
            </w:pPr>
            <w:r/>
            <w:r>
              <w:rPr>
                <w:sz w:val="17"/>
              </w:rPr>
              <w:t>Wall-clock latency</w:t>
            </w:r>
          </w:p>
        </w:tc>
        <w:tc>
          <w:tcPr>
            <w:tcW w:type="dxa" w:w="3528"/>
          </w:tcPr>
          <w:p>
            <w:pPr>
              <w:spacing w:line="240" w:lineRule="auto"/>
            </w:pPr>
            <w:r/>
            <w:r>
              <w:rPr>
                <w:sz w:val="17"/>
              </w:rPr>
              <w:t>Measured per arm and per phase</w:t>
            </w:r>
          </w:p>
        </w:tc>
        <w:tc>
          <w:tcPr>
            <w:tcW w:type="dxa" w:w="3456"/>
          </w:tcPr>
          <w:p>
            <w:pPr>
              <w:spacing w:line="240" w:lineRule="auto"/>
            </w:pPr>
            <w:r/>
            <w:r>
              <w:rPr>
                <w:sz w:val="17"/>
              </w:rPr>
              <w:t>The network component, since retrieval is replayed from disk and a live run would be slower</w:t>
            </w:r>
          </w:p>
        </w:tc>
      </w:tr>
      <w:tr>
        <w:tc>
          <w:tcPr>
            <w:tcW w:type="dxa" w:w="1944"/>
          </w:tcPr>
          <w:p>
            <w:pPr>
              <w:spacing w:line="240" w:lineRule="auto"/>
            </w:pPr>
            <w:r/>
            <w:r>
              <w:rPr>
                <w:sz w:val="17"/>
              </w:rPr>
              <w:t>Prices grounded</w:t>
            </w:r>
          </w:p>
        </w:tc>
        <w:tc>
          <w:tcPr>
            <w:tcW w:type="dxa" w:w="3528"/>
          </w:tcPr>
          <w:p>
            <w:pPr>
              <w:spacing w:line="240" w:lineRule="auto"/>
            </w:pPr>
            <w:r/>
            <w:r>
              <w:rPr>
                <w:sz w:val="17"/>
              </w:rPr>
              <w:t>Proportion of prices quoted in the itinerary matching a recorded fare or nightly rate within 2%</w:t>
            </w:r>
          </w:p>
        </w:tc>
        <w:tc>
          <w:tcPr>
            <w:tcW w:type="dxa" w:w="3456"/>
          </w:tcPr>
          <w:p>
            <w:pPr>
              <w:spacing w:line="240" w:lineRule="auto"/>
            </w:pPr>
            <w:r/>
            <w:r>
              <w:rPr>
                <w:sz w:val="17"/>
              </w:rPr>
              <w:t>Whether the option chosen was a good one, or whether the plan is internally consistent</w:t>
            </w:r>
          </w:p>
        </w:tc>
      </w:tr>
      <w:tr>
        <w:tc>
          <w:tcPr>
            <w:tcW w:type="dxa" w:w="1944"/>
          </w:tcPr>
          <w:p>
            <w:pPr>
              <w:spacing w:line="240" w:lineRule="auto"/>
            </w:pPr>
            <w:r/>
            <w:r>
              <w:rPr>
                <w:sz w:val="17"/>
              </w:rPr>
              <w:t>Entities grounded</w:t>
            </w:r>
          </w:p>
        </w:tc>
        <w:tc>
          <w:tcPr>
            <w:tcW w:type="dxa" w:w="3528"/>
          </w:tcPr>
          <w:p>
            <w:pPr>
              <w:spacing w:line="240" w:lineRule="auto"/>
            </w:pPr>
            <w:r/>
            <w:r>
              <w:rPr>
                <w:sz w:val="17"/>
              </w:rPr>
              <w:t>Hotel and airline names in the itinerary appearing in the retrieved results</w:t>
            </w:r>
          </w:p>
        </w:tc>
        <w:tc>
          <w:tcPr>
            <w:tcW w:type="dxa" w:w="3456"/>
          </w:tcPr>
          <w:p>
            <w:pPr>
              <w:spacing w:line="240" w:lineRule="auto"/>
            </w:pPr>
            <w:r/>
            <w:r>
              <w:rPr>
                <w:sz w:val="17"/>
              </w:rPr>
              <w:t>Much at all on its own — the obvious airline for a route is guessable, so this is supporting evidence only</w:t>
            </w:r>
          </w:p>
        </w:tc>
      </w:tr>
      <w:tr>
        <w:tc>
          <w:tcPr>
            <w:tcW w:type="dxa" w:w="1944"/>
          </w:tcPr>
          <w:p>
            <w:pPr>
              <w:spacing w:line="240" w:lineRule="auto"/>
            </w:pPr>
            <w:r/>
            <w:r>
              <w:rPr>
                <w:sz w:val="17"/>
              </w:rPr>
              <w:t>Protocol conformance</w:t>
            </w:r>
          </w:p>
        </w:tc>
        <w:tc>
          <w:tcPr>
            <w:tcW w:type="dxa" w:w="3528"/>
          </w:tcPr>
          <w:p>
            <w:pPr>
              <w:spacing w:line="240" w:lineRule="auto"/>
            </w:pPr>
            <w:r/>
            <w:r>
              <w:rPr>
                <w:sz w:val="17"/>
              </w:rPr>
              <w:t>Nine executable checks over the message layer and the tool schemas</w:t>
            </w:r>
          </w:p>
        </w:tc>
        <w:tc>
          <w:tcPr>
            <w:tcW w:type="dxa" w:w="3456"/>
          </w:tcPr>
          <w:p>
            <w:pPr>
              <w:spacing w:line="240" w:lineRule="auto"/>
            </w:pPr>
            <w:r/>
            <w:r>
              <w:rPr>
                <w:sz w:val="17"/>
              </w:rPr>
              <w:t>Whether a conforming protocol produces better plans</w:t>
            </w:r>
          </w:p>
        </w:tc>
      </w:tr>
    </w:tbl>
    <w:p/>
    <w:p>
      <w:r>
        <w:br w:type="page"/>
      </w:r>
    </w:p>
    <w:p>
      <w:pPr>
        <w:pStyle w:val="Heading1"/>
      </w:pPr>
      <w:r>
        <w:t>Appendix H — Test coverage by area</w:t>
      </w:r>
    </w:p>
    <w:p>
      <w:pPr>
        <w:spacing w:line="360" w:lineRule="auto"/>
        <w:jc w:val="both"/>
      </w:pPr>
      <w:r>
        <w:t>Referenced from Section 5.7. The modules with most tests are the ones least central to the research claim, which is a consequence of their being the cheapest to test rather than a judgement about where defects were likely.</w:t>
      </w:r>
    </w:p>
    <w:p>
      <w:pPr>
        <w:spacing w:line="240" w:lineRule="auto"/>
        <w:jc w:val="center"/>
      </w:pPr>
      <w:r>
        <w:rPr>
          <w:i/>
          <w:color w:val="52514E"/>
          <w:sz w:val="19"/>
        </w:rPr>
        <w:t>Table H.1: Test coverage by area.</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pPr>
              <w:spacing w:line="240" w:lineRule="auto"/>
            </w:pPr>
            <w:r/>
            <w:r>
              <w:rPr>
                <w:b/>
                <w:sz w:val="17"/>
              </w:rPr>
              <w:t>Area</w:t>
            </w:r>
          </w:p>
        </w:tc>
        <w:tc>
          <w:tcPr>
            <w:tcW w:type="dxa" w:w="2520"/>
          </w:tcPr>
          <w:p>
            <w:pPr>
              <w:spacing w:line="240" w:lineRule="auto"/>
            </w:pPr>
            <w:r/>
            <w:r>
              <w:rPr>
                <w:b/>
                <w:sz w:val="17"/>
              </w:rPr>
              <w:t>Covered by the suite</w:t>
            </w:r>
          </w:p>
        </w:tc>
        <w:tc>
          <w:tcPr>
            <w:tcW w:type="dxa" w:w="3672"/>
          </w:tcPr>
          <w:p>
            <w:pPr>
              <w:spacing w:line="240" w:lineRule="auto"/>
            </w:pPr>
            <w:r/>
            <w:r>
              <w:rPr>
                <w:b/>
                <w:sz w:val="17"/>
              </w:rPr>
              <w:t>Assessment</w:t>
            </w:r>
          </w:p>
        </w:tc>
      </w:tr>
      <w:tr>
        <w:tc>
          <w:tcPr>
            <w:tcW w:type="dxa" w:w="2448"/>
          </w:tcPr>
          <w:p>
            <w:pPr>
              <w:spacing w:line="240" w:lineRule="auto"/>
            </w:pPr>
            <w:r/>
            <w:r>
              <w:rPr>
                <w:sz w:val="17"/>
              </w:rPr>
              <w:t>Budget allocation and splitting</w:t>
            </w:r>
          </w:p>
        </w:tc>
        <w:tc>
          <w:tcPr>
            <w:tcW w:type="dxa" w:w="2520"/>
          </w:tcPr>
          <w:p>
            <w:pPr>
              <w:spacing w:line="240" w:lineRule="auto"/>
            </w:pPr>
            <w:r/>
            <w:r>
              <w:rPr>
                <w:sz w:val="17"/>
              </w:rPr>
              <w:t>Yes, extensively</w:t>
            </w:r>
          </w:p>
        </w:tc>
        <w:tc>
          <w:tcPr>
            <w:tcW w:type="dxa" w:w="3672"/>
          </w:tcPr>
          <w:p>
            <w:pPr>
              <w:spacing w:line="240" w:lineRule="auto"/>
            </w:pPr>
            <w:r/>
            <w:r>
              <w:rPr>
                <w:sz w:val="17"/>
              </w:rPr>
              <w:t>Pure functions with no network or model, so cheap to test thoroughly</w:t>
            </w:r>
          </w:p>
        </w:tc>
      </w:tr>
      <w:tr>
        <w:tc>
          <w:tcPr>
            <w:tcW w:type="dxa" w:w="2448"/>
          </w:tcPr>
          <w:p>
            <w:pPr>
              <w:spacing w:line="240" w:lineRule="auto"/>
            </w:pPr>
            <w:r/>
            <w:r>
              <w:rPr>
                <w:sz w:val="17"/>
              </w:rPr>
              <w:t>Trip cost estimation and the feasibility floor</w:t>
            </w:r>
          </w:p>
        </w:tc>
        <w:tc>
          <w:tcPr>
            <w:tcW w:type="dxa" w:w="2520"/>
          </w:tcPr>
          <w:p>
            <w:pPr>
              <w:spacing w:line="240" w:lineRule="auto"/>
            </w:pPr>
            <w:r/>
            <w:r>
              <w:rPr>
                <w:sz w:val="17"/>
              </w:rPr>
              <w:t>Yes</w:t>
            </w:r>
          </w:p>
        </w:tc>
        <w:tc>
          <w:tcPr>
            <w:tcW w:type="dxa" w:w="3672"/>
          </w:tcPr>
          <w:p>
            <w:pPr>
              <w:spacing w:line="240" w:lineRule="auto"/>
            </w:pPr>
            <w:r/>
            <w:r>
              <w:rPr>
                <w:sz w:val="17"/>
              </w:rPr>
              <w:t>Tested against the module's own thresholds, which is why Section 6.5 evaluates it against real fares instead</w:t>
            </w:r>
          </w:p>
        </w:tc>
      </w:tr>
      <w:tr>
        <w:tc>
          <w:tcPr>
            <w:tcW w:type="dxa" w:w="2448"/>
          </w:tcPr>
          <w:p>
            <w:pPr>
              <w:spacing w:line="240" w:lineRule="auto"/>
            </w:pPr>
            <w:r/>
            <w:r>
              <w:rPr>
                <w:sz w:val="17"/>
              </w:rPr>
              <w:t>Itinerary day-count validation</w:t>
            </w:r>
          </w:p>
        </w:tc>
        <w:tc>
          <w:tcPr>
            <w:tcW w:type="dxa" w:w="2520"/>
          </w:tcPr>
          <w:p>
            <w:pPr>
              <w:spacing w:line="240" w:lineRule="auto"/>
            </w:pPr>
            <w:r/>
            <w:r>
              <w:rPr>
                <w:sz w:val="17"/>
              </w:rPr>
              <w:t>Yes</w:t>
            </w:r>
          </w:p>
        </w:tc>
        <w:tc>
          <w:tcPr>
            <w:tcW w:type="dxa" w:w="3672"/>
          </w:tcPr>
          <w:p>
            <w:pPr>
              <w:spacing w:line="240" w:lineRule="auto"/>
            </w:pPr>
            <w:r/>
            <w:r>
              <w:rPr>
                <w:sz w:val="17"/>
              </w:rPr>
              <w:t>Straightforward and adequate</w:t>
            </w:r>
          </w:p>
        </w:tc>
      </w:tr>
      <w:tr>
        <w:tc>
          <w:tcPr>
            <w:tcW w:type="dxa" w:w="2448"/>
          </w:tcPr>
          <w:p>
            <w:pPr>
              <w:spacing w:line="240" w:lineRule="auto"/>
            </w:pPr>
            <w:r/>
            <w:r>
              <w:rPr>
                <w:sz w:val="17"/>
              </w:rPr>
              <w:t>Documentation accuracy</w:t>
            </w:r>
          </w:p>
        </w:tc>
        <w:tc>
          <w:tcPr>
            <w:tcW w:type="dxa" w:w="2520"/>
          </w:tcPr>
          <w:p>
            <w:pPr>
              <w:spacing w:line="240" w:lineRule="auto"/>
            </w:pPr>
            <w:r/>
            <w:r>
              <w:rPr>
                <w:sz w:val="17"/>
              </w:rPr>
              <w:t>Yes</w:t>
            </w:r>
          </w:p>
        </w:tc>
        <w:tc>
          <w:tcPr>
            <w:tcW w:type="dxa" w:w="3672"/>
          </w:tcPr>
          <w:p>
            <w:pPr>
              <w:spacing w:line="240" w:lineRule="auto"/>
            </w:pPr>
            <w:r/>
            <w:r>
              <w:rPr>
                <w:sz w:val="17"/>
              </w:rPr>
              <w:t>Tests that documented files exist and documented counts match the code — unusual, and it has caught real drift</w:t>
            </w:r>
          </w:p>
        </w:tc>
      </w:tr>
      <w:tr>
        <w:tc>
          <w:tcPr>
            <w:tcW w:type="dxa" w:w="2448"/>
          </w:tcPr>
          <w:p>
            <w:pPr>
              <w:spacing w:line="240" w:lineRule="auto"/>
            </w:pPr>
            <w:r/>
            <w:r>
              <w:rPr>
                <w:sz w:val="17"/>
              </w:rPr>
              <w:t>Safe arithmetic evaluation</w:t>
            </w:r>
          </w:p>
        </w:tc>
        <w:tc>
          <w:tcPr>
            <w:tcW w:type="dxa" w:w="2520"/>
          </w:tcPr>
          <w:p>
            <w:pPr>
              <w:spacing w:line="240" w:lineRule="auto"/>
            </w:pPr>
            <w:r/>
            <w:r>
              <w:rPr>
                <w:sz w:val="17"/>
              </w:rPr>
              <w:t>Yes, since the audit</w:t>
            </w:r>
          </w:p>
        </w:tc>
        <w:tc>
          <w:tcPr>
            <w:tcW w:type="dxa" w:w="3672"/>
          </w:tcPr>
          <w:p>
            <w:pPr>
              <w:spacing w:line="240" w:lineRule="auto"/>
            </w:pPr>
            <w:r/>
            <w:r>
              <w:rPr>
                <w:sz w:val="17"/>
              </w:rPr>
              <w:t>Previously the tests exercised a copy inside the test file while the tool used a character allowlist and a bare eval. One module now, and a test asserts the server's tool IS that module (Section 5.7)</w:t>
            </w:r>
          </w:p>
        </w:tc>
      </w:tr>
      <w:tr>
        <w:tc>
          <w:tcPr>
            <w:tcW w:type="dxa" w:w="2448"/>
          </w:tcPr>
          <w:p>
            <w:pPr>
              <w:spacing w:line="240" w:lineRule="auto"/>
            </w:pPr>
            <w:r/>
            <w:r>
              <w:rPr>
                <w:sz w:val="17"/>
              </w:rPr>
              <w:t>The message layer</w:t>
            </w:r>
          </w:p>
        </w:tc>
        <w:tc>
          <w:tcPr>
            <w:tcW w:type="dxa" w:w="2520"/>
          </w:tcPr>
          <w:p>
            <w:pPr>
              <w:spacing w:line="240" w:lineRule="auto"/>
            </w:pPr>
            <w:r/>
            <w:r>
              <w:rPr>
                <w:sz w:val="17"/>
              </w:rPr>
              <w:t>No</w:t>
            </w:r>
          </w:p>
        </w:tc>
        <w:tc>
          <w:tcPr>
            <w:tcW w:type="dxa" w:w="3672"/>
          </w:tcPr>
          <w:p>
            <w:pPr>
              <w:spacing w:line="240" w:lineRule="auto"/>
            </w:pPr>
            <w:r/>
            <w:r>
              <w:rPr>
                <w:sz w:val="17"/>
              </w:rPr>
              <w:t>Covered instead by the conformance experiment, which found three defects</w:t>
            </w:r>
          </w:p>
        </w:tc>
      </w:tr>
      <w:tr>
        <w:tc>
          <w:tcPr>
            <w:tcW w:type="dxa" w:w="2448"/>
          </w:tcPr>
          <w:p>
            <w:pPr>
              <w:spacing w:line="240" w:lineRule="auto"/>
            </w:pPr>
            <w:r/>
            <w:r>
              <w:rPr>
                <w:sz w:val="17"/>
              </w:rPr>
              <w:t>The tool server and its schemas</w:t>
            </w:r>
          </w:p>
        </w:tc>
        <w:tc>
          <w:tcPr>
            <w:tcW w:type="dxa" w:w="2520"/>
          </w:tcPr>
          <w:p>
            <w:pPr>
              <w:spacing w:line="240" w:lineRule="auto"/>
            </w:pPr>
            <w:r/>
            <w:r>
              <w:rPr>
                <w:sz w:val="17"/>
              </w:rPr>
              <w:t>No</w:t>
            </w:r>
          </w:p>
        </w:tc>
        <w:tc>
          <w:tcPr>
            <w:tcW w:type="dxa" w:w="3672"/>
          </w:tcPr>
          <w:p>
            <w:pPr>
              <w:spacing w:line="240" w:lineRule="auto"/>
            </w:pPr>
            <w:r/>
            <w:r>
              <w:rPr>
                <w:sz w:val="17"/>
              </w:rPr>
              <w:t>Covered instead by the conformance experiment, which found four defective schemas</w:t>
            </w:r>
          </w:p>
        </w:tc>
      </w:tr>
      <w:tr>
        <w:tc>
          <w:tcPr>
            <w:tcW w:type="dxa" w:w="2448"/>
          </w:tcPr>
          <w:p>
            <w:pPr>
              <w:spacing w:line="240" w:lineRule="auto"/>
            </w:pPr>
            <w:r/>
            <w:r>
              <w:rPr>
                <w:sz w:val="17"/>
              </w:rPr>
              <w:t>Record and replay, and metric collection</w:t>
            </w:r>
          </w:p>
        </w:tc>
        <w:tc>
          <w:tcPr>
            <w:tcW w:type="dxa" w:w="2520"/>
          </w:tcPr>
          <w:p>
            <w:pPr>
              <w:spacing w:line="240" w:lineRule="auto"/>
            </w:pPr>
            <w:r/>
            <w:r>
              <w:rPr>
                <w:sz w:val="17"/>
              </w:rPr>
              <w:t>No</w:t>
            </w:r>
          </w:p>
        </w:tc>
        <w:tc>
          <w:tcPr>
            <w:tcW w:type="dxa" w:w="3672"/>
          </w:tcPr>
          <w:p>
            <w:pPr>
              <w:spacing w:line="240" w:lineRule="auto"/>
            </w:pPr>
            <w:r/>
            <w:r>
              <w:rPr>
                <w:sz w:val="17"/>
              </w:rPr>
              <w:t>Exercised on every evaluation run but never asserted</w:t>
            </w:r>
          </w:p>
        </w:tc>
      </w:tr>
      <w:tr>
        <w:tc>
          <w:tcPr>
            <w:tcW w:type="dxa" w:w="2448"/>
          </w:tcPr>
          <w:p>
            <w:pPr>
              <w:spacing w:line="240" w:lineRule="auto"/>
            </w:pPr>
            <w:r/>
            <w:r>
              <w:rPr>
                <w:sz w:val="17"/>
              </w:rPr>
              <w:t>The four arms</w:t>
            </w:r>
          </w:p>
        </w:tc>
        <w:tc>
          <w:tcPr>
            <w:tcW w:type="dxa" w:w="2520"/>
          </w:tcPr>
          <w:p>
            <w:pPr>
              <w:spacing w:line="240" w:lineRule="auto"/>
            </w:pPr>
            <w:r/>
            <w:r>
              <w:rPr>
                <w:sz w:val="17"/>
              </w:rPr>
              <w:t>No</w:t>
            </w:r>
          </w:p>
        </w:tc>
        <w:tc>
          <w:tcPr>
            <w:tcW w:type="dxa" w:w="3672"/>
          </w:tcPr>
          <w:p>
            <w:pPr>
              <w:spacing w:line="240" w:lineRule="auto"/>
            </w:pPr>
            <w:r/>
            <w:r>
              <w:rPr>
                <w:sz w:val="17"/>
              </w:rPr>
              <w:t>Each run costs model quota, so no automated test drives them</w:t>
            </w:r>
          </w:p>
        </w:tc>
      </w:tr>
    </w:tbl>
    <w:p/>
    <w:p>
      <w:r>
        <w:br w:type="page"/>
      </w:r>
    </w:p>
    <w:p>
      <w:pPr>
        <w:pStyle w:val="Heading1"/>
      </w:pPr>
      <w:r>
        <w:t>Appendix I — Every deviation from the proposal</w:t>
      </w:r>
    </w:p>
    <w:p>
      <w:pPr>
        <w:spacing w:line="360" w:lineRule="auto"/>
        <w:jc w:val="both"/>
      </w:pPr>
      <w:r>
        <w:t>Referenced from Section 7.3, which groups these by cause and argues the two that are delivery failures rather than design changes.</w:t>
      </w:r>
    </w:p>
    <w:p>
      <w:pPr>
        <w:spacing w:line="240" w:lineRule="auto"/>
        <w:jc w:val="center"/>
      </w:pPr>
      <w:r>
        <w:rPr>
          <w:i/>
          <w:color w:val="52514E"/>
          <w:sz w:val="19"/>
        </w:rPr>
        <w:t>Table I.1: Every deviation from the proposal, with its reason and its evidence.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1944"/>
          </w:tcPr>
          <w:p>
            <w:pPr>
              <w:spacing w:line="240" w:lineRule="auto"/>
            </w:pPr>
            <w:r/>
            <w:r>
              <w:rPr>
                <w:b/>
                <w:sz w:val="17"/>
              </w:rPr>
              <w:t>Proposed</w:t>
            </w:r>
          </w:p>
        </w:tc>
        <w:tc>
          <w:tcPr>
            <w:tcW w:type="dxa" w:w="1944"/>
          </w:tcPr>
          <w:p>
            <w:pPr>
              <w:spacing w:line="240" w:lineRule="auto"/>
            </w:pPr>
            <w:r/>
            <w:r>
              <w:rPr>
                <w:b/>
                <w:sz w:val="17"/>
              </w:rPr>
              <w:t>Delivered</w:t>
            </w:r>
          </w:p>
        </w:tc>
        <w:tc>
          <w:tcPr>
            <w:tcW w:type="dxa" w:w="5040"/>
          </w:tcPr>
          <w:p>
            <w:pPr>
              <w:spacing w:line="240" w:lineRule="auto"/>
            </w:pPr>
            <w:r/>
            <w:r>
              <w:rPr>
                <w:b/>
                <w:sz w:val="17"/>
              </w:rPr>
              <w:t>Why it changed, and where the evidence sits</w:t>
            </w:r>
          </w:p>
        </w:tc>
      </w:tr>
      <w:tr>
        <w:tc>
          <w:tcPr>
            <w:tcW w:type="dxa" w:w="1944"/>
          </w:tcPr>
          <w:p>
            <w:pPr>
              <w:spacing w:line="240" w:lineRule="auto"/>
            </w:pPr>
            <w:r/>
            <w:r>
              <w:rPr>
                <w:sz w:val="17"/>
              </w:rPr>
              <w:t>Six agents in production</w:t>
            </w:r>
          </w:p>
        </w:tc>
        <w:tc>
          <w:tcPr>
            <w:tcW w:type="dxa" w:w="1944"/>
          </w:tcPr>
          <w:p>
            <w:pPr>
              <w:spacing w:line="240" w:lineRule="auto"/>
            </w:pPr>
            <w:r/>
            <w:r>
              <w:rPr>
                <w:sz w:val="17"/>
              </w:rPr>
              <w:t>Three; six retained for evaluation</w:t>
            </w:r>
          </w:p>
        </w:tc>
        <w:tc>
          <w:tcPr>
            <w:tcW w:type="dxa" w:w="5040"/>
          </w:tcPr>
          <w:p>
            <w:pPr>
              <w:spacing w:line="240" w:lineRule="auto"/>
            </w:pPr>
            <w:r/>
            <w:r>
              <w:rPr>
                <w:sz w:val="17"/>
              </w:rPr>
              <w:t>Instrumentation showed most requests were spent on deterministic retrieval. The six-agent design was measured before it was replaced and tuned before being used as a baseline (Sections 6.2, 6.3)</w:t>
            </w:r>
          </w:p>
        </w:tc>
      </w:tr>
      <w:tr>
        <w:tc>
          <w:tcPr>
            <w:tcW w:type="dxa" w:w="1944"/>
          </w:tcPr>
          <w:p>
            <w:pPr>
              <w:spacing w:line="240" w:lineRule="auto"/>
            </w:pPr>
            <w:r/>
            <w:r>
              <w:rPr>
                <w:sz w:val="17"/>
              </w:rPr>
              <w:t>Kiwi.com for flights</w:t>
            </w:r>
          </w:p>
        </w:tc>
        <w:tc>
          <w:tcPr>
            <w:tcW w:type="dxa" w:w="1944"/>
          </w:tcPr>
          <w:p>
            <w:pPr>
              <w:spacing w:line="240" w:lineRule="auto"/>
            </w:pPr>
            <w:r/>
            <w:r>
              <w:rPr>
                <w:sz w:val="17"/>
              </w:rPr>
              <w:t>fly-scraper via RapidAPI</w:t>
            </w:r>
          </w:p>
        </w:tc>
        <w:tc>
          <w:tcPr>
            <w:tcW w:type="dxa" w:w="5040"/>
          </w:tcPr>
          <w:p>
            <w:pPr>
              <w:spacing w:line="240" w:lineRule="auto"/>
            </w:pPr>
            <w:r/>
            <w:r>
              <w:rPr>
                <w:sz w:val="17"/>
              </w:rPr>
              <w:t>Kiwi withdrew free API access during the project; this was the only remaining free option with return-fare search (Section 5.3)</w:t>
            </w:r>
          </w:p>
        </w:tc>
      </w:tr>
      <w:tr>
        <w:tc>
          <w:tcPr>
            <w:tcW w:type="dxa" w:w="1944"/>
          </w:tcPr>
          <w:p>
            <w:pPr>
              <w:spacing w:line="240" w:lineRule="auto"/>
            </w:pPr>
            <w:r/>
            <w:r>
              <w:rPr>
                <w:sz w:val="17"/>
              </w:rPr>
              <w:t>GPT-4o and GPT-4o-mini split</w:t>
            </w:r>
          </w:p>
        </w:tc>
        <w:tc>
          <w:tcPr>
            <w:tcW w:type="dxa" w:w="1944"/>
          </w:tcPr>
          <w:p>
            <w:pPr>
              <w:spacing w:line="240" w:lineRule="auto"/>
            </w:pPr>
            <w:r/>
            <w:r>
              <w:rPr>
                <w:sz w:val="17"/>
              </w:rPr>
              <w:t>Gemini 3.6 Flash throughout</w:t>
            </w:r>
          </w:p>
        </w:tc>
        <w:tc>
          <w:tcPr>
            <w:tcW w:type="dxa" w:w="5040"/>
          </w:tcPr>
          <w:p>
            <w:pPr>
              <w:spacing w:line="240" w:lineRule="auto"/>
            </w:pPr>
            <w:r/>
            <w:r>
              <w:rPr>
                <w:sz w:val="17"/>
              </w:rPr>
              <w:t>A free tier made repeated evaluation affordable, and one model removes model choice as a confound between arms (Appendix N)</w:t>
            </w:r>
          </w:p>
        </w:tc>
      </w:tr>
      <w:tr>
        <w:tc>
          <w:tcPr>
            <w:tcW w:type="dxa" w:w="1944"/>
          </w:tcPr>
          <w:p>
            <w:pPr>
              <w:spacing w:line="240" w:lineRule="auto"/>
            </w:pPr>
            <w:r/>
            <w:r>
              <w:rPr>
                <w:sz w:val="17"/>
              </w:rPr>
              <w:t>Thirteen tools</w:t>
            </w:r>
          </w:p>
        </w:tc>
        <w:tc>
          <w:tcPr>
            <w:tcW w:type="dxa" w:w="1944"/>
          </w:tcPr>
          <w:p>
            <w:pPr>
              <w:spacing w:line="240" w:lineRule="auto"/>
            </w:pPr>
            <w:r/>
            <w:r>
              <w:rPr>
                <w:sz w:val="17"/>
              </w:rPr>
              <w:t>Twelve</w:t>
            </w:r>
          </w:p>
        </w:tc>
        <w:tc>
          <w:tcPr>
            <w:tcW w:type="dxa" w:w="5040"/>
          </w:tcPr>
          <w:p>
            <w:pPr>
              <w:spacing w:line="240" w:lineRule="auto"/>
            </w:pPr>
            <w:r/>
            <w:r>
              <w:rPr>
                <w:sz w:val="17"/>
              </w:rPr>
              <w:t>Two proposed flight tools collapsed into one when the provider changed (Section 6.4)</w:t>
            </w:r>
          </w:p>
        </w:tc>
      </w:tr>
      <w:tr>
        <w:tc>
          <w:tcPr>
            <w:tcW w:type="dxa" w:w="1944"/>
          </w:tcPr>
          <w:p>
            <w:pPr>
              <w:spacing w:line="240" w:lineRule="auto"/>
            </w:pPr>
            <w:r/>
            <w:r>
              <w:rPr>
                <w:sz w:val="17"/>
              </w:rPr>
              <w:t>Priority queuing, four levels</w:t>
            </w:r>
          </w:p>
        </w:tc>
        <w:tc>
          <w:tcPr>
            <w:tcW w:type="dxa" w:w="1944"/>
          </w:tcPr>
          <w:p>
            <w:pPr>
              <w:spacing w:line="240" w:lineRule="auto"/>
            </w:pPr>
            <w:r/>
            <w:r>
              <w:rPr>
                <w:sz w:val="17"/>
              </w:rPr>
              <w:t>Three levels, no ordering</w:t>
            </w:r>
          </w:p>
        </w:tc>
        <w:tc>
          <w:tcPr>
            <w:tcW w:type="dxa" w:w="5040"/>
          </w:tcPr>
          <w:p>
            <w:pPr>
              <w:spacing w:line="240" w:lineRule="auto"/>
            </w:pPr>
            <w:r/>
            <w:r>
              <w:rPr>
                <w:sz w:val="17"/>
              </w:rPr>
              <w:t>Not implemented. Found by the conformance audit rather than by recollection, and reported rather than dropped (Section 6.4, check A2)</w:t>
            </w:r>
          </w:p>
        </w:tc>
      </w:tr>
      <w:tr>
        <w:tc>
          <w:tcPr>
            <w:tcW w:type="dxa" w:w="1944"/>
          </w:tcPr>
          <w:p>
            <w:pPr>
              <w:spacing w:line="240" w:lineRule="auto"/>
            </w:pPr>
            <w:r/>
            <w:r>
              <w:rPr>
                <w:sz w:val="17"/>
              </w:rPr>
              <w:t>Search agents call the APIs via the MCP server</w:t>
            </w:r>
          </w:p>
        </w:tc>
        <w:tc>
          <w:tcPr>
            <w:tcW w:type="dxa" w:w="1944"/>
          </w:tcPr>
          <w:p>
            <w:pPr>
              <w:spacing w:line="240" w:lineRule="auto"/>
            </w:pPr>
            <w:r/>
            <w:r>
              <w:rPr>
                <w:sz w:val="17"/>
              </w:rPr>
              <w:t>Only the naive six-agent arm does; the shipped path calls the same functions in process</w:t>
            </w:r>
          </w:p>
        </w:tc>
        <w:tc>
          <w:tcPr>
            <w:tcW w:type="dxa" w:w="5040"/>
          </w:tcPr>
          <w:p>
            <w:pPr>
              <w:spacing w:line="240" w:lineRule="auto"/>
            </w:pPr>
            <w:r/>
            <w:r>
              <w:rPr>
                <w:sz w:val="17"/>
              </w:rPr>
              <w:t>The proposal's Figure 1 put the MCP server on the retrieval path of three parallel search agents. Removing retrieval from the agents left no agent to route through it, so the shipped path imports the server's tool functions instead. The JSON-RPC transport is still exercised by the naive arm and by the conformance audit, which tests all twelve declared schemas against their implementations (Sections 4.2, 7.2)</w:t>
            </w:r>
          </w:p>
        </w:tc>
      </w:tr>
      <w:tr>
        <w:tc>
          <w:tcPr>
            <w:tcW w:type="dxa" w:w="1944"/>
          </w:tcPr>
          <w:p>
            <w:pPr>
              <w:spacing w:line="240" w:lineRule="auto"/>
            </w:pPr>
            <w:r/>
            <w:r>
              <w:rPr>
                <w:sz w:val="17"/>
              </w:rPr>
              <w:t>Three search agents running in parallel</w:t>
            </w:r>
          </w:p>
        </w:tc>
        <w:tc>
          <w:tcPr>
            <w:tcW w:type="dxa" w:w="1944"/>
          </w:tcPr>
          <w:p>
            <w:pPr>
              <w:spacing w:line="240" w:lineRule="auto"/>
            </w:pPr>
            <w:r/>
            <w:r>
              <w:rPr>
                <w:sz w:val="17"/>
              </w:rPr>
              <w:t>Parallel in the tuned arm; sequential in the naive arm; absent from the shipped path</w:t>
            </w:r>
          </w:p>
        </w:tc>
        <w:tc>
          <w:tcPr>
            <w:tcW w:type="dxa" w:w="5040"/>
          </w:tcPr>
          <w:p>
            <w:pPr>
              <w:spacing w:line="240" w:lineRule="auto"/>
            </w:pPr>
            <w:r/>
            <w:r>
              <w:rPr>
                <w:sz w:val="17"/>
              </w:rPr>
              <w:t>Concurrency was one of the three proposal commitments missing from the naive implementation, which is why that arm was tuned before being used as a baseline rather than compared against as first built (Section 6.3)</w:t>
            </w:r>
          </w:p>
        </w:tc>
      </w:tr>
      <w:tr>
        <w:tc>
          <w:tcPr>
            <w:tcW w:type="dxa" w:w="1944"/>
          </w:tcPr>
          <w:p>
            <w:pPr>
              <w:spacing w:line="240" w:lineRule="auto"/>
            </w:pPr>
            <w:r/>
            <w:r>
              <w:rPr>
                <w:sz w:val="17"/>
              </w:rPr>
              <w:t>Bookability at least 80%</w:t>
            </w:r>
          </w:p>
        </w:tc>
        <w:tc>
          <w:tcPr>
            <w:tcW w:type="dxa" w:w="1944"/>
          </w:tcPr>
          <w:p>
            <w:pPr>
              <w:spacing w:line="240" w:lineRule="auto"/>
            </w:pPr>
            <w:r/>
            <w:r>
              <w:rPr>
                <w:sz w:val="17"/>
              </w:rPr>
              <w:t>41% of quoted prices grounded</w:t>
            </w:r>
          </w:p>
        </w:tc>
        <w:tc>
          <w:tcPr>
            <w:tcW w:type="dxa" w:w="5040"/>
          </w:tcPr>
          <w:p>
            <w:pPr>
              <w:spacing w:line="240" w:lineRule="auto"/>
            </w:pPr>
            <w:r/>
            <w:r>
              <w:rPr>
                <w:sz w:val="17"/>
              </w:rPr>
              <w:t>The proposal defined bookability as re-query success, which needs quota this project did not have. Groundedness is a weaker but measurable substitute, and the substitution reduces ambition (Section 6.6)</w:t>
            </w:r>
          </w:p>
        </w:tc>
      </w:tr>
      <w:tr>
        <w:tc>
          <w:tcPr>
            <w:tcW w:type="dxa" w:w="1944"/>
          </w:tcPr>
          <w:p>
            <w:pPr>
              <w:spacing w:line="240" w:lineRule="auto"/>
            </w:pPr>
            <w:r/>
            <w:r>
              <w:rPr>
                <w:sz w:val="17"/>
              </w:rPr>
              <w:t>Twenty scenarios everywhere</w:t>
            </w:r>
          </w:p>
        </w:tc>
        <w:tc>
          <w:tcPr>
            <w:tcW w:type="dxa" w:w="1944"/>
          </w:tcPr>
          <w:p>
            <w:pPr>
              <w:spacing w:line="240" w:lineRule="auto"/>
            </w:pPr>
            <w:r/>
            <w:r>
              <w:rPr>
                <w:sz w:val="17"/>
              </w:rPr>
              <w:t>Twenty for two experiments, 1 for the cost comparison</w:t>
            </w:r>
          </w:p>
        </w:tc>
        <w:tc>
          <w:tcPr>
            <w:tcW w:type="dxa" w:w="5040"/>
          </w:tcPr>
          <w:p>
            <w:pPr>
              <w:spacing w:line="240" w:lineRule="auto"/>
            </w:pPr>
            <w:r/>
            <w:r>
              <w:rPr>
                <w:sz w:val="17"/>
              </w:rPr>
              <w:t>Monthly free-tier quota. Recordings accumulate, so coverage grows without re-running what exists (Section 6.1)</w:t>
            </w:r>
          </w:p>
        </w:tc>
      </w:tr>
      <w:tr>
        <w:tc>
          <w:tcPr>
            <w:tcW w:type="dxa" w:w="1944"/>
          </w:tcPr>
          <w:p>
            <w:pPr>
              <w:spacing w:line="240" w:lineRule="auto"/>
            </w:pPr>
            <w:r/>
            <w:r>
              <w:rPr>
                <w:sz w:val="17"/>
              </w:rPr>
              <w:t>Conversational agent in the web interface</w:t>
            </w:r>
          </w:p>
        </w:tc>
        <w:tc>
          <w:tcPr>
            <w:tcW w:type="dxa" w:w="1944"/>
          </w:tcPr>
          <w:p>
            <w:pPr>
              <w:spacing w:line="240" w:lineRule="auto"/>
            </w:pPr>
            <w:r/>
            <w:r>
              <w:rPr>
                <w:sz w:val="17"/>
              </w:rPr>
              <w:t>Fixed question sequence there</w:t>
            </w:r>
          </w:p>
        </w:tc>
        <w:tc>
          <w:tcPr>
            <w:tcW w:type="dxa" w:w="5040"/>
          </w:tcPr>
          <w:p>
            <w:pPr>
              <w:spacing w:line="240" w:lineRule="auto"/>
            </w:pPr>
            <w:r/>
            <w:r>
              <w:rPr>
                <w:sz w:val="17"/>
              </w:rPr>
              <w:t>The interface framework re-runs its whole script on each interaction, which does not suit a streaming dialogue. The conversational agent remains in the command-line path (Section 4.5)</w:t>
            </w:r>
          </w:p>
        </w:tc>
      </w:tr>
    </w:tbl>
    <w:p/>
    <w:p>
      <w:r>
        <w:br w:type="page"/>
      </w:r>
    </w:p>
    <w:p>
      <w:pPr>
        <w:pStyle w:val="Heading1"/>
      </w:pPr>
      <w:r>
        <w:t>Appendix J — The four arms and why each is in the design</w:t>
      </w:r>
    </w:p>
    <w:p>
      <w:pPr>
        <w:spacing w:line="360" w:lineRule="auto"/>
        <w:jc w:val="both"/>
      </w:pPr>
      <w:r>
        <w:t>Referenced from Section 3.2, which argues why four arms are needed rather than two.</w:t>
      </w:r>
    </w:p>
    <w:p>
      <w:pPr>
        <w:spacing w:line="240" w:lineRule="auto"/>
        <w:jc w:val="center"/>
      </w:pPr>
      <w:r>
        <w:rPr>
          <w:i/>
          <w:color w:val="52514E"/>
          <w:sz w:val="19"/>
        </w:rPr>
        <w:t>Table J.1: The four arms and the role each plays in the argument.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720"/>
          </w:tcPr>
          <w:p>
            <w:pPr>
              <w:spacing w:line="240" w:lineRule="auto"/>
            </w:pPr>
            <w:r/>
            <w:r>
              <w:rPr>
                <w:b/>
                <w:sz w:val="19"/>
              </w:rPr>
              <w:t>Arm</w:t>
            </w:r>
          </w:p>
        </w:tc>
        <w:tc>
          <w:tcPr>
            <w:tcW w:type="dxa" w:w="3744"/>
          </w:tcPr>
          <w:p>
            <w:pPr>
              <w:spacing w:line="240" w:lineRule="auto"/>
            </w:pPr>
            <w:r/>
            <w:r>
              <w:rPr>
                <w:b/>
                <w:sz w:val="19"/>
              </w:rPr>
              <w:t>Configuration</w:t>
            </w:r>
          </w:p>
        </w:tc>
        <w:tc>
          <w:tcPr>
            <w:tcW w:type="dxa" w:w="4608"/>
          </w:tcPr>
          <w:p>
            <w:pPr>
              <w:spacing w:line="240" w:lineRule="auto"/>
            </w:pPr>
            <w:r/>
            <w:r>
              <w:rPr>
                <w:b/>
                <w:sz w:val="19"/>
              </w:rPr>
              <w:t>Why it is in the design</w:t>
            </w:r>
          </w:p>
        </w:tc>
      </w:tr>
      <w:tr>
        <w:tc>
          <w:tcPr>
            <w:tcW w:type="dxa" w:w="720"/>
          </w:tcPr>
          <w:p>
            <w:pPr>
              <w:spacing w:line="240" w:lineRule="auto"/>
            </w:pPr>
            <w:r/>
            <w:r>
              <w:rPr>
                <w:sz w:val="19"/>
              </w:rPr>
              <w:t>A</w:t>
            </w:r>
          </w:p>
        </w:tc>
        <w:tc>
          <w:tcPr>
            <w:tcW w:type="dxa" w:w="3744"/>
          </w:tcPr>
          <w:p>
            <w:pPr>
              <w:spacing w:line="240" w:lineRule="auto"/>
            </w:pPr>
            <w:r/>
            <w:r>
              <w:rPr>
                <w:sz w:val="19"/>
              </w:rPr>
              <w:t>One model request, no tools, no agents, no protocols</w:t>
            </w:r>
          </w:p>
        </w:tc>
        <w:tc>
          <w:tcPr>
            <w:tcW w:type="dxa" w:w="4608"/>
          </w:tcPr>
          <w:p>
            <w:pPr>
              <w:spacing w:line="240" w:lineRule="auto"/>
            </w:pPr>
            <w:r/>
            <w:r>
              <w:rPr>
                <w:sz w:val="19"/>
              </w:rPr>
              <w:t>Control. Establishes what the tool layer buys, and what a plan looks like when nothing in it was retrieved.</w:t>
            </w:r>
          </w:p>
        </w:tc>
      </w:tr>
      <w:tr>
        <w:tc>
          <w:tcPr>
            <w:tcW w:type="dxa" w:w="720"/>
          </w:tcPr>
          <w:p>
            <w:pPr>
              <w:spacing w:line="240" w:lineRule="auto"/>
            </w:pPr>
            <w:r/>
            <w:r>
              <w:rPr>
                <w:sz w:val="19"/>
              </w:rPr>
              <w:t>B</w:t>
            </w:r>
          </w:p>
        </w:tc>
        <w:tc>
          <w:tcPr>
            <w:tcW w:type="dxa" w:w="3744"/>
          </w:tcPr>
          <w:p>
            <w:pPr>
              <w:spacing w:line="240" w:lineRule="auto"/>
            </w:pPr>
            <w:r/>
            <w:r>
              <w:rPr>
                <w:sz w:val="19"/>
              </w:rPr>
              <w:t>Six roles, naive configuration as first implemented</w:t>
            </w:r>
          </w:p>
        </w:tc>
        <w:tc>
          <w:tcPr>
            <w:tcW w:type="dxa" w:w="4608"/>
          </w:tcPr>
          <w:p>
            <w:pPr>
              <w:spacing w:line="240" w:lineRule="auto"/>
            </w:pPr>
            <w:r/>
            <w:r>
              <w:rPr>
                <w:sz w:val="19"/>
              </w:rPr>
              <w:t>The starting point. Its cost is what motivated the pivot, so removing it would hide the reasoning.</w:t>
            </w:r>
          </w:p>
        </w:tc>
      </w:tr>
      <w:tr>
        <w:tc>
          <w:tcPr>
            <w:tcW w:type="dxa" w:w="720"/>
          </w:tcPr>
          <w:p>
            <w:pPr>
              <w:spacing w:line="240" w:lineRule="auto"/>
            </w:pPr>
            <w:r/>
            <w:r>
              <w:rPr>
                <w:sz w:val="19"/>
              </w:rPr>
              <w:t>C</w:t>
            </w:r>
          </w:p>
        </w:tc>
        <w:tc>
          <w:tcPr>
            <w:tcW w:type="dxa" w:w="3744"/>
          </w:tcPr>
          <w:p>
            <w:pPr>
              <w:spacing w:line="240" w:lineRule="auto"/>
            </w:pPr>
            <w:r/>
            <w:r>
              <w:rPr>
                <w:sz w:val="19"/>
              </w:rPr>
              <w:t>Six roles, tuned: one narrow tool each, distilled results, concurrent execution, shorter prompts</w:t>
            </w:r>
          </w:p>
        </w:tc>
        <w:tc>
          <w:tcPr>
            <w:tcW w:type="dxa" w:w="4608"/>
          </w:tcPr>
          <w:p>
            <w:pPr>
              <w:spacing w:line="240" w:lineRule="auto"/>
            </w:pPr>
            <w:r/>
            <w:r>
              <w:rPr>
                <w:sz w:val="19"/>
              </w:rPr>
              <w:t>The fair baseline. Answers the objection that the multi-agent arm lost through misconfiguration.</w:t>
            </w:r>
          </w:p>
        </w:tc>
      </w:tr>
      <w:tr>
        <w:tc>
          <w:tcPr>
            <w:tcW w:type="dxa" w:w="720"/>
          </w:tcPr>
          <w:p>
            <w:pPr>
              <w:spacing w:line="240" w:lineRule="auto"/>
            </w:pPr>
            <w:r/>
            <w:r>
              <w:rPr>
                <w:sz w:val="19"/>
              </w:rPr>
              <w:t>D</w:t>
            </w:r>
          </w:p>
        </w:tc>
        <w:tc>
          <w:tcPr>
            <w:tcW w:type="dxa" w:w="3744"/>
          </w:tcPr>
          <w:p>
            <w:pPr>
              <w:spacing w:line="240" w:lineRule="auto"/>
            </w:pPr>
            <w:r/>
            <w:r>
              <w:rPr>
                <w:sz w:val="19"/>
              </w:rPr>
              <w:t>Three roles; retrieval in ordinary Python</w:t>
            </w:r>
          </w:p>
        </w:tc>
        <w:tc>
          <w:tcPr>
            <w:tcW w:type="dxa" w:w="4608"/>
          </w:tcPr>
          <w:p>
            <w:pPr>
              <w:spacing w:line="240" w:lineRule="auto"/>
            </w:pPr>
            <w:r/>
            <w:r>
              <w:rPr>
                <w:sz w:val="19"/>
              </w:rPr>
              <w:t>The proposed design. The claim under test.</w:t>
            </w:r>
          </w:p>
        </w:tc>
      </w:tr>
    </w:tbl>
    <w:p/>
    <w:p>
      <w:r>
        <w:br w:type="page"/>
      </w:r>
    </w:p>
    <w:p>
      <w:pPr>
        <w:pStyle w:val="Heading1"/>
      </w:pPr>
      <w:r>
        <w:t>Appendix K — Experimental design</w:t>
      </w:r>
    </w:p>
    <w:p>
      <w:pPr>
        <w:spacing w:line="360" w:lineRule="auto"/>
        <w:jc w:val="both"/>
      </w:pPr>
      <w:r>
        <w:t>Referenced from Section 6.1, which argues what each experiment can and cannot support.</w:t>
      </w:r>
    </w:p>
    <w:p>
      <w:pPr>
        <w:spacing w:line="240" w:lineRule="auto"/>
        <w:jc w:val="center"/>
      </w:pPr>
      <w:r>
        <w:rPr>
          <w:i/>
          <w:color w:val="52514E"/>
          <w:sz w:val="19"/>
        </w:rPr>
        <w:t>Table K.1: Experimental design. Three of five cost nothing to run, which is why they cover the full scenario set while E1 does not.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04"/>
          </w:tcPr>
          <w:p>
            <w:pPr>
              <w:spacing w:line="240" w:lineRule="auto"/>
            </w:pPr>
            <w:r/>
            <w:r>
              <w:rPr>
                <w:b/>
                <w:sz w:val="18"/>
              </w:rPr>
              <w:t>#</w:t>
            </w:r>
          </w:p>
        </w:tc>
        <w:tc>
          <w:tcPr>
            <w:tcW w:type="dxa" w:w="4320"/>
          </w:tcPr>
          <w:p>
            <w:pPr>
              <w:spacing w:line="240" w:lineRule="auto"/>
            </w:pPr>
            <w:r/>
            <w:r>
              <w:rPr>
                <w:b/>
                <w:sz w:val="18"/>
              </w:rPr>
              <w:t>Experiment and question</w:t>
            </w:r>
          </w:p>
        </w:tc>
        <w:tc>
          <w:tcPr>
            <w:tcW w:type="dxa" w:w="1944"/>
          </w:tcPr>
          <w:p>
            <w:pPr>
              <w:spacing w:line="240" w:lineRule="auto"/>
            </w:pPr>
            <w:r/>
            <w:r>
              <w:rPr>
                <w:b/>
                <w:sz w:val="18"/>
              </w:rPr>
              <w:t>Coverage</w:t>
            </w:r>
          </w:p>
        </w:tc>
        <w:tc>
          <w:tcPr>
            <w:tcW w:type="dxa" w:w="2304"/>
          </w:tcPr>
          <w:p>
            <w:pPr>
              <w:spacing w:line="240" w:lineRule="auto"/>
            </w:pPr>
            <w:r/>
            <w:r>
              <w:rPr>
                <w:b/>
                <w:sz w:val="18"/>
              </w:rPr>
              <w:t>Cost to run</w:t>
            </w:r>
          </w:p>
        </w:tc>
      </w:tr>
      <w:tr>
        <w:tc>
          <w:tcPr>
            <w:tcW w:type="dxa" w:w="504"/>
          </w:tcPr>
          <w:p>
            <w:pPr>
              <w:spacing w:line="240" w:lineRule="auto"/>
            </w:pPr>
            <w:r/>
            <w:r>
              <w:rPr>
                <w:sz w:val="18"/>
              </w:rPr>
              <w:t>E1</w:t>
            </w:r>
          </w:p>
        </w:tc>
        <w:tc>
          <w:tcPr>
            <w:tcW w:type="dxa" w:w="4320"/>
          </w:tcPr>
          <w:p>
            <w:pPr>
              <w:spacing w:line="240" w:lineRule="auto"/>
            </w:pPr>
            <w:r/>
            <w:r>
              <w:rPr>
                <w:sz w:val="18"/>
              </w:rPr>
              <w:t>Four-arm comparison: what does each architecture cost per trip, and is its output grounded?</w:t>
            </w:r>
          </w:p>
        </w:tc>
        <w:tc>
          <w:tcPr>
            <w:tcW w:type="dxa" w:w="1944"/>
          </w:tcPr>
          <w:p>
            <w:pPr>
              <w:spacing w:line="240" w:lineRule="auto"/>
            </w:pPr>
            <w:r/>
            <w:r>
              <w:rPr>
                <w:sz w:val="18"/>
              </w:rPr>
              <w:t>1 of 20 scenarios, 5 run each</w:t>
            </w:r>
          </w:p>
        </w:tc>
        <w:tc>
          <w:tcPr>
            <w:tcW w:type="dxa" w:w="2304"/>
          </w:tcPr>
          <w:p>
            <w:pPr>
              <w:spacing w:line="240" w:lineRule="auto"/>
            </w:pPr>
            <w:r/>
            <w:r>
              <w:rPr>
                <w:sz w:val="18"/>
              </w:rPr>
              <w:t>Model quota; responses replayed</w:t>
            </w:r>
          </w:p>
        </w:tc>
      </w:tr>
      <w:tr>
        <w:tc>
          <w:tcPr>
            <w:tcW w:type="dxa" w:w="504"/>
          </w:tcPr>
          <w:p>
            <w:pPr>
              <w:spacing w:line="240" w:lineRule="auto"/>
            </w:pPr>
            <w:r/>
            <w:r>
              <w:rPr>
                <w:sz w:val="18"/>
              </w:rPr>
              <w:t>E2</w:t>
            </w:r>
          </w:p>
        </w:tc>
        <w:tc>
          <w:tcPr>
            <w:tcW w:type="dxa" w:w="4320"/>
          </w:tcPr>
          <w:p>
            <w:pPr>
              <w:spacing w:line="240" w:lineRule="auto"/>
            </w:pPr>
            <w:r/>
            <w:r>
              <w:rPr>
                <w:sz w:val="18"/>
              </w:rPr>
              <w:t>Token decomposition: where does each architecture's spend go?</w:t>
            </w:r>
          </w:p>
        </w:tc>
        <w:tc>
          <w:tcPr>
            <w:tcW w:type="dxa" w:w="1944"/>
          </w:tcPr>
          <w:p>
            <w:pPr>
              <w:spacing w:line="240" w:lineRule="auto"/>
            </w:pPr>
            <w:r/>
            <w:r>
              <w:rPr>
                <w:sz w:val="18"/>
              </w:rPr>
              <w:t>E1's records</w:t>
            </w:r>
          </w:p>
        </w:tc>
        <w:tc>
          <w:tcPr>
            <w:tcW w:type="dxa" w:w="2304"/>
          </w:tcPr>
          <w:p>
            <w:pPr>
              <w:spacing w:line="240" w:lineRule="auto"/>
            </w:pPr>
            <w:r/>
            <w:r>
              <w:rPr>
                <w:sz w:val="18"/>
              </w:rPr>
              <w:t>None</w:t>
            </w:r>
          </w:p>
        </w:tc>
      </w:tr>
      <w:tr>
        <w:tc>
          <w:tcPr>
            <w:tcW w:type="dxa" w:w="504"/>
          </w:tcPr>
          <w:p>
            <w:pPr>
              <w:spacing w:line="240" w:lineRule="auto"/>
            </w:pPr>
            <w:r/>
            <w:r>
              <w:rPr>
                <w:sz w:val="18"/>
              </w:rPr>
              <w:t>E3</w:t>
            </w:r>
          </w:p>
        </w:tc>
        <w:tc>
          <w:tcPr>
            <w:tcW w:type="dxa" w:w="4320"/>
          </w:tcPr>
          <w:p>
            <w:pPr>
              <w:spacing w:line="240" w:lineRule="auto"/>
            </w:pPr>
            <w:r/>
            <w:r>
              <w:rPr>
                <w:sz w:val="18"/>
              </w:rPr>
              <w:t>Tuning ablation: how much of the multi-agent penalty is implementation rather than architecture?</w:t>
            </w:r>
          </w:p>
        </w:tc>
        <w:tc>
          <w:tcPr>
            <w:tcW w:type="dxa" w:w="1944"/>
          </w:tcPr>
          <w:p>
            <w:pPr>
              <w:spacing w:line="240" w:lineRule="auto"/>
            </w:pPr>
            <w:r/>
            <w:r>
              <w:rPr>
                <w:sz w:val="18"/>
              </w:rPr>
              <w:t>E1's records</w:t>
            </w:r>
          </w:p>
        </w:tc>
        <w:tc>
          <w:tcPr>
            <w:tcW w:type="dxa" w:w="2304"/>
          </w:tcPr>
          <w:p>
            <w:pPr>
              <w:spacing w:line="240" w:lineRule="auto"/>
            </w:pPr>
            <w:r/>
            <w:r>
              <w:rPr>
                <w:sz w:val="18"/>
              </w:rPr>
              <w:t>None</w:t>
            </w:r>
          </w:p>
        </w:tc>
      </w:tr>
      <w:tr>
        <w:tc>
          <w:tcPr>
            <w:tcW w:type="dxa" w:w="504"/>
          </w:tcPr>
          <w:p>
            <w:pPr>
              <w:spacing w:line="240" w:lineRule="auto"/>
            </w:pPr>
            <w:r/>
            <w:r>
              <w:rPr>
                <w:sz w:val="18"/>
              </w:rPr>
              <w:t>E4</w:t>
            </w:r>
          </w:p>
        </w:tc>
        <w:tc>
          <w:tcPr>
            <w:tcW w:type="dxa" w:w="4320"/>
          </w:tcPr>
          <w:p>
            <w:pPr>
              <w:spacing w:line="240" w:lineRule="auto"/>
            </w:pPr>
            <w:r/>
            <w:r>
              <w:rPr>
                <w:sz w:val="18"/>
              </w:rPr>
              <w:t>Conformance audit: does the protocol layer behave as the design claims?</w:t>
            </w:r>
          </w:p>
        </w:tc>
        <w:tc>
          <w:tcPr>
            <w:tcW w:type="dxa" w:w="1944"/>
          </w:tcPr>
          <w:p>
            <w:pPr>
              <w:spacing w:line="240" w:lineRule="auto"/>
            </w:pPr>
            <w:r/>
            <w:r>
              <w:rPr>
                <w:sz w:val="18"/>
              </w:rPr>
              <w:t>9 executable checks</w:t>
            </w:r>
          </w:p>
        </w:tc>
        <w:tc>
          <w:tcPr>
            <w:tcW w:type="dxa" w:w="2304"/>
          </w:tcPr>
          <w:p>
            <w:pPr>
              <w:spacing w:line="240" w:lineRule="auto"/>
            </w:pPr>
            <w:r/>
            <w:r>
              <w:rPr>
                <w:sz w:val="18"/>
              </w:rPr>
              <w:t>None — no network, no model</w:t>
            </w:r>
          </w:p>
        </w:tc>
      </w:tr>
      <w:tr>
        <w:tc>
          <w:tcPr>
            <w:tcW w:type="dxa" w:w="504"/>
          </w:tcPr>
          <w:p>
            <w:pPr>
              <w:spacing w:line="240" w:lineRule="auto"/>
            </w:pPr>
            <w:r/>
            <w:r>
              <w:rPr>
                <w:sz w:val="18"/>
              </w:rPr>
              <w:t>E5</w:t>
            </w:r>
          </w:p>
        </w:tc>
        <w:tc>
          <w:tcPr>
            <w:tcW w:type="dxa" w:w="4320"/>
          </w:tcPr>
          <w:p>
            <w:pPr>
              <w:spacing w:line="240" w:lineRule="auto"/>
            </w:pPr>
            <w:r/>
            <w:r>
              <w:rPr>
                <w:sz w:val="18"/>
              </w:rPr>
              <w:t>Feasibility gate: does it refuse budgets that cannot buy the trip, and is its cost model externally valid?</w:t>
            </w:r>
          </w:p>
        </w:tc>
        <w:tc>
          <w:tcPr>
            <w:tcW w:type="dxa" w:w="1944"/>
          </w:tcPr>
          <w:p>
            <w:pPr>
              <w:spacing w:line="240" w:lineRule="auto"/>
            </w:pPr>
            <w:r/>
            <w:r>
              <w:rPr>
                <w:sz w:val="18"/>
              </w:rPr>
              <w:t>All 20 scenarios</w:t>
            </w:r>
          </w:p>
        </w:tc>
        <w:tc>
          <w:tcPr>
            <w:tcW w:type="dxa" w:w="2304"/>
          </w:tcPr>
          <w:p>
            <w:pPr>
              <w:spacing w:line="240" w:lineRule="auto"/>
            </w:pPr>
            <w:r/>
            <w:r>
              <w:rPr>
                <w:sz w:val="18"/>
              </w:rPr>
              <w:t>None — no network, no model</w:t>
            </w:r>
          </w:p>
        </w:tc>
      </w:tr>
    </w:tbl>
    <w:p/>
    <w:p>
      <w:r>
        <w:br w:type="page"/>
      </w:r>
    </w:p>
    <w:p>
      <w:pPr>
        <w:pStyle w:val="Heading1"/>
      </w:pPr>
      <w:r>
        <w:t>Appendix L — Threats to validity, with remedies</w:t>
      </w:r>
    </w:p>
    <w:p>
      <w:pPr>
        <w:spacing w:line="360" w:lineRule="auto"/>
        <w:jc w:val="both"/>
      </w:pPr>
      <w:r>
        <w:t>Referenced from Section 6.7, which gives each threat and its effect. This appendix adds what would resolve it, ordered as in the body.</w:t>
      </w:r>
    </w:p>
    <w:p>
      <w:pPr>
        <w:spacing w:line="240" w:lineRule="auto"/>
        <w:jc w:val="center"/>
      </w:pPr>
      <w:r>
        <w:rPr>
          <w:i/>
          <w:color w:val="52514E"/>
          <w:sz w:val="19"/>
        </w:rPr>
        <w:t>Table L.1: Threats to validity, their effect and their remedies.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tcPr>
          <w:p>
            <w:pPr>
              <w:spacing w:line="240" w:lineRule="auto"/>
            </w:pPr>
            <w:r/>
            <w:r>
              <w:rPr>
                <w:b/>
                <w:sz w:val="16"/>
              </w:rPr>
              <w:t>Threat</w:t>
            </w:r>
          </w:p>
        </w:tc>
        <w:tc>
          <w:tcPr>
            <w:tcW w:type="dxa" w:w="864"/>
          </w:tcPr>
          <w:p>
            <w:pPr>
              <w:spacing w:line="240" w:lineRule="auto"/>
            </w:pPr>
            <w:r/>
            <w:r>
              <w:rPr>
                <w:b/>
                <w:sz w:val="16"/>
              </w:rPr>
              <w:t>Type</w:t>
            </w:r>
          </w:p>
        </w:tc>
        <w:tc>
          <w:tcPr>
            <w:tcW w:type="dxa" w:w="3024"/>
          </w:tcPr>
          <w:p>
            <w:pPr>
              <w:spacing w:line="240" w:lineRule="auto"/>
            </w:pPr>
            <w:r/>
            <w:r>
              <w:rPr>
                <w:b/>
                <w:sz w:val="16"/>
              </w:rPr>
              <w:t>Effect on the claims</w:t>
            </w:r>
          </w:p>
        </w:tc>
        <w:tc>
          <w:tcPr>
            <w:tcW w:type="dxa" w:w="3024"/>
          </w:tcPr>
          <w:p>
            <w:pPr>
              <w:spacing w:line="240" w:lineRule="auto"/>
            </w:pPr>
            <w:r/>
            <w:r>
              <w:rPr>
                <w:b/>
                <w:sz w:val="16"/>
              </w:rPr>
              <w:t>What would resolve it</w:t>
            </w:r>
          </w:p>
        </w:tc>
      </w:tr>
      <w:tr>
        <w:tc>
          <w:tcPr>
            <w:tcW w:type="dxa" w:w="2160"/>
          </w:tcPr>
          <w:p>
            <w:pPr>
              <w:spacing w:line="240" w:lineRule="auto"/>
            </w:pPr>
            <w:r/>
            <w:r>
              <w:rPr>
                <w:sz w:val="16"/>
              </w:rPr>
              <w:t>One scenario, run once</w:t>
            </w:r>
          </w:p>
        </w:tc>
        <w:tc>
          <w:tcPr>
            <w:tcW w:type="dxa" w:w="864"/>
          </w:tcPr>
          <w:p>
            <w:pPr>
              <w:spacing w:line="240" w:lineRule="auto"/>
            </w:pPr>
            <w:r/>
            <w:r>
              <w:rPr>
                <w:sz w:val="16"/>
              </w:rPr>
              <w:t>Internal</w:t>
            </w:r>
          </w:p>
        </w:tc>
        <w:tc>
          <w:tcPr>
            <w:tcW w:type="dxa" w:w="3024"/>
          </w:tcPr>
          <w:p>
            <w:pPr>
              <w:spacing w:line="240" w:lineRule="auto"/>
            </w:pPr>
            <w:r/>
            <w:r>
              <w:rPr>
                <w:sz w:val="16"/>
              </w:rPr>
              <w:t>No variance estimate; small differences between arms cannot be separated from noise, though order-of-magnitude ones can</w:t>
            </w:r>
          </w:p>
        </w:tc>
        <w:tc>
          <w:tcPr>
            <w:tcW w:type="dxa" w:w="3024"/>
          </w:tcPr>
          <w:p>
            <w:pPr>
              <w:spacing w:line="240" w:lineRule="auto"/>
            </w:pPr>
            <w:r/>
            <w:r>
              <w:rPr>
                <w:sz w:val="16"/>
              </w:rPr>
              <w:t>Repeat runs for a confidence interval, then the remaining scenarios for generality. The first needs no API quota</w:t>
            </w:r>
          </w:p>
        </w:tc>
      </w:tr>
      <w:tr>
        <w:tc>
          <w:tcPr>
            <w:tcW w:type="dxa" w:w="2160"/>
          </w:tcPr>
          <w:p>
            <w:pPr>
              <w:spacing w:line="240" w:lineRule="auto"/>
            </w:pPr>
            <w:r/>
            <w:r>
              <w:rPr>
                <w:sz w:val="16"/>
              </w:rPr>
              <w:t>Naive arm observed varying 19-23 requests in development notes</w:t>
            </w:r>
          </w:p>
        </w:tc>
        <w:tc>
          <w:tcPr>
            <w:tcW w:type="dxa" w:w="864"/>
          </w:tcPr>
          <w:p>
            <w:pPr>
              <w:spacing w:line="240" w:lineRule="auto"/>
            </w:pPr>
            <w:r/>
            <w:r>
              <w:rPr>
                <w:sz w:val="16"/>
              </w:rPr>
              <w:t>Internal</w:t>
            </w:r>
          </w:p>
        </w:tc>
        <w:tc>
          <w:tcPr>
            <w:tcW w:type="dxa" w:w="3024"/>
          </w:tcPr>
          <w:p>
            <w:pPr>
              <w:spacing w:line="240" w:lineRule="auto"/>
            </w:pPr>
            <w:r/>
            <w:r>
              <w:rPr>
                <w:sz w:val="16"/>
              </w:rPr>
              <w:t>Quantifies the noise informally and confirms it is smaller than the gap it would need to close</w:t>
            </w:r>
          </w:p>
        </w:tc>
        <w:tc>
          <w:tcPr>
            <w:tcW w:type="dxa" w:w="3024"/>
          </w:tcPr>
          <w:p>
            <w:pPr>
              <w:spacing w:line="240" w:lineRule="auto"/>
            </w:pPr>
            <w:r/>
            <w:r>
              <w:rPr>
                <w:sz w:val="16"/>
              </w:rPr>
              <w:t>Recording repeats rather than relying on a note made at the time</w:t>
            </w:r>
          </w:p>
        </w:tc>
      </w:tr>
      <w:tr>
        <w:tc>
          <w:tcPr>
            <w:tcW w:type="dxa" w:w="2160"/>
          </w:tcPr>
          <w:p>
            <w:pPr>
              <w:spacing w:line="240" w:lineRule="auto"/>
            </w:pPr>
            <w:r/>
            <w:r>
              <w:rPr>
                <w:sz w:val="16"/>
              </w:rPr>
              <w:t>Retrieval is replayed from disk</w:t>
            </w:r>
          </w:p>
        </w:tc>
        <w:tc>
          <w:tcPr>
            <w:tcW w:type="dxa" w:w="864"/>
          </w:tcPr>
          <w:p>
            <w:pPr>
              <w:spacing w:line="240" w:lineRule="auto"/>
            </w:pPr>
            <w:r/>
            <w:r>
              <w:rPr>
                <w:sz w:val="16"/>
              </w:rPr>
              <w:t>Internal</w:t>
            </w:r>
          </w:p>
        </w:tc>
        <w:tc>
          <w:tcPr>
            <w:tcW w:type="dxa" w:w="3024"/>
          </w:tcPr>
          <w:p>
            <w:pPr>
              <w:spacing w:line="240" w:lineRule="auto"/>
            </w:pPr>
            <w:r/>
            <w:r>
              <w:rPr>
                <w:sz w:val="16"/>
              </w:rPr>
              <w:t>Latency understates a live run; the direct arm's retrieval phase reads as near zero</w:t>
            </w:r>
          </w:p>
        </w:tc>
        <w:tc>
          <w:tcPr>
            <w:tcW w:type="dxa" w:w="3024"/>
          </w:tcPr>
          <w:p>
            <w:pPr>
              <w:spacing w:line="240" w:lineRule="auto"/>
            </w:pPr>
            <w:r/>
            <w:r>
              <w:rPr>
                <w:sz w:val="16"/>
              </w:rPr>
              <w:t>A live timing pass once quota permits, reported separately</w:t>
            </w:r>
          </w:p>
        </w:tc>
      </w:tr>
      <w:tr>
        <w:tc>
          <w:tcPr>
            <w:tcW w:type="dxa" w:w="2160"/>
          </w:tcPr>
          <w:p>
            <w:pPr>
              <w:spacing w:line="240" w:lineRule="auto"/>
            </w:pPr>
            <w:r/>
            <w:r>
              <w:rPr>
                <w:sz w:val="16"/>
              </w:rPr>
              <w:t>Results come from one model</w:t>
            </w:r>
          </w:p>
        </w:tc>
        <w:tc>
          <w:tcPr>
            <w:tcW w:type="dxa" w:w="864"/>
          </w:tcPr>
          <w:p>
            <w:pPr>
              <w:spacing w:line="240" w:lineRule="auto"/>
            </w:pPr>
            <w:r/>
            <w:r>
              <w:rPr>
                <w:sz w:val="16"/>
              </w:rPr>
              <w:t>External</w:t>
            </w:r>
          </w:p>
        </w:tc>
        <w:tc>
          <w:tcPr>
            <w:tcW w:type="dxa" w:w="3024"/>
          </w:tcPr>
          <w:p>
            <w:pPr>
              <w:spacing w:line="240" w:lineRule="auto"/>
            </w:pPr>
            <w:r/>
            <w:r>
              <w:rPr>
                <w:sz w:val="16"/>
              </w:rPr>
              <w:t>Cost tracks this model's input-to-output price ratio; a flatter ratio would compress the differences</w:t>
            </w:r>
          </w:p>
        </w:tc>
        <w:tc>
          <w:tcPr>
            <w:tcW w:type="dxa" w:w="3024"/>
          </w:tcPr>
          <w:p>
            <w:pPr>
              <w:spacing w:line="240" w:lineRule="auto"/>
            </w:pPr>
            <w:r/>
            <w:r>
              <w:rPr>
                <w:sz w:val="16"/>
              </w:rPr>
              <w:t>Re-running the harness against a second provider; the client layer is already provider-agnostic</w:t>
            </w:r>
          </w:p>
        </w:tc>
      </w:tr>
      <w:tr>
        <w:tc>
          <w:tcPr>
            <w:tcW w:type="dxa" w:w="2160"/>
          </w:tcPr>
          <w:p>
            <w:pPr>
              <w:spacing w:line="240" w:lineRule="auto"/>
            </w:pPr>
            <w:r/>
            <w:r>
              <w:rPr>
                <w:sz w:val="16"/>
              </w:rPr>
              <w:t>Scenarios are author-written</w:t>
            </w:r>
          </w:p>
        </w:tc>
        <w:tc>
          <w:tcPr>
            <w:tcW w:type="dxa" w:w="864"/>
          </w:tcPr>
          <w:p>
            <w:pPr>
              <w:spacing w:line="240" w:lineRule="auto"/>
            </w:pPr>
            <w:r/>
            <w:r>
              <w:rPr>
                <w:sz w:val="16"/>
              </w:rPr>
              <w:t>External</w:t>
            </w:r>
          </w:p>
        </w:tc>
        <w:tc>
          <w:tcPr>
            <w:tcW w:type="dxa" w:w="3024"/>
          </w:tcPr>
          <w:p>
            <w:pPr>
              <w:spacing w:line="240" w:lineRule="auto"/>
            </w:pPr>
            <w:r/>
            <w:r>
              <w:rPr>
                <w:sz w:val="16"/>
              </w:rPr>
              <w:t>Phrasing may be easier to parse than genuine user text</w:t>
            </w:r>
          </w:p>
        </w:tc>
        <w:tc>
          <w:tcPr>
            <w:tcW w:type="dxa" w:w="3024"/>
          </w:tcPr>
          <w:p>
            <w:pPr>
              <w:spacing w:line="240" w:lineRule="auto"/>
            </w:pPr>
            <w:r/>
            <w:r>
              <w:rPr>
                <w:sz w:val="16"/>
              </w:rPr>
              <w:t>Requests collected from real users, which needs ethical approval</w:t>
            </w:r>
          </w:p>
        </w:tc>
      </w:tr>
      <w:tr>
        <w:tc>
          <w:tcPr>
            <w:tcW w:type="dxa" w:w="2160"/>
          </w:tcPr>
          <w:p>
            <w:pPr>
              <w:spacing w:line="240" w:lineRule="auto"/>
            </w:pPr>
            <w:r/>
            <w:r>
              <w:rPr>
                <w:sz w:val="16"/>
              </w:rPr>
              <w:t>The cost model covers about sixty cities</w:t>
            </w:r>
          </w:p>
        </w:tc>
        <w:tc>
          <w:tcPr>
            <w:tcW w:type="dxa" w:w="864"/>
          </w:tcPr>
          <w:p>
            <w:pPr>
              <w:spacing w:line="240" w:lineRule="auto"/>
            </w:pPr>
            <w:r/>
            <w:r>
              <w:rPr>
                <w:sz w:val="16"/>
              </w:rPr>
              <w:t>External</w:t>
            </w:r>
          </w:p>
        </w:tc>
        <w:tc>
          <w:tcPr>
            <w:tcW w:type="dxa" w:w="3024"/>
          </w:tcPr>
          <w:p>
            <w:pPr>
              <w:spacing w:line="240" w:lineRule="auto"/>
            </w:pPr>
            <w:r/>
            <w:r>
              <w:rPr>
                <w:sz w:val="16"/>
              </w:rPr>
              <w:t>Destinations outside it fall back to mid-tier defaults; all twenty scenarios happen to be inside it</w:t>
            </w:r>
          </w:p>
        </w:tc>
        <w:tc>
          <w:tcPr>
            <w:tcW w:type="dxa" w:w="3024"/>
          </w:tcPr>
          <w:p>
            <w:pPr>
              <w:spacing w:line="240" w:lineRule="auto"/>
            </w:pPr>
            <w:r/>
            <w:r>
              <w:rPr>
                <w:sz w:val="16"/>
              </w:rPr>
              <w:t>Deriving price tiers from live data rather than a fixed table</w:t>
            </w:r>
          </w:p>
        </w:tc>
      </w:tr>
      <w:tr>
        <w:tc>
          <w:tcPr>
            <w:tcW w:type="dxa" w:w="2160"/>
          </w:tcPr>
          <w:p>
            <w:pPr>
              <w:spacing w:line="240" w:lineRule="auto"/>
            </w:pPr>
            <w:r/>
            <w:r>
              <w:rPr>
                <w:sz w:val="16"/>
              </w:rPr>
              <w:t>Groundedness is recall of retrieved entities</w:t>
            </w:r>
          </w:p>
        </w:tc>
        <w:tc>
          <w:tcPr>
            <w:tcW w:type="dxa" w:w="864"/>
          </w:tcPr>
          <w:p>
            <w:pPr>
              <w:spacing w:line="240" w:lineRule="auto"/>
            </w:pPr>
            <w:r/>
            <w:r>
              <w:rPr>
                <w:sz w:val="16"/>
              </w:rPr>
              <w:t>Construct</w:t>
            </w:r>
          </w:p>
        </w:tc>
        <w:tc>
          <w:tcPr>
            <w:tcW w:type="dxa" w:w="3024"/>
          </w:tcPr>
          <w:p>
            <w:pPr>
              <w:spacing w:line="240" w:lineRule="auto"/>
            </w:pPr>
            <w:r/>
            <w:r>
              <w:rPr>
                <w:sz w:val="16"/>
              </w:rPr>
              <w:t>Measures whether a plan was built from real data, not whether the options chosen were good</w:t>
            </w:r>
          </w:p>
        </w:tc>
        <w:tc>
          <w:tcPr>
            <w:tcW w:type="dxa" w:w="3024"/>
          </w:tcPr>
          <w:p>
            <w:pPr>
              <w:spacing w:line="240" w:lineRule="auto"/>
            </w:pPr>
            <w:r/>
            <w:r>
              <w:rPr>
                <w:sz w:val="16"/>
              </w:rPr>
              <w:t>Preference judgements from participants ranking itineraries</w:t>
            </w:r>
          </w:p>
        </w:tc>
      </w:tr>
      <w:tr>
        <w:tc>
          <w:tcPr>
            <w:tcW w:type="dxa" w:w="2160"/>
          </w:tcPr>
          <w:p>
            <w:pPr>
              <w:spacing w:line="240" w:lineRule="auto"/>
            </w:pPr>
            <w:r/>
            <w:r>
              <w:rPr>
                <w:sz w:val="16"/>
              </w:rPr>
              <w:t>Entity matching is guessable</w:t>
            </w:r>
          </w:p>
        </w:tc>
        <w:tc>
          <w:tcPr>
            <w:tcW w:type="dxa" w:w="864"/>
          </w:tcPr>
          <w:p>
            <w:pPr>
              <w:spacing w:line="240" w:lineRule="auto"/>
            </w:pPr>
            <w:r/>
            <w:r>
              <w:rPr>
                <w:sz w:val="16"/>
              </w:rPr>
              <w:t>Construct</w:t>
            </w:r>
          </w:p>
        </w:tc>
        <w:tc>
          <w:tcPr>
            <w:tcW w:type="dxa" w:w="3024"/>
          </w:tcPr>
          <w:p>
            <w:pPr>
              <w:spacing w:line="240" w:lineRule="auto"/>
            </w:pPr>
            <w:r/>
            <w:r>
              <w:rPr>
                <w:sz w:val="16"/>
              </w:rPr>
              <w:t>Cannot carry a claim on its own</w:t>
            </w:r>
          </w:p>
        </w:tc>
        <w:tc>
          <w:tcPr>
            <w:tcW w:type="dxa" w:w="3024"/>
          </w:tcPr>
          <w:p>
            <w:pPr>
              <w:spacing w:line="240" w:lineRule="auto"/>
            </w:pPr>
            <w:r/>
            <w:r>
              <w:rPr>
                <w:sz w:val="16"/>
              </w:rPr>
              <w:t>Already mitigated by reporting the two signals separately and letting price matching carry the claim</w:t>
            </w:r>
          </w:p>
        </w:tc>
      </w:tr>
      <w:tr>
        <w:tc>
          <w:tcPr>
            <w:tcW w:type="dxa" w:w="2160"/>
          </w:tcPr>
          <w:p>
            <w:pPr>
              <w:spacing w:line="240" w:lineRule="auto"/>
            </w:pPr>
            <w:r/>
            <w:r>
              <w:rPr>
                <w:sz w:val="16"/>
              </w:rPr>
              <w:t>The author designed, built, measured and interpreted everything</w:t>
            </w:r>
          </w:p>
        </w:tc>
        <w:tc>
          <w:tcPr>
            <w:tcW w:type="dxa" w:w="864"/>
          </w:tcPr>
          <w:p>
            <w:pPr>
              <w:spacing w:line="240" w:lineRule="auto"/>
            </w:pPr>
            <w:r/>
            <w:r>
              <w:rPr>
                <w:sz w:val="16"/>
              </w:rPr>
              <w:t>Construct</w:t>
            </w:r>
          </w:p>
        </w:tc>
        <w:tc>
          <w:tcPr>
            <w:tcW w:type="dxa" w:w="3024"/>
          </w:tcPr>
          <w:p>
            <w:pPr>
              <w:spacing w:line="240" w:lineRule="auto"/>
            </w:pPr>
            <w:r/>
            <w:r>
              <w:rPr>
                <w:sz w:val="16"/>
              </w:rPr>
              <w:t>Experimenter bias, partly offset by executable checks whose outcome was not chosen</w:t>
            </w:r>
          </w:p>
        </w:tc>
        <w:tc>
          <w:tcPr>
            <w:tcW w:type="dxa" w:w="3024"/>
          </w:tcPr>
          <w:p>
            <w:pPr>
              <w:spacing w:line="240" w:lineRule="auto"/>
            </w:pPr>
            <w:r/>
            <w:r>
              <w:rPr>
                <w:sz w:val="16"/>
              </w:rPr>
              <w:t>Independent replication from the committed response cache, which needs no credentials</w:t>
            </w:r>
          </w:p>
        </w:tc>
      </w:tr>
    </w:tbl>
    <w:p/>
    <w:p>
      <w:r>
        <w:br w:type="page"/>
      </w:r>
    </w:p>
    <w:p>
      <w:pPr>
        <w:pStyle w:val="Heading1"/>
      </w:pPr>
      <w:r>
        <w:t>Appendix M — Risk analysis and the risk register</w:t>
      </w:r>
    </w:p>
    <w:p>
      <w:pPr>
        <w:spacing w:line="360" w:lineRule="auto"/>
        <w:jc w:val="both"/>
      </w:pPr>
      <w:r>
        <w:t>Signposted from Section 3.6. Risks are recorded here with what was done about them and what then happened, because a register listing only intentions is untestable. Likelihood and impact are the values assigned at the start of the project; the final column is the outcome, and three of these risks occurred.</w:t>
      </w:r>
    </w:p>
    <w:p>
      <w:pPr>
        <w:spacing w:line="360" w:lineRule="auto"/>
        <w:jc w:val="both"/>
      </w:pPr>
      <w:r>
        <w:t>The binding risk was never technical difficulty. It was the monthly request allowance on the travel APIs: 30 flight searches and 50 hotel searches, on free tiers that cannot be topped up and reset only at the end of a billing cycle. One flight search costs two requests, because the provider's endpoint is asynchronous and has to be polled for the fares. A single evaluated scenario therefore consumes about 6 requests through the shipped arm, and far more through the agent-driven arms, where a reasoning loop decides how many calls to make and made 24 model requests on the run recorded here.</w:t>
      </w:r>
    </w:p>
    <w:p>
      <w:pPr>
        <w:spacing w:line="360" w:lineRule="auto"/>
        <w:jc w:val="both"/>
      </w:pPr>
      <w:r>
        <w:t>The consequence is that quota exhaustion is not a delay but a hard stop of up to a month, arriving without warning in the middle of a measurement. Two controls were built before the arms were: every HTTP call passes through a record-and-replay layer, so a response is bought once and reused for ever, and a hard ceiling on live calls per process fails the run loudly rather than spending an allowance it cannot recover. 30 responses are committed, which is why the whole evaluation replays from disk with no credentials, and why the figures in this dissertation can be reproduced by a marker who has no API keys at all.</w:t>
      </w:r>
    </w:p>
    <w:p>
      <w:pPr>
        <w:spacing w:line="360" w:lineRule="auto"/>
        <w:jc w:val="both"/>
      </w:pPr>
      <w:r>
        <w:t>The controls worked and the risk still bit. At the last reading the flight allowance stood at 13 of 30 and the hotel allowance at 27 of 50, and recording all 20 designed scenarios needs more than one monthly cycle. Coverage of the cost comparison is therefore 1 scenario, stated as such in the abstract, in Section 6.1 and on every chart rather than smoothed over. That is the honest residual: the mitigation protected reproducibility, not breadth, and no amount of caching creates requests that were never made.</w:t>
      </w:r>
    </w:p>
    <w:p>
      <w:pPr>
        <w:spacing w:line="240" w:lineRule="auto"/>
        <w:jc w:val="center"/>
      </w:pPr>
      <w:r>
        <w:rPr>
          <w:i/>
          <w:color w:val="52514E"/>
          <w:sz w:val="19"/>
        </w:rPr>
        <w:t>Table M.1: Risk register: the assessment made at the start, the control built for it, and the outcome. Three of the eight risks occurred.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944"/>
          </w:tcPr>
          <w:p>
            <w:pPr>
              <w:spacing w:line="240" w:lineRule="auto"/>
            </w:pPr>
            <w:r/>
            <w:r>
              <w:rPr>
                <w:b/>
                <w:sz w:val="15"/>
              </w:rPr>
              <w:t>Risk</w:t>
            </w:r>
          </w:p>
        </w:tc>
        <w:tc>
          <w:tcPr>
            <w:tcW w:type="dxa" w:w="893"/>
          </w:tcPr>
          <w:p>
            <w:pPr>
              <w:spacing w:line="240" w:lineRule="auto"/>
            </w:pPr>
            <w:r/>
            <w:r>
              <w:rPr>
                <w:b/>
                <w:sz w:val="15"/>
              </w:rPr>
              <w:t>Likelihood</w:t>
            </w:r>
          </w:p>
        </w:tc>
        <w:tc>
          <w:tcPr>
            <w:tcW w:type="dxa" w:w="792"/>
          </w:tcPr>
          <w:p>
            <w:pPr>
              <w:spacing w:line="240" w:lineRule="auto"/>
            </w:pPr>
            <w:r/>
            <w:r>
              <w:rPr>
                <w:b/>
                <w:sz w:val="15"/>
              </w:rPr>
              <w:t>Impact</w:t>
            </w:r>
          </w:p>
        </w:tc>
        <w:tc>
          <w:tcPr>
            <w:tcW w:type="dxa" w:w="2736"/>
          </w:tcPr>
          <w:p>
            <w:pPr>
              <w:spacing w:line="240" w:lineRule="auto"/>
            </w:pPr>
            <w:r/>
            <w:r>
              <w:rPr>
                <w:b/>
                <w:sz w:val="15"/>
              </w:rPr>
              <w:t>Mitigation built</w:t>
            </w:r>
          </w:p>
        </w:tc>
        <w:tc>
          <w:tcPr>
            <w:tcW w:type="dxa" w:w="2736"/>
          </w:tcPr>
          <w:p>
            <w:pPr>
              <w:spacing w:line="240" w:lineRule="auto"/>
            </w:pPr>
            <w:r/>
            <w:r>
              <w:rPr>
                <w:b/>
                <w:sz w:val="15"/>
              </w:rPr>
              <w:t>What actually happened</w:t>
            </w:r>
          </w:p>
        </w:tc>
      </w:tr>
      <w:tr>
        <w:tc>
          <w:tcPr>
            <w:tcW w:type="dxa" w:w="1944"/>
          </w:tcPr>
          <w:p>
            <w:pPr>
              <w:spacing w:line="240" w:lineRule="auto"/>
            </w:pPr>
            <w:r/>
            <w:r>
              <w:rPr>
                <w:sz w:val="15"/>
              </w:rPr>
              <w:t>Travel API monthly allowance exhausted mid-measurement</w:t>
            </w:r>
          </w:p>
        </w:tc>
        <w:tc>
          <w:tcPr>
            <w:tcW w:type="dxa" w:w="893"/>
          </w:tcPr>
          <w:p>
            <w:pPr>
              <w:spacing w:line="240" w:lineRule="auto"/>
            </w:pPr>
            <w:r/>
            <w:r>
              <w:rPr>
                <w:sz w:val="15"/>
              </w:rPr>
              <w:t>High</w:t>
            </w:r>
          </w:p>
        </w:tc>
        <w:tc>
          <w:tcPr>
            <w:tcW w:type="dxa" w:w="792"/>
          </w:tcPr>
          <w:p>
            <w:pPr>
              <w:spacing w:line="240" w:lineRule="auto"/>
            </w:pPr>
            <w:r/>
            <w:r>
              <w:rPr>
                <w:sz w:val="15"/>
              </w:rPr>
              <w:t>High</w:t>
            </w:r>
          </w:p>
        </w:tc>
        <w:tc>
          <w:tcPr>
            <w:tcW w:type="dxa" w:w="2736"/>
          </w:tcPr>
          <w:p>
            <w:pPr>
              <w:spacing w:line="240" w:lineRule="auto"/>
            </w:pPr>
            <w:r/>
            <w:r>
              <w:rPr>
                <w:sz w:val="15"/>
              </w:rPr>
              <w:t>Record-and-replay of every HTTP call; hard per-process ceiling on live calls; quota read from response headers and committed to a file</w:t>
            </w:r>
          </w:p>
        </w:tc>
        <w:tc>
          <w:tcPr>
            <w:tcW w:type="dxa" w:w="2736"/>
          </w:tcPr>
          <w:p>
            <w:pPr>
              <w:spacing w:line="240" w:lineRule="auto"/>
            </w:pPr>
            <w:r/>
            <w:r>
              <w:rPr>
                <w:sz w:val="15"/>
              </w:rPr>
              <w:t>OCCURRED. Both allowances were fully spent during development. The cache (30 responses) kept every result reproducible, but coverage of the cost comparison is 1 of 20 scenarios</w:t>
            </w:r>
          </w:p>
        </w:tc>
      </w:tr>
      <w:tr>
        <w:tc>
          <w:tcPr>
            <w:tcW w:type="dxa" w:w="1944"/>
          </w:tcPr>
          <w:p>
            <w:pPr>
              <w:spacing w:line="240" w:lineRule="auto"/>
            </w:pPr>
            <w:r/>
            <w:r>
              <w:rPr>
                <w:sz w:val="15"/>
              </w:rPr>
              <w:t>A single accidental run drains a month's allowance</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TRIP_PLANNER_MAX_LIVE_CALLS refuses the call rather than spending it; replay is the default mode for every demonstration</w:t>
            </w:r>
          </w:p>
        </w:tc>
        <w:tc>
          <w:tcPr>
            <w:tcW w:type="dxa" w:w="2736"/>
          </w:tcPr>
          <w:p>
            <w:pPr>
              <w:spacing w:line="240" w:lineRule="auto"/>
            </w:pPr>
            <w:r/>
            <w:r>
              <w:rPr>
                <w:sz w:val="15"/>
              </w:rPr>
              <w:t>Prevented, then nearly caused anyway by a free price lookup that resolved a city name through a live endpoint. One hotel request was spent before a test was added to forbid it (Section 5.6)</w:t>
            </w:r>
          </w:p>
        </w:tc>
      </w:tr>
      <w:tr>
        <w:tc>
          <w:tcPr>
            <w:tcW w:type="dxa" w:w="1944"/>
          </w:tcPr>
          <w:p>
            <w:pPr>
              <w:spacing w:line="240" w:lineRule="auto"/>
            </w:pPr>
            <w:r/>
            <w:r>
              <w:rPr>
                <w:sz w:val="15"/>
              </w:rPr>
              <w:t>Model provider withdraws or changes the model mid-project</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One module holds the model string and the request-shape compatibility layer, so a change is edited in a single place</w:t>
            </w:r>
          </w:p>
        </w:tc>
        <w:tc>
          <w:tcPr>
            <w:tcW w:type="dxa" w:w="2736"/>
          </w:tcPr>
          <w:p>
            <w:pPr>
              <w:spacing w:line="240" w:lineRule="auto"/>
            </w:pPr>
            <w:r/>
            <w:r>
              <w:rPr>
                <w:sz w:val="15"/>
              </w:rPr>
              <w:t>OCCURRED. The model named in the proposal was withdrawn. The arms were restored by editing one constant; the affected requests are counted and reported rather than silently repaired</w:t>
            </w:r>
          </w:p>
        </w:tc>
      </w:tr>
      <w:tr>
        <w:tc>
          <w:tcPr>
            <w:tcW w:type="dxa" w:w="1944"/>
          </w:tcPr>
          <w:p>
            <w:pPr>
              <w:spacing w:line="240" w:lineRule="auto"/>
            </w:pPr>
            <w:r/>
            <w:r>
              <w:rPr>
                <w:sz w:val="15"/>
              </w:rPr>
              <w:t>Tool calls fail silently and the model answers from memory</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Groundedness measured as recall of retrieved entities, so a plan built without data scores low even when it reads well</w:t>
            </w:r>
          </w:p>
        </w:tc>
        <w:tc>
          <w:tcPr>
            <w:tcW w:type="dxa" w:w="2736"/>
          </w:tcPr>
          <w:p>
            <w:pPr>
              <w:spacing w:line="240" w:lineRule="auto"/>
            </w:pPr>
            <w:r/>
            <w:r>
              <w:rPr>
                <w:sz w:val="15"/>
              </w:rPr>
              <w:t>OCCURRED on the first end-to-end run: every tool call was failing and the itinerary looked complete. This is why the metric exists (Section 5.2)</w:t>
            </w:r>
          </w:p>
        </w:tc>
      </w:tr>
      <w:tr>
        <w:tc>
          <w:tcPr>
            <w:tcW w:type="dxa" w:w="1944"/>
          </w:tcPr>
          <w:p>
            <w:pPr>
              <w:spacing w:line="240" w:lineRule="auto"/>
            </w:pPr>
            <w:r/>
            <w:r>
              <w:rPr>
                <w:sz w:val="15"/>
              </w:rPr>
              <w:t>Reported numbers drift away from the measured data</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Every figure interpolated from the results files at build time, and a perturbation test that corrupts the data and fails if any printed number does not move</w:t>
            </w:r>
          </w:p>
        </w:tc>
        <w:tc>
          <w:tcPr>
            <w:tcW w:type="dxa" w:w="2736"/>
          </w:tcPr>
          <w:p>
            <w:pPr>
              <w:spacing w:line="240" w:lineRule="auto"/>
            </w:pPr>
            <w:r/>
            <w:r>
              <w:rPr>
                <w:sz w:val="15"/>
              </w:rPr>
              <w:t>Controlled. The proof runs on every build and is reported in Appendix N</w:t>
            </w:r>
          </w:p>
        </w:tc>
      </w:tr>
      <w:tr>
        <w:tc>
          <w:tcPr>
            <w:tcW w:type="dxa" w:w="1944"/>
          </w:tcPr>
          <w:p>
            <w:pPr>
              <w:spacing w:line="240" w:lineRule="auto"/>
            </w:pPr>
            <w:r/>
            <w:r>
              <w:rPr>
                <w:sz w:val="15"/>
              </w:rPr>
              <w:t>Credentials committed to version control or printed in logs</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Keys confined to an ignored .env; request headers excluded from the response cache; third-party loggers raised above INFO because the model key travels in the URL</w:t>
            </w:r>
          </w:p>
        </w:tc>
        <w:tc>
          <w:tcPr>
            <w:tcW w:type="dxa" w:w="2736"/>
          </w:tcPr>
          <w:p>
            <w:pPr>
              <w:spacing w:line="240" w:lineRule="auto"/>
            </w:pPr>
            <w:r/>
            <w:r>
              <w:rPr>
                <w:sz w:val="15"/>
              </w:rPr>
              <w:t>Controlled. No credential appears in any tracked file or committed response</w:t>
            </w:r>
          </w:p>
        </w:tc>
      </w:tr>
      <w:tr>
        <w:tc>
          <w:tcPr>
            <w:tcW w:type="dxa" w:w="1944"/>
          </w:tcPr>
          <w:p>
            <w:pPr>
              <w:spacing w:line="240" w:lineRule="auto"/>
            </w:pPr>
            <w:r/>
            <w:r>
              <w:rPr>
                <w:sz w:val="15"/>
              </w:rPr>
              <w:t>Scope too large for one part-time project</w:t>
            </w:r>
          </w:p>
        </w:tc>
        <w:tc>
          <w:tcPr>
            <w:tcW w:type="dxa" w:w="893"/>
          </w:tcPr>
          <w:p>
            <w:pPr>
              <w:spacing w:line="240" w:lineRule="auto"/>
            </w:pPr>
            <w:r/>
            <w:r>
              <w:rPr>
                <w:sz w:val="15"/>
              </w:rPr>
              <w:t>High</w:t>
            </w:r>
          </w:p>
        </w:tc>
        <w:tc>
          <w:tcPr>
            <w:tcW w:type="dxa" w:w="792"/>
          </w:tcPr>
          <w:p>
            <w:pPr>
              <w:spacing w:line="240" w:lineRule="auto"/>
            </w:pPr>
            <w:r/>
            <w:r>
              <w:rPr>
                <w:sz w:val="15"/>
              </w:rPr>
              <w:t>Medium</w:t>
            </w:r>
          </w:p>
        </w:tc>
        <w:tc>
          <w:tcPr>
            <w:tcW w:type="dxa" w:w="2736"/>
          </w:tcPr>
          <w:p>
            <w:pPr>
              <w:spacing w:line="240" w:lineRule="auto"/>
            </w:pPr>
            <w:r/>
            <w:r>
              <w:rPr>
                <w:sz w:val="15"/>
              </w:rPr>
              <w:t>Four architectures reduced to the minimum that still isolates the variable; questions answerable without quota answered in full</w:t>
            </w:r>
          </w:p>
        </w:tc>
        <w:tc>
          <w:tcPr>
            <w:tcW w:type="dxa" w:w="2736"/>
          </w:tcPr>
          <w:p>
            <w:pPr>
              <w:spacing w:line="240" w:lineRule="auto"/>
            </w:pPr>
            <w:r/>
            <w:r>
              <w:rPr>
                <w:sz w:val="15"/>
              </w:rPr>
              <w:t>Managed. Protocol conformance and the feasibility gate were evaluated across all 20 scenarios because neither needs the network, and both produced negative findings</w:t>
            </w:r>
          </w:p>
        </w:tc>
      </w:tr>
      <w:tr>
        <w:tc>
          <w:tcPr>
            <w:tcW w:type="dxa" w:w="1944"/>
          </w:tcPr>
          <w:p>
            <w:pPr>
              <w:spacing w:line="240" w:lineRule="auto"/>
            </w:pPr>
            <w:r/>
            <w:r>
              <w:rPr>
                <w:sz w:val="15"/>
              </w:rPr>
              <w:t>Single point of failure: one laptop, one author</w:t>
            </w:r>
          </w:p>
        </w:tc>
        <w:tc>
          <w:tcPr>
            <w:tcW w:type="dxa" w:w="893"/>
          </w:tcPr>
          <w:p>
            <w:pPr>
              <w:spacing w:line="240" w:lineRule="auto"/>
            </w:pPr>
            <w:r/>
            <w:r>
              <w:rPr>
                <w:sz w:val="15"/>
              </w:rPr>
              <w:t>Medium</w:t>
            </w:r>
          </w:p>
        </w:tc>
        <w:tc>
          <w:tcPr>
            <w:tcW w:type="dxa" w:w="792"/>
          </w:tcPr>
          <w:p>
            <w:pPr>
              <w:spacing w:line="240" w:lineRule="auto"/>
            </w:pPr>
            <w:r/>
            <w:r>
              <w:rPr>
                <w:sz w:val="15"/>
              </w:rPr>
              <w:t>Medium</w:t>
            </w:r>
          </w:p>
        </w:tc>
        <w:tc>
          <w:tcPr>
            <w:tcW w:type="dxa" w:w="2736"/>
          </w:tcPr>
          <w:p>
            <w:pPr>
              <w:spacing w:line="240" w:lineRule="auto"/>
            </w:pPr>
            <w:r/>
            <w:r>
              <w:rPr>
                <w:sz w:val="15"/>
              </w:rPr>
              <w:t>Everything in version control; the evaluation reproducible from the committed cache with no credentials</w:t>
            </w:r>
          </w:p>
        </w:tc>
        <w:tc>
          <w:tcPr>
            <w:tcW w:type="dxa" w:w="2736"/>
          </w:tcPr>
          <w:p>
            <w:pPr>
              <w:spacing w:line="240" w:lineRule="auto"/>
            </w:pPr>
            <w:r/>
            <w:r>
              <w:rPr>
                <w:sz w:val="15"/>
              </w:rPr>
              <w:t>Controlled, with a residual: the repository is the only copy until it is pushed to a remote</w:t>
            </w:r>
          </w:p>
        </w:tc>
      </w:tr>
    </w:tbl>
    <w:p/>
    <w:p>
      <w:r>
        <w:br w:type="page"/>
      </w:r>
    </w:p>
    <w:p>
      <w:pPr>
        <w:pStyle w:val="Heading1"/>
      </w:pPr>
      <w:r>
        <w:t>Appendix N — Provenance of the reported results</w:t>
      </w:r>
    </w:p>
    <w:p>
      <w:pPr>
        <w:spacing w:line="240" w:lineRule="auto"/>
        <w:jc w:val="center"/>
      </w:pPr>
      <w:r>
        <w:rPr>
          <w:i/>
          <w:color w:val="52514E"/>
          <w:sz w:val="19"/>
        </w:rPr>
        <w:t>Table N.1: Provenance of every quantitative result in this dissertation.</w:t>
      </w:r>
    </w:p>
    <w:tbl>
      <w:tblPr>
        <w:tblStyle w:val="LightGrid-Accent1"/>
        <w:tblW w:type="auto" w:w="0"/>
        <w:jc w:val="center"/>
        <w:tblLook w:firstColumn="1" w:firstRow="1" w:lastColumn="0" w:lastRow="0" w:noHBand="0" w:noVBand="1" w:val="04A0"/>
      </w:tblPr>
      <w:tblGrid>
        <w:gridCol w:w="4680"/>
        <w:gridCol w:w="4680"/>
      </w:tblGrid>
      <w:tr>
        <w:tc>
          <w:tcPr>
            <w:tcW w:type="dxa" w:w="2880"/>
          </w:tcPr>
          <w:p>
            <w:pPr>
              <w:spacing w:line="240" w:lineRule="auto"/>
            </w:pPr>
            <w:r/>
            <w:r>
              <w:rPr>
                <w:b/>
                <w:sz w:val="19"/>
              </w:rPr>
              <w:t>Field</w:t>
            </w:r>
          </w:p>
        </w:tc>
        <w:tc>
          <w:tcPr>
            <w:tcW w:type="dxa" w:w="3744"/>
          </w:tcPr>
          <w:p>
            <w:pPr>
              <w:spacing w:line="240" w:lineRule="auto"/>
            </w:pPr>
            <w:r/>
            <w:r>
              <w:rPr>
                <w:b/>
                <w:sz w:val="19"/>
              </w:rPr>
              <w:t>Value</w:t>
            </w:r>
          </w:p>
        </w:tc>
      </w:tr>
      <w:tr>
        <w:tc>
          <w:tcPr>
            <w:tcW w:type="dxa" w:w="2880"/>
          </w:tcPr>
          <w:p>
            <w:pPr>
              <w:spacing w:line="240" w:lineRule="auto"/>
            </w:pPr>
            <w:r/>
            <w:r>
              <w:rPr>
                <w:sz w:val="19"/>
              </w:rPr>
              <w:t>Model</w:t>
            </w:r>
          </w:p>
        </w:tc>
        <w:tc>
          <w:tcPr>
            <w:tcW w:type="dxa" w:w="3744"/>
          </w:tcPr>
          <w:p>
            <w:pPr>
              <w:spacing w:line="240" w:lineRule="auto"/>
            </w:pPr>
            <w:r/>
            <w:r>
              <w:rPr>
                <w:sz w:val="19"/>
              </w:rPr>
              <w:t>gemini/gemini-3.6-flash</w:t>
            </w:r>
          </w:p>
        </w:tc>
      </w:tr>
      <w:tr>
        <w:tc>
          <w:tcPr>
            <w:tcW w:type="dxa" w:w="2880"/>
          </w:tcPr>
          <w:p>
            <w:pPr>
              <w:spacing w:line="240" w:lineRule="auto"/>
            </w:pPr>
            <w:r/>
            <w:r>
              <w:rPr>
                <w:sz w:val="19"/>
              </w:rPr>
              <w:t>API layer mode</w:t>
            </w:r>
          </w:p>
        </w:tc>
        <w:tc>
          <w:tcPr>
            <w:tcW w:type="dxa" w:w="3744"/>
          </w:tcPr>
          <w:p>
            <w:pPr>
              <w:spacing w:line="240" w:lineRule="auto"/>
            </w:pPr>
            <w:r/>
            <w:r>
              <w:rPr>
                <w:sz w:val="19"/>
              </w:rPr>
              <w:t>replay</w:t>
            </w:r>
          </w:p>
        </w:tc>
      </w:tr>
      <w:tr>
        <w:tc>
          <w:tcPr>
            <w:tcW w:type="dxa" w:w="2880"/>
          </w:tcPr>
          <w:p>
            <w:pPr>
              <w:spacing w:line="240" w:lineRule="auto"/>
            </w:pPr>
            <w:r/>
            <w:r>
              <w:rPr>
                <w:sz w:val="19"/>
              </w:rPr>
              <w:t>Result set status</w:t>
            </w:r>
          </w:p>
        </w:tc>
        <w:tc>
          <w:tcPr>
            <w:tcW w:type="dxa" w:w="3744"/>
          </w:tcPr>
          <w:p>
            <w:pPr>
              <w:spacing w:line="240" w:lineRule="auto"/>
            </w:pPr>
            <w:r/>
            <w:r>
              <w:rPr>
                <w:sz w:val="19"/>
              </w:rPr>
              <w:t>complete</w:t>
            </w:r>
          </w:p>
        </w:tc>
      </w:tr>
      <w:tr>
        <w:tc>
          <w:tcPr>
            <w:tcW w:type="dxa" w:w="2880"/>
          </w:tcPr>
          <w:p>
            <w:pPr>
              <w:spacing w:line="240" w:lineRule="auto"/>
            </w:pPr>
            <w:r/>
            <w:r>
              <w:rPr>
                <w:sz w:val="19"/>
              </w:rPr>
              <w:t>Scenarios measured</w:t>
            </w:r>
          </w:p>
        </w:tc>
        <w:tc>
          <w:tcPr>
            <w:tcW w:type="dxa" w:w="3744"/>
          </w:tcPr>
          <w:p>
            <w:pPr>
              <w:spacing w:line="240" w:lineRule="auto"/>
            </w:pPr>
            <w:r/>
            <w:r>
              <w:rPr>
                <w:sz w:val="19"/>
              </w:rPr>
              <w:t>1 of 20 (5.0%)</w:t>
            </w:r>
          </w:p>
        </w:tc>
      </w:tr>
      <w:tr>
        <w:tc>
          <w:tcPr>
            <w:tcW w:type="dxa" w:w="2880"/>
          </w:tcPr>
          <w:p>
            <w:pPr>
              <w:spacing w:line="240" w:lineRule="auto"/>
            </w:pPr>
            <w:r/>
            <w:r>
              <w:rPr>
                <w:sz w:val="19"/>
              </w:rPr>
              <w:t>Scenario identifiers</w:t>
            </w:r>
          </w:p>
        </w:tc>
        <w:tc>
          <w:tcPr>
            <w:tcW w:type="dxa" w:w="3744"/>
          </w:tcPr>
          <w:p>
            <w:pPr>
              <w:spacing w:line="240" w:lineRule="auto"/>
            </w:pPr>
            <w:r/>
            <w:r>
              <w:rPr>
                <w:sz w:val="19"/>
              </w:rPr>
              <w:t>SC-01</w:t>
            </w:r>
          </w:p>
        </w:tc>
      </w:tr>
      <w:tr>
        <w:tc>
          <w:tcPr>
            <w:tcW w:type="dxa" w:w="2880"/>
          </w:tcPr>
          <w:p>
            <w:pPr>
              <w:spacing w:line="240" w:lineRule="auto"/>
            </w:pPr>
            <w:r/>
            <w:r>
              <w:rPr>
                <w:sz w:val="19"/>
              </w:rPr>
              <w:t>Repeat runs per arm</w:t>
            </w:r>
          </w:p>
        </w:tc>
        <w:tc>
          <w:tcPr>
            <w:tcW w:type="dxa" w:w="3744"/>
          </w:tcPr>
          <w:p>
            <w:pPr>
              <w:spacing w:line="240" w:lineRule="auto"/>
            </w:pPr>
            <w:r/>
            <w:r>
              <w:rPr>
                <w:sz w:val="19"/>
              </w:rPr>
              <w:t>5</w:t>
            </w:r>
          </w:p>
        </w:tc>
      </w:tr>
      <w:tr>
        <w:tc>
          <w:tcPr>
            <w:tcW w:type="dxa" w:w="2880"/>
          </w:tcPr>
          <w:p>
            <w:pPr>
              <w:spacing w:line="240" w:lineRule="auto"/>
            </w:pPr>
            <w:r/>
            <w:r>
              <w:rPr>
                <w:sz w:val="19"/>
              </w:rPr>
              <w:t>Recorded API responses</w:t>
            </w:r>
          </w:p>
        </w:tc>
        <w:tc>
          <w:tcPr>
            <w:tcW w:type="dxa" w:w="3744"/>
          </w:tcPr>
          <w:p>
            <w:pPr>
              <w:spacing w:line="240" w:lineRule="auto"/>
            </w:pPr>
            <w:r/>
            <w:r>
              <w:rPr>
                <w:sz w:val="19"/>
              </w:rPr>
              <w:t>30</w:t>
            </w:r>
          </w:p>
        </w:tc>
      </w:tr>
      <w:tr>
        <w:tc>
          <w:tcPr>
            <w:tcW w:type="dxa" w:w="2880"/>
          </w:tcPr>
          <w:p>
            <w:pPr>
              <w:spacing w:line="240" w:lineRule="auto"/>
            </w:pPr>
            <w:r/>
            <w:r>
              <w:rPr>
                <w:sz w:val="19"/>
              </w:rPr>
              <w:t>Live API calls during the recorded run</w:t>
            </w:r>
          </w:p>
        </w:tc>
        <w:tc>
          <w:tcPr>
            <w:tcW w:type="dxa" w:w="3744"/>
          </w:tcPr>
          <w:p>
            <w:pPr>
              <w:spacing w:line="240" w:lineRule="auto"/>
            </w:pPr>
            <w:r/>
            <w:r>
              <w:rPr>
                <w:sz w:val="19"/>
              </w:rPr>
              <w:t>0</w:t>
            </w:r>
          </w:p>
        </w:tc>
      </w:tr>
      <w:tr>
        <w:tc>
          <w:tcPr>
            <w:tcW w:type="dxa" w:w="2880"/>
          </w:tcPr>
          <w:p>
            <w:pPr>
              <w:spacing w:line="240" w:lineRule="auto"/>
            </w:pPr>
            <w:r/>
            <w:r>
              <w:rPr>
                <w:sz w:val="19"/>
              </w:rPr>
              <w:t>Commits</w:t>
            </w:r>
          </w:p>
        </w:tc>
        <w:tc>
          <w:tcPr>
            <w:tcW w:type="dxa" w:w="3744"/>
          </w:tcPr>
          <w:p>
            <w:pPr>
              <w:spacing w:line="240" w:lineRule="auto"/>
            </w:pPr>
            <w:r/>
            <w:r>
              <w:rPr>
                <w:sz w:val="19"/>
              </w:rPr>
              <w:t>148</w:t>
            </w:r>
          </w:p>
        </w:tc>
      </w:tr>
      <w:tr>
        <w:tc>
          <w:tcPr>
            <w:tcW w:type="dxa" w:w="2880"/>
          </w:tcPr>
          <w:p>
            <w:pPr>
              <w:spacing w:line="240" w:lineRule="auto"/>
            </w:pPr>
            <w:r/>
            <w:r>
              <w:rPr>
                <w:sz w:val="19"/>
              </w:rPr>
              <w:t>First commit</w:t>
            </w:r>
          </w:p>
        </w:tc>
        <w:tc>
          <w:tcPr>
            <w:tcW w:type="dxa" w:w="3744"/>
          </w:tcPr>
          <w:p>
            <w:pPr>
              <w:spacing w:line="240" w:lineRule="auto"/>
            </w:pPr>
            <w:r/>
            <w:r>
              <w:rPr>
                <w:sz w:val="19"/>
              </w:rPr>
              <w:t>2025-12-30</w:t>
            </w:r>
          </w:p>
        </w:tc>
      </w:tr>
      <w:tr>
        <w:tc>
          <w:tcPr>
            <w:tcW w:type="dxa" w:w="2880"/>
          </w:tcPr>
          <w:p>
            <w:pPr>
              <w:spacing w:line="240" w:lineRule="auto"/>
            </w:pPr>
            <w:r/>
            <w:r>
              <w:rPr>
                <w:sz w:val="19"/>
              </w:rPr>
              <w:t>Last commit</w:t>
            </w:r>
          </w:p>
        </w:tc>
        <w:tc>
          <w:tcPr>
            <w:tcW w:type="dxa" w:w="3744"/>
          </w:tcPr>
          <w:p>
            <w:pPr>
              <w:spacing w:line="240" w:lineRule="auto"/>
            </w:pPr>
            <w:r/>
            <w:r>
              <w:rPr>
                <w:sz w:val="19"/>
              </w:rPr>
              <w:t>2026-09-02</w:t>
            </w:r>
          </w:p>
        </w:tc>
      </w:tr>
    </w:tbl>
    <w:p/>
    <w:p>
      <w:pPr>
        <w:spacing w:line="360" w:lineRule="auto"/>
        <w:jc w:val="both"/>
      </w:pPr>
      <w:r>
        <w:t>The comparison was run with the API layer in replay mode and zero live calls, which is why the reported figures can be reproduced exactly rather than approximately. A live run would return different fares and therefore different groundedness scores; the recorded responses fix the ground truth so that the architectures are compared against identical data.</w:t>
      </w:r>
    </w:p>
    <w:p>
      <w:r>
        <w:br w:type="page"/>
      </w:r>
    </w:p>
    <w:p>
      <w:pPr>
        <w:pStyle w:val="Heading1"/>
      </w:pPr>
      <w:r>
        <w:t>Appendix O — Three defects a passing suite did not catch</w:t>
      </w:r>
    </w:p>
    <w:p>
      <w:pPr>
        <w:spacing w:line="360" w:lineRule="auto"/>
        <w:jc w:val="both"/>
      </w:pPr>
      <w:r>
        <w:t>Sections 5.6 and 5.7 state the lessons these produced. The detail is here because each is worth reading once and none carries the argument.</w:t>
      </w:r>
    </w:p>
    <w:p>
      <w:pPr>
        <w:pStyle w:val="Heading3"/>
      </w:pPr>
      <w:r>
        <w:t>O.1  A tested evaluator that was not the one being called</w:t>
      </w:r>
    </w:p>
    <w:p>
      <w:pPr>
        <w:spacing w:line="360" w:lineRule="auto"/>
        <w:jc w:val="both"/>
      </w:pPr>
      <w:r>
        <w:t>The calculator tool filtered its input against a permitted character set and then called the interpreter's own expression evaluator, while the tests exercised a syntax-tree evaluator defined in the test file. The character filter blocks name lookups, so code injection was never reachable — genuinely the hard part. What it cannot block is resource exhaustion: 9**9**9 is eight characters, passes any character allowlist, and occupies the interpreter indefinitely while allocating memory until the process dies. The two implementations had also drifted, the test copy having omitted unary plus, so a test asserted a rejection production did not make.</w:t>
      </w:r>
    </w:p>
    <w:p>
      <w:pPr>
        <w:spacing w:line="360" w:lineRule="auto"/>
        <w:jc w:val="both"/>
      </w:pPr>
      <w:r>
        <w:t>The evaluator now lives in one module and the tool delegates to it, exponentiation is bounded before evaluation rather than after, and the tests import the shipped code. One test asserts that the server's tool is that code and not a copy, so the two cannot drift again. The fix alters which expressions are refused, not the value returned for any well-formed one, which is why the Chapter 6 measurements are unaffected.</w:t>
      </w:r>
    </w:p>
    <w:p>
      <w:pPr>
        <w:pStyle w:val="Heading3"/>
      </w:pPr>
      <w:r>
        <w:t>O.2  Two smaller defects</w:t>
      </w:r>
    </w:p>
    <w:p>
      <w:pPr>
        <w:spacing w:line="360" w:lineRule="auto"/>
        <w:jc w:val="both"/>
      </w:pPr>
      <w:r>
        <w:t>The first was a sign error with an impossible output. The direct-execution arm reports per-phase timings, and the extraction phase subtracted the run's start time from a value that was already an elapsed duration, writing a large negative number into the results file. A negative duration cannot occur, and nothing in the harness objected. Values that cannot occur should be asserted rather than trusted.</w:t>
      </w:r>
    </w:p>
    <w:p>
      <w:pPr>
        <w:spacing w:line="360" w:lineRule="auto"/>
        <w:jc w:val="both"/>
      </w:pPr>
      <w:r>
        <w:t>The second was in the figure generator and produced a wrong chart that looked right. Three panels each built a tick formatter inside a loop, and each closure captured the loop variable rather than its value, so every panel rendered with whichever formatter the loop finished on — the currency one. The request-count axis was labelled in dollars. Nothing failed; the chart was simply false, and it would have been submitted that 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