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360" w:line="288" w:lineRule="auto"/>
        <w:jc w:val="center"/>
      </w:pPr>
      <w:r>
        <w:rPr>
          <w:b w:val="0"/>
          <w:color w:val="52514E"/>
          <w:sz w:val="21"/>
        </w:rPr>
        <w:t>7 September 2026</w:t>
      </w:r>
    </w:p>
    <w:p>
      <w:pPr>
        <w:spacing w:after="600" w:line="288" w:lineRule="auto"/>
        <w:jc w:val="center"/>
      </w:pPr>
      <w:r>
        <w:rPr>
          <w:b w:val="0"/>
          <w:color w:val="52514E"/>
          <w:sz w:val="21"/>
        </w:rPr>
        <w:t>Word count: 12,384 words (Chapters 1–8, including headings, lists, tables and captions). Excluded: title page, abstract, contents, references, appendices and the lists of figures and tables — 1,920 words.</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tests whether a language model can be trusted with a task that has verifiable answers: a plan names flights, hotels, prices and dates, and each either corresponds to something bookable or does not. Single-model assistants perform badly on exactly this — the strongest single-agent baseline on the TravelPlanner benchmark completes 0.6% of tasks, failing largely through invented venues and fabricated prices (Xie et al., 2024). This dissertation asks a narrower question: given a schema-validated tool layer and a typed inter-agent protocol, what does delegating retrieval to a model cost, and what does it buy?</w:t>
      </w:r>
    </w:p>
    <w:p>
      <w:pPr>
        <w:spacing w:line="360" w:lineRule="auto"/>
        <w:jc w:val="both"/>
      </w:pPr>
      <w:r>
        <w:t>A working system was built and evaluated against itself in four configurations: one model with no tools; a six-agent design as first implemented; the same six agents after their prompt economics were tuned; and a three-agent design keeping both protocols but retrieving in ordinary Python. All four share one Model Context Protocol server exposing twelve tools over three live travel APIs, and one typed message layer. Every model request is counted by provider callback rather than estimated, and every HTTP response recorded, so results replay without an API key.</w:t>
      </w:r>
    </w:p>
    <w:p>
      <w:pPr>
        <w:spacing w:line="360" w:lineRule="auto"/>
        <w:jc w:val="both"/>
      </w:pPr>
      <w:r>
        <w:t>Three findings matter, and the second is not the expected one. Retrieval delegated to a model costs more without being better: against the tuned six-agent arm, the three-agent design used 79.2% fewer requests, 37.1% less time and 42.7% less money, with cost and latency intervals that do not overlap over 5 runs of each. Its groundedness interval does overlap, so the saving carries no quality penalty this evidence can detect — though the tuned arm's mean is the higher, recorded rather than rounded away. Second, most of the multi-agent penalty was implementation rather than architecture: tuning alone cut token use by 88.8%, which narrows the defensible claim considerably. Third, tool access separates a plausible itinerary from a usable one — the tool-less arm quoted 29 prices and matched 0 to anything real.</w:t>
      </w:r>
    </w:p>
    <w:p>
      <w:pPr>
        <w:spacing w:line="360" w:lineRule="auto"/>
        <w:jc w:val="both"/>
      </w:pPr>
      <w:r>
        <w:t>The evaluation also turned on the artefact. A conformance audit of its own protocol layer passed 3 of 9 checks: message priority is declared on every message and never honoured, and 3 of 12 tool schemas disagree with their implementations. The budget feasibility gate reached a Cohen's kappa of 0.643 across all twenty designed scenarios, and the reason is traceable: its cheapest-fare anchor sits 52% below the cheapest fare the API returned for the one route with recorded fares. These defects were found by measuring the artefact, and they are the most useful evidence it produced.</w:t>
      </w:r>
    </w:p>
    <w:p>
      <w:pPr>
        <w:spacing w:line="360" w:lineRule="auto"/>
        <w:jc w:val="both"/>
      </w:pPr>
      <w:r>
        <w:t>The principal limitation is breadth rather than depth. Free-tier quotas on the flight and hotel APIs mean the four-arm comparison rests on 1 recorded scenario of 20 designed. Repeats replay recorded responses and cost no quota, which is why every figure carries an interval, but additional scenarios cannot be bought the same way: differences on this scenario are measurable, and generalisation to other trips is not established. The protocol and budget-gate experiments are quota-free and cover all twenty. The contribution is a reproducible harness and a narrow measured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with arrivals close to pre-pandemic levels (UN Tourism, 2024). The industry grew back; the planning experience did not. Assembling a week away still means reconciling a flight search, a hotel search, an attractions list and a budget across several tabs, then redoing most of it when one price moves — tedious rather than difficult, which is the profile of work automation should suit.</w:t>
      </w:r>
    </w:p>
    <w:p>
      <w:pPr>
        <w:spacing w:line="360" w:lineRule="auto"/>
        <w:jc w:val="both"/>
      </w:pPr>
      <w:r>
        <w:t>Language models look like the obvious instrument, and for the conversational part they are: interpreting "a week in Bangkok for two thousand dollars, we like markets and temples" is what they do well. The difficulty is the next step. A travel plan is not writing judged on fluency but a set of claims about the world —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tasks with hard commonsense and budget constraints, the strongest single-agent GPT-4 configuration completed 0.6% end to end (Xie et al., 2024). The failures were not stylistic: plans named venues that do not exist, quoted prices never offered, and broke the budget they were given. Hallucination is documented across text generation (Ji et al., 2023) but takes a sharper form here — a fluent itinerary that cannot be booked is worse than none, because it looks finished.</w:t>
      </w:r>
    </w:p>
    <w:p>
      <w:pPr>
        <w:pStyle w:val="Heading2"/>
      </w:pPr>
      <w:r>
        <w:t>1.2  The specific problem</w:t>
      </w:r>
    </w:p>
    <w:p>
      <w:pPr>
        <w:spacing w:line="360" w:lineRule="auto"/>
        <w:jc w:val="both"/>
      </w:pPr>
      <w:r>
        <w:t>Two structural responses are well established. Tool use lets a model fetch facts instead of recalling them (Schick et al., 2023), and multi-agent decomposition gives each part of a task to a component with a narrow remit (Wu et al., 2023). Both are widely adopted; how they interact, and at what price, is much less settled. Delegating a lookup to an agent puts it inside a reasoning loop: the model decides which tool to call, with what arguments, and whether to call it again. Each decision is a request, and each request re-sends the accumulated context.</w:t>
      </w:r>
    </w:p>
    <w:p>
      <w:pPr>
        <w:spacing w:line="360" w:lineRule="auto"/>
        <w:jc w:val="both"/>
      </w:pPr>
      <w:r>
        <w:t>That cost is rarely reported. Framework documentation counts agents and tasks; papers report task success. Neither asks whether the reasoning loop earns its cost where it is applied. Retrieving a flight price is not a judgement call: once the request is parsed the parameters are fixed, the endpoint is deterministic, and one call is correct. A recent analysis of multi-agent failures attributes a large share to specification and coordination rather than model capability, though from taxonomy rather than cost (Cemri et al., 2025). This project treats it as an empirical question about one system, which needs an artefact worth measuring, an instrument that counts what is spent, and a quality measure that stops cheapness passing for merit.</w:t>
      </w:r>
    </w:p>
    <w:p>
      <w:pPr>
        <w:pStyle w:val="Heading2"/>
      </w:pPr>
      <w:r>
        <w:t>1.3  Aim</w:t>
      </w:r>
    </w:p>
    <w:p>
      <w:pPr>
        <w:spacing w:line="360" w:lineRule="auto"/>
        <w:jc w:val="both"/>
      </w:pPr>
      <w:r>
        <w:t>The aim is to design, build and evaluate a multi-agent travel planning system that produces day-by-day itineraries grounded in live flight, hotel and venue data, through a schema-validated Model Context Protocol tool layer and a typed agent-to-agent message protocol. It is then to measure what delegating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The system is a planning aid: it books nothing, and it is judged on whether what it names was actually retrieved, not on whether a traveller would choose its plans.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and every HTTP response recorded, so the comparison replays from disk without credentials and its numbers can be checked rather than trusted. The second is a comparison that includes its own fair baseline: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them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Models also attend unevenly across a long context, recovering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 early analysis of its landscape notes that the specification governs the transport and the schema declaration, but leaves the correspondence between a declared schema and the code behind it to the implementer (Hou et al., 2025). That is not a small gap, and Section 6.4 reports what auditing it found in this project's own server.</w:t>
      </w:r>
    </w:p>
    <w:p>
      <w:pPr>
        <w:spacing w:line="360" w:lineRule="auto"/>
        <w:jc w:val="both"/>
      </w:pPr>
      <w:r>
        <w:t>Above the agents there is no equivalent standard. The nearest is much older. The FIPA Communicative Act Library defines a typed vocabulary of speech acts for agent messaging — request, inform, agree, refuse — so that the intent of a message is not left to interpretation (FIPA, 2002). Modern LLM frameworks largely abandoned this for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Its value is that it separates plausibility from correctness. Its limit, for a project like this one, is that its environment is a frozen snapshot. An agent that scores well on it has not shown it can cope with a live API that returns a session identifier instead of results, or ignores a parameter it does not recognise. Both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meant to prevent malformed invocation contains 3 tools whose declared schemas disagree with their implementations, and the typed message layer honours its permission rules while ignoring the priority ordering it advertises: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J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giving the improved version the strongest possible position before comparing against it. It also produced the result in Section 6.3: that most of the difference the project set out to demonstrate was implementation quality rather than architecture. Without Arm C that finding is unavailable and the headline claim is indefensible under questioning.</w:t>
      </w:r>
    </w:p>
    <w:p>
      <w:pPr>
        <w:spacing w:line="360" w:lineRule="auto"/>
        <w:jc w:val="both"/>
      </w:pPr>
      <w:r>
        <w:t>One control is imperfect.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Those axes are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 is asymmetric, and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answer completely those questions needing no quota: protocol conformance needs no network, and the feasibility gate needs neither network nor model. Both are evaluated across the full scenario set, and both produced negative findings that the quota-limited comparison could not have produced. Quota was also this project's largest risk: Appendix M holds the register, the controls built before the arms were, and which risks occurred regardless.</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solely to reproduce the reported results. It holds no personal data, and request headers carrying credentials are excluded from what is written to disk.</w:t>
      </w:r>
    </w:p>
    <w:p>
      <w:pPr>
        <w:spacing w:line="360" w:lineRule="auto"/>
        <w:jc w:val="both"/>
      </w:pPr>
      <w:r>
        <w:t>One obligation runs beyond compliance and shaped a measurement. A system that prints prices invites the reading that those prices are bookable, so groundedness is measured rather than assumed. Section 7.5 returns to the professional and legal position, and to the BCS obligation behind it (BCS, 2022),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16,138 lines of Python across 63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the distillation helpers written for the tuned arm are an experimental treatment, and placing them in the tool layer would have made them production behaviour.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an equivalent call with reordered parameters misses. That is acceptable here because the deterministic arm issues canonical parameters, and it is why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A split that suits a solo short-haul trip therefore misallocates badly for a family travelling far. The replacement derives the split from what that specific trip's components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16,138 lines of Python across 63 files, developed over 148 commits, and Appendix E breaks it down by area. It was built in dependency order: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Every invocation returned "Connection lost", and the cause was mundane. The tool server runs as a subprocess launched by path, so the project root is absent from the module search path and the first first-party import raises. The server died during startup, the client saw a closed pipe and reported a transport error. The fix is three lines putting the project root on the search path.</w:t>
      </w:r>
    </w:p>
    <w:p>
      <w:pPr>
        <w:spacing w:line="360" w:lineRule="auto"/>
        <w:jc w:val="both"/>
      </w:pPr>
      <w:r>
        <w:t>The fix is trivial and the lesson is not. The failure was invisible from outside because of how the agents behaved on a tool error: they proceeded, writing the itinerary from model knowledge instead. That is what the literature reports (Xie et al., 2024), reproduced accidentally inside a system built to prevent it and undetectable from the output. A plausible itinerary is not evidence that retrieval worked, which is why groundedness scoring exists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destination and dates as camelCase. The first implementation sent snake_case dates. The API accepted the request, returned HTTP 200, ignored the dates it did not recognise and searched a default window. Nothing reported an error; the itineraries simply carried dates nobody asked for.</w:t>
      </w:r>
    </w:p>
    <w:p>
      <w:pPr>
        <w:spacing w:line="360" w:lineRule="auto"/>
        <w:jc w:val="both"/>
      </w:pPr>
      <w:r>
        <w:t>Appendix F tabulates the recordings on either side of the fix: the 2 made with snake_case parameters return 0 itineraries, the corrected one 10. This is a class of API defect worth naming. A parameter that is rejected costs minutes;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Appendix F compares the two responses: the search returns 10 itineraries, the poll that follows it 173. Reading only the first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A coincidence made this expensive. The credential had exhausted its monthly allowance, so calls were rejected before reaching the parsing code and the empty result looked like a quota problem rather than a parsing one. Two independent faults with one observable symptom is the worst case for diagnosis. The cache now stores only successful responses for that reason: a quota rejection must never replay as data.</w:t>
      </w:r>
    </w:p>
    <w:p>
      <w:pPr>
        <w:pStyle w:val="Heading2"/>
      </w:pPr>
      <w:r>
        <w:t>5.4  The headline metric was not being measured</w:t>
      </w:r>
    </w:p>
    <w:p>
      <w:pPr>
        <w:spacing w:line="360" w:lineRule="auto"/>
        <w:jc w:val="both"/>
      </w:pPr>
      <w:r>
        <w:t>The comparison's central claim is about model requests, and for a period the harness fabricated that number. The code incremented a counter by a constant after each phase, one line commenting that the figure was simulated. It counted tasks, not requests. Since the criticism of the multi-agent arm is precisely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recording model, prompt and completion tokens, cost and latency per request. The difference was not marginal: the naive six-agent arm, credited with a request per task, actually issues 21 for one trip. Two claims in this project's own documentation — a request count and a cost per itinerary — were wrong by roughly a factor of four once real counting began.</w:t>
      </w:r>
    </w:p>
    <w:p>
      <w:pPr>
        <w:spacing w:line="360" w:lineRule="auto"/>
        <w:jc w:val="both"/>
      </w:pPr>
      <w:r>
        <w:t>Instrumenting correctly exposed a second-order problem. The client dispatches callbacks off the calling thread, so reading the counters immediately after a run undercounts: an early check saw three completions and two callbacks. The session now drains before reporting, blocking until no event has arrived for a quiet period. That matters most for the tuned arm, whose specialists run concurrently, and it stops a late callback being attributed to the next scenario.</w:t>
      </w:r>
    </w:p>
    <w:p>
      <w:pPr>
        <w:spacing w:line="360" w:lineRule="auto"/>
        <w:jc w:val="both"/>
      </w:pPr>
      <w:r>
        <w:t>The recorded data confirms the concurrency works as designed. The tuned arm's summed model time is 51.0 seconds against a wall-clock 36.8. Summed request time exceeding elapsed time is only possible if requests overlapped — direct evidence of the thread pool doing its job,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and one careless run can spend a month's allowance in under a minute with no way to buy it back. Care is exactly what fails at two in the morning, so the constraint had to become a property of the code.</w:t>
      </w:r>
    </w:p>
    <w:p>
      <w:pPr>
        <w:spacing w:line="360" w:lineRule="auto"/>
        <w:jc w:val="both"/>
      </w:pPr>
      <w:r>
        <w:t>Three mechanisms were built. Every outbound request passes through one cache with three modes: replay never touches the network, record calls live only on a miss, live refreshes deliberately. A ceiling on live calls raises rather than proceeding, and the runner checkpoints after every run. The cache holds 30 responses, and the published comparison replays from them with no credentials.</w:t>
      </w:r>
    </w:p>
    <w:p>
      <w:pPr>
        <w:spacing w:line="360" w:lineRule="auto"/>
        <w:jc w:val="both"/>
      </w:pPr>
      <w:r>
        <w:t>One retrieval decision came directly from quota arithmetic. Hotel search originally enriched each result with a review breakdown and a nearby-venues lookup, at two extra requests per hotel — twenty for a ten-hotel result against a fifty-request allowance — and none of it reached the itinerary, because the assembly step never read those fields. Enrichment is now off by default behind an environment variable: the clearest case here of a feature whose cost was invisible until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fixes it without altering the project's own logging.</w:t>
      </w:r>
    </w:p>
    <w:p>
      <w:pPr>
        <w:pStyle w:val="Heading2"/>
      </w:pPr>
      <w:r>
        <w:t>5.6  Two smaller defects that changed how things are checked</w:t>
      </w:r>
    </w:p>
    <w:p>
      <w:pPr>
        <w:spacing w:line="360" w:lineRule="auto"/>
        <w:jc w:val="both"/>
      </w:pPr>
      <w:r>
        <w:t>Two defects neither the suite nor a reader would have caught, set out in full in Appendix O. A sign error wrote a negative duration into the results file, and nothing objected to a value that cannot occur. A closure in the figure generator captured a loop variable rather than its value, so a chart labelled a request count in dollars: nothing failed, the chart was simply false.</w:t>
      </w:r>
    </w:p>
    <w:p>
      <w:pPr>
        <w:spacing w:line="360" w:lineRule="auto"/>
        <w:jc w:val="both"/>
      </w:pPr>
      <w:r>
        <w:t>Both lessons were acted on together, and both are about checking rather than coding. Values that cannot occur are now asserted rather than trusted. Figure layout is measured rather than estimated — text sized by the renderer itself, boxes grown to fit it, and a validation pass that raises on any overlap or oversized text. That validator caught a box outside the canvas on its first run, which the previous character-count estimate would have exported without complaint. Figures are code, and code that produces a document can be wrong like any other.</w:t>
      </w:r>
    </w:p>
    <w:p>
      <w:pPr>
        <w:pStyle w:val="Heading2"/>
      </w:pPr>
      <w:r>
        <w:t>5.7  Testing, and an honest account of what it covers</w:t>
      </w:r>
    </w:p>
    <w:p>
      <w:pPr>
        <w:spacing w:line="360" w:lineRule="auto"/>
        <w:jc w:val="both"/>
      </w:pPr>
      <w:r>
        <w:t>The suite contains 403 passing tests. What they cover is narrower than that number suggests, which bears on the weight it can carry as evidence.</w:t>
      </w:r>
    </w:p>
    <w:p>
      <w:pPr>
        <w:spacing w:line="360" w:lineRule="auto"/>
        <w:jc w:val="both"/>
      </w:pPr>
      <w:r>
        <w:t>Appendix H tabulates coverage by area. The budget allocation, cost estimation and validation modules are tested thoroughly, because they are pure functions needing no network and no model. The message layer, the tool server, the record-and-replay cache and the metric collector have no unit tests at all, and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shows how a passing suite can conceal the very defect it appears to cover. The calculator tool is the only place here where text produced by a model is evaluated as code. A block of tests verified that a syntax-tree evaluator rejects malicious input — and that evaluator was defined inside the test file, not in the tool the agents could call. Appendix O sets out what was reachable, and the fix. It was fixed rather than recorded, because the remedy is confined and verifiable, and the measurements in Chapter 6 predate it and are unaffected.</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K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[35.4, 57.8]%. They overlap substantially, and although the tuned arm's mean is higher — 56.3% against 46.6% — five observations apiece cannot distinguish that from noise. The honest reading is not that the two are equal but that this evidence cannot separate them, and the direction of the means is worth recording in case more data resolves it.</w:t>
      </w:r>
    </w:p>
    <w:p>
      <w:pPr>
        <w:spacing w:line="360" w:lineRule="auto"/>
        <w:jc w:val="both"/>
      </w:pPr>
      <w:r>
        <w:t>The supported claim is therefore narrow: removing the model from deterministic retrieval buys a decisive saving in cost, latency and request count, makes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slow for the same reason.</w:t>
      </w:r>
    </w:p>
    <w:p>
      <w:pPr>
        <w:spacing w:line="360" w:lineRule="auto"/>
        <w:jc w:val="both"/>
      </w:pPr>
      <w:r>
        <w:t>The naive six-agent arm has the opposite profile: 89,100 prompt tokens against 31,603 completion, so 74% of its spend is re-sent context. Raw tool output is a small fraction of that, so the payload is not the problem — re-sending the transcript plus every bound tool's schema on each reasoning iteration is. This is the context-bloat mechanism of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The six-agent arm was tuned in five ways: one narrow tool per specialist instead of up to eight, an iteration ceiling of three instead of fifteen, distilled tool results, shorter role descriptions, and the three specialists run concurrently. With the same architecture and the same retrieved data, that reduced its tokens by 88.8%, its cost by 83.2% and its request count by 53.4%.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100% schema pass rate and an inter-agent error rate below 1%; the second is met on the shipped path and the first not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edges asymmetric. And a message polled by the wrong recipient is destroyed, because the receive path dequeues before checking the address.</w:t>
      </w:r>
    </w:p>
    <w:p>
      <w:pPr>
        <w:spacing w:line="360" w:lineRule="auto"/>
        <w:jc w:val="both"/>
      </w:pPr>
      <w:r>
        <w:t>Three are in the tool layer, and Appendix B gives every check with its observation. 3 of 12 tools accept parameters their schema omits — 6 in total — so an agent cannot set them and they silently take defaults, precisely the mismatch the schema layer was adopted to prevent. One treats a parameter as mandatory that its schema does not list as required. One advertises the flight scraper while its dispatcher calls the hotel provider's flight endpoint, so an agent choosing it on that description gets a different backend.</w:t>
      </w:r>
    </w:p>
    <w:p>
      <w:pPr>
        <w:spacing w:line="360" w:lineRule="auto"/>
        <w:jc w:val="both"/>
      </w:pPr>
      <w:r>
        <w:t>Two readings follow. Adopting a protocol is not conforming to it: the specification governs how a schema is declared and transported, leaving its correspondence with the code to the implementer (Anthropic, 2024; Hou et al., 2025). And the message-layer defects sit in code the shipped path never executes, which is how they survived a passing suite. All six were found in an afternoon by an experiment needing no network, model or credentials.</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misleads, because with eighteen of twenty affordable a gate refusing nothing would score 86%. Cohen's kappa corrects for chance (Cohen, 1960) and gives 0.643 — substantial rather than good on the conventional interpretation (Landis and Koch, 1977).</w:t>
      </w:r>
    </w:p>
    <w:p>
      <w:pPr>
        <w:spacing w:line="360" w:lineRule="auto"/>
        <w:jc w:val="both"/>
      </w:pPr>
      <w:r>
        <w:t>The missed case is SC-19: $500 for 5 nights in Istanbul, one traveller. The gate estimated a minimum of $476, judged the budget 1.05 times that floor, returned "very tight" and proceeded.</w:t>
      </w:r>
    </w:p>
    <w:p>
      <w:pPr>
        <w:spacing w:line="360" w:lineRule="auto"/>
        <w:jc w:val="both"/>
      </w:pPr>
      <w:r>
        <w:t>The cause is measurable, and it is the most useful result in this chapter. The gate's cost model rests on anchor values for the cheapest realistically bookable fare in each distance band. For the one route with recorded fares — Lahore to Istanbul, 129 of them in the response cache — the anchor is $350 while the cheapest fare the API returned was $734 and the median $1,435: 52% below the cheapest real fare.</w:t>
      </w:r>
    </w:p>
    <w:p>
      <w:pPr>
        <w:spacing w:line="360" w:lineRule="auto"/>
        <w:jc w:val="both"/>
      </w:pPr>
      <w:r>
        <w:t>That accounts for the missed decision arithmetically: with the flight floor at less than half the real airfare, the estimated minimum comes out at $476 when the airfare alone would consume the entire $500. The gate reasons correctly from a wrong number, and is internally consistent — a monotonicity check over 198 cases found 0 violations. The structure is right and the constants are wrong, which is far more tractable than the reverse.</w:t>
      </w:r>
    </w:p>
    <w:p>
      <w:pPr>
        <w:spacing w:line="360" w:lineRule="auto"/>
        <w:jc w:val="both"/>
      </w:pPr>
      <w:r>
        <w:t>The obvious response is to raise the anchor, and it deliberately has not been done: one route cannot calibrate three distance bands. Correcting the medium-haul constant against the only route with recorded fares would tune a model on its single validation point, leaving the other two constants as unvalidated as before while the whole model appeared checked.</w:t>
      </w:r>
    </w:p>
    <w:p>
      <w:pPr>
        <w:pStyle w:val="Heading2"/>
      </w:pPr>
      <w:r>
        <w:t>6.6  A worked example</w:t>
      </w:r>
    </w:p>
    <w:p>
      <w:pPr>
        <w:spacing w:line="360" w:lineRule="auto"/>
        <w:jc w:val="both"/>
      </w:pPr>
      <w:r>
        <w:t>Following one scenario through shows how the measures interact: a four-night trip from Lahore to Istanbul for one traveller on eight hundred dollars, interested in history, food and shopping. The gate estimates a minimum of $453 and a comfortable figure of $1,145, returns workable, warns and proceeds. Retrieval returns 10 hotels, 2 airlines and 13 distinct prices, which become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project's clearest result and its least surprising: the cheapest way to produce an itinerary is to invent one, and the tool layer is the difference between a plausible plan and a usable one.</w:t>
      </w:r>
    </w:p>
    <w:p>
      <w:pPr>
        <w:pStyle w:val="Heading2"/>
      </w:pPr>
      <w:r>
        <w:t>6.7  Threats to validity</w:t>
      </w:r>
    </w:p>
    <w:p>
      <w:pPr>
        <w:spacing w:line="360" w:lineRule="auto"/>
        <w:jc w:val="both"/>
      </w:pPr>
      <w:r>
        <w:t>One threat stopped being hypothetical, and handling it produced the repeats this chapter relies on. The model the first round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and counts what it changed. These figures are therefore not comparable with the earlier round, and an architecture evaluated against someone else's hosted model inherits that model's lifetime — a stronger argument for the recorded response cache than the one originally made.</w:t>
      </w:r>
    </w:p>
    <w:p>
      <w:pPr>
        <w:spacing w:line="360" w:lineRule="auto"/>
        <w:jc w:val="both"/>
      </w:pPr>
      <w:r>
        <w:t>Appendix L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30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The two protocols this project is named for are less load-bearing in the shipped configuration than the proposal implied. The message layer records the exchange and never dispatches it: the orchestrator sends messages and reads the history but never dequeues, so the delivery machinery, the executor class and the processing loop are unreachable in production. The tool server is driven over JSON-RPC only by the naive six-agent arm; the shipped path imports the same functions and calls them in process.</w:t>
      </w:r>
    </w:p>
    <w:p>
      <w:pPr>
        <w:spacing w:line="360" w:lineRule="auto"/>
        <w:jc w:val="both"/>
      </w:pPr>
      <w:r>
        <w:t>This follows from the pivot rather than from carelessness. Once agents stopped performing retrieval there was nothing left for them to send each other about it, so the message layer's role narrowed to an audit trail. That is genuinely useful, since it is what makes the exchange inspectable, but it is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each tabulated with its reason and evidence in Appendix I. Three were forced from outside: the flight provider withdrew free access mid-project, collapsing two planned tools into one, and the model changed to a free tier, which made repeated evaluation affordable and removed model choice as a confound. Two followed from measurement: six agents became three because instrumentation showed most requests went on deterministic retrieval, and coverage fell to 1 scenario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Priority queuing was promised and not built. The proposal's bookability target — re-query success — became groundedness, a weaker measure, because the stronger one needed quota the project did not have. Presenting either as a considered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adequate, breadth is not. Differences on this trip are supported by intervals, and nothing establishes they hold for a longer stay, a cheaper destination or a larger party. Latency excludes network time because retrieval is replayed. All results are specific to one model whose input and output prices differ by a large factor, which is what makes the tool-less arm expensive.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The same audit found one further defect, a test block exercising a copy of the calculator rather than the shipped one, and that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they are bookable, and Section 6.6 shows how badly that can fail — an arm with no tool access produced 29 confident prices, none corresponding to anything. The design response is to measure groundedness rather than assume it. The delivery gap is that the repository documentation states the system is a planning aid but the web interface carries no such notice, which the proposal committed to. That unmet commitment is listed in Section 8.3.</w:t>
      </w:r>
    </w:p>
    <w:p>
      <w:pPr>
        <w:spacing w:line="360" w:lineRule="auto"/>
        <w:jc w:val="both"/>
      </w:pPr>
      <w:r>
        <w:t>A deployed version would sit in a materially different legal position. Giving consumers travel information through automated processing falls within the AI Act's transparency expectations, which require that users know they are dealing with an AI system and that its limitations are disclosed (European Union, 2024). Data protection guidance applies the moment real requests are stored, because an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but not as the basis of a service: a cached fare presented as current is a misrepresentation however it was obtained.</w:t>
      </w:r>
    </w:p>
    <w:p>
      <w:pPr>
        <w:pStyle w:val="Heading2"/>
      </w:pPr>
      <w:r>
        <w:t>7.6  Personal reflection</w:t>
      </w:r>
    </w:p>
    <w:p>
      <w:pPr>
        <w:spacing w:line="360" w:lineRule="auto"/>
        <w:jc w:val="both"/>
      </w:pPr>
      <w:r>
        <w:t>The clearest mistake was ordering. Measurement came in the second cycle, after the system worked, and until then every cost claim was a guess — one of which reached the project's own documentation. Had the request counter existed on day one, the pivot this dissertation rests on would have been visible in week two rather than week six, and quota would have been left for the coverage the evaluation now lacks. Instrumentation is not a reporting concern to add when writing up; it is what tells you what to build next.</w:t>
      </w:r>
    </w:p>
    <w:p>
      <w:pPr>
        <w:spacing w:line="360" w:lineRule="auto"/>
        <w:jc w:val="both"/>
      </w:pPr>
      <w:r>
        <w:t>The second mistake was treating a passing suite as evidence about the system. 403 tests pass, on the parts that were easy to test: pure functions with no network and no model. The parts carrying the research claim had none, and the defects were exactly where the tests were not.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first cost several days and substantially weakened the result: the honest claim shrank from a large advantage over multi-agent retrieval to a decisive one in requests and latency with a modest one in cost. The temptation to compare against the naive arm and report the larger number was real. The narrower claim survives the first question a viva would ask, and a result that cannot survive it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retrieval to a language model in a system that already has a schema-validated tool layer and a typed inter-agent protocol. On the one scenario recorded for all four architectures, removing the model from retrieval cut requests by 79.2% and wall-clock time by 37.1% against a tuned six-agent baseline, while cost fell only 42.7% and groundedness held. The answer is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 comparison that does not tune its baseline first measures implementation quality and calls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the retrieval layer; what is negotiable is whether a model should operate it.</w:t>
      </w:r>
    </w:p>
    <w:p>
      <w:pPr>
        <w:spacing w:line="360" w:lineRule="auto"/>
        <w:jc w:val="both"/>
      </w:pPr>
      <w:r>
        <w:t>Measuring the artefact against its own design found 6 defects: declared message priorities never honoured, inbound permissions never enforced, a receive path that destroys misaddressed messages, 3 tool schemas that disagree with their implementations, and a cost model whose flight anchor sits 52% below the cheapest fare its own API returned,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results can be checked rather than believed. Second, a comparison that includes its own fair baseline and reports the weaker conclusion that followed. Third, a demonstration that protocol conformance must be tested rather than assumed from adoption,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403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Figures</w:t>
      </w:r>
    </w:p>
    <w:p>
      <w:pPr>
        <w:spacing w:line="276" w:lineRule="auto" w:after="60"/>
      </w:pPr>
      <w:r>
        <w:t>Figure 2.1   The conceptual framework</w:t>
      </w:r>
    </w:p>
    <w:p>
      <w:pPr>
        <w:spacing w:line="276" w:lineRule="auto" w:after="60"/>
      </w:pPr>
      <w:r>
        <w:t>Figure 3.1   The three design-science cycles as they actually ran</w:t>
      </w:r>
    </w:p>
    <w:p>
      <w:pPr>
        <w:spacing w:line="276" w:lineRule="auto" w:after="60"/>
      </w:pPr>
      <w:r>
        <w:t>Figure 4.1   System architecture</w:t>
      </w:r>
    </w:p>
    <w:p>
      <w:pPr>
        <w:spacing w:line="276" w:lineRule="auto" w:after="60"/>
      </w:pPr>
      <w:r>
        <w:t>Figure 4.2   End-to-end sequence for one request in the shipped configuration</w:t>
      </w:r>
    </w:p>
    <w:p>
      <w:pPr>
        <w:spacing w:line="276" w:lineRule="auto" w:after="60"/>
      </w:pPr>
      <w:r>
        <w:t>Figure 4.3   Level-1 data flow</w:t>
      </w:r>
    </w:p>
    <w:p>
      <w:pPr>
        <w:spacing w:line="276" w:lineRule="auto" w:after="60"/>
      </w:pPr>
      <w:r>
        <w:t>Figure 4.4   The six-stage tool call lifecycle</w:t>
      </w:r>
    </w:p>
    <w:p>
      <w:pPr>
        <w:spacing w:line="276" w:lineRule="auto" w:after="60"/>
      </w:pPr>
      <w:r>
        <w:t>Figure 4.5   The six messages exchanged for one trip</w:t>
      </w:r>
    </w:p>
    <w:p>
      <w:pPr>
        <w:spacing w:line="276" w:lineRule="auto" w:after="60"/>
      </w:pPr>
      <w:r>
        <w:t>Figure 4.6   The four evaluated configurations</w:t>
      </w:r>
    </w:p>
    <w:p>
      <w:pPr>
        <w:spacing w:line="276" w:lineRule="auto" w:after="60"/>
      </w:pPr>
      <w:r>
        <w:t>Figure 6.1   Model requests, tokens, cost and wall-clock time per trip for all</w:t>
      </w:r>
    </w:p>
    <w:p>
      <w:pPr>
        <w:spacing w:line="276" w:lineRule="auto" w:after="60"/>
      </w:pPr>
      <w:r>
        <w:t>Figure 6.2   Prompt and completion tokens per architecture</w:t>
      </w:r>
    </w:p>
    <w:p>
      <w:pPr>
        <w:spacing w:line="276" w:lineRule="auto" w:after="60"/>
      </w:pPr>
      <w:r>
        <w:t>Figure 6.3   The tuning ablation</w:t>
      </w:r>
    </w:p>
    <w:p>
      <w:pPr>
        <w:spacing w:line="276" w:lineRule="auto" w:after="60"/>
      </w:pPr>
      <w:r>
        <w:t>Figure 6.4   Nine conformance checks over the message layer and the tool schemas</w:t>
      </w:r>
    </w:p>
    <w:p>
      <w:pPr>
        <w:spacing w:line="276" w:lineRule="auto" w:after="60"/>
      </w:pPr>
      <w:r>
        <w:t>Figure 6.5   The gate's decision on all twenty scenarios</w:t>
      </w:r>
    </w:p>
    <w:p>
      <w:pPr>
        <w:spacing w:line="276" w:lineRule="auto" w:after="60"/>
      </w:pPr>
      <w:r>
        <w:t>Figure 6.6   Groundedness by architecture</w:t>
      </w:r>
    </w:p>
    <w:p>
      <w:pPr>
        <w:pStyle w:val="Heading1"/>
      </w:pPr>
      <w:r>
        <w:t>Tables</w:t>
      </w:r>
    </w:p>
    <w:p>
      <w:pPr>
        <w:spacing w:line="276" w:lineRule="auto" w:after="60"/>
      </w:pPr>
      <w:r>
        <w:t>Table 1.1   Project scope, and the reason for each exclusion</w:t>
      </w:r>
    </w:p>
    <w:p>
      <w:pPr>
        <w:spacing w:line="276" w:lineRule="auto" w:after="60"/>
      </w:pPr>
      <w:r>
        <w:t>Table 4.1   Technology decisions</w:t>
      </w:r>
    </w:p>
    <w:p>
      <w:pPr>
        <w:spacing w:line="276" w:lineRule="auto" w:after="60"/>
      </w:pPr>
      <w:r>
        <w:t>Table 6.1   E1 results on SC-01</w:t>
      </w:r>
    </w:p>
    <w:p>
      <w:pPr>
        <w:spacing w:line="276" w:lineRule="auto" w:after="60"/>
      </w:pPr>
      <w:r>
        <w:t>Table 7.1   Objectives against evidence</w:t>
      </w:r>
    </w:p>
    <w:p>
      <w:pPr>
        <w:spacing w:line="276" w:lineRule="auto" w:after="60"/>
      </w:pPr>
      <w:r>
        <w:t>Table B.1   Every conformance check</w:t>
      </w:r>
    </w:p>
    <w:p>
      <w:pPr>
        <w:spacing w:line="276" w:lineRule="auto" w:after="60"/>
      </w:pPr>
      <w:r>
        <w:t>Table B.2   Per-tool schema audit</w:t>
      </w:r>
    </w:p>
    <w:p>
      <w:pPr>
        <w:spacing w:line="276" w:lineRule="auto" w:after="60"/>
      </w:pPr>
      <w:r>
        <w:t>Table C.1   The feasibility gate's decision on all twenty designed scenarios</w:t>
      </w:r>
    </w:p>
    <w:p>
      <w:pPr>
        <w:spacing w:line="276" w:lineRule="auto" w:after="60"/>
      </w:pPr>
      <w:r>
        <w:t>Table C.2   Agreement statistics for the feasibility gate</w:t>
      </w:r>
    </w:p>
    <w:p>
      <w:pPr>
        <w:spacing w:line="276" w:lineRule="auto" w:after="60"/>
      </w:pPr>
      <w:r>
        <w:t>Table D.1   Full measured detail per arm</w:t>
      </w:r>
    </w:p>
    <w:p>
      <w:pPr>
        <w:spacing w:line="276" w:lineRule="auto" w:after="60"/>
      </w:pPr>
      <w:r>
        <w:t>Table E.1   Code map by area</w:t>
      </w:r>
    </w:p>
    <w:p>
      <w:pPr>
        <w:spacing w:line="276" w:lineRule="auto" w:after="60"/>
      </w:pPr>
      <w:r>
        <w:t>Table E.2   Module decomposition and the reason for each boundary</w:t>
      </w:r>
    </w:p>
    <w:p>
      <w:pPr>
        <w:spacing w:line="276" w:lineRule="auto" w:after="60"/>
      </w:pPr>
      <w:r>
        <w:t>Table E.3   Recorded API responses by host, 2,870 kB committed in total</w:t>
      </w:r>
    </w:p>
    <w:p>
      <w:pPr>
        <w:spacing w:line="276" w:lineRule="auto" w:after="60"/>
      </w:pPr>
      <w:r>
        <w:t>Table F.1   Recorded evidence for the two silent flight-search defects</w:t>
      </w:r>
    </w:p>
    <w:p>
      <w:pPr>
        <w:spacing w:line="276" w:lineRule="auto" w:after="60"/>
      </w:pPr>
      <w:r>
        <w:t>Table G.1   The seven metrics, their provenance, and the limit of each</w:t>
      </w:r>
    </w:p>
    <w:p>
      <w:pPr>
        <w:spacing w:line="276" w:lineRule="auto" w:after="60"/>
      </w:pPr>
      <w:r>
        <w:t>Table H.1   Test coverage by area</w:t>
      </w:r>
    </w:p>
    <w:p>
      <w:pPr>
        <w:spacing w:line="276" w:lineRule="auto" w:after="60"/>
      </w:pPr>
      <w:r>
        <w:t>Table I.1   Every deviation from the proposal, with its reason and its evidence</w:t>
      </w:r>
    </w:p>
    <w:p>
      <w:pPr>
        <w:spacing w:line="276" w:lineRule="auto" w:after="60"/>
      </w:pPr>
      <w:r>
        <w:t>Table J.1   The four arms and the role each plays in the argument</w:t>
      </w:r>
    </w:p>
    <w:p>
      <w:pPr>
        <w:spacing w:line="276" w:lineRule="auto" w:after="60"/>
      </w:pPr>
      <w:r>
        <w:t>Table K.1   Experimental design</w:t>
      </w:r>
    </w:p>
    <w:p>
      <w:pPr>
        <w:spacing w:line="276" w:lineRule="auto" w:after="60"/>
      </w:pPr>
      <w:r>
        <w:t>Table L.1   Threats to validity, their effect and their remedies</w:t>
      </w:r>
    </w:p>
    <w:p>
      <w:pPr>
        <w:spacing w:line="276" w:lineRule="auto" w:after="60"/>
      </w:pPr>
      <w:r>
        <w:t>Table M.1   Risk register: the assessment made at the start</w:t>
      </w:r>
    </w:p>
    <w:p>
      <w:pPr>
        <w:spacing w:line="276" w:lineRule="auto" w:after="60"/>
      </w:pPr>
      <w:r>
        <w:t>Table N.1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