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stated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 is asymmetric, and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 Quota was also this project's largest risk: Appendix N holds the register, the controls built before the arms were, and which risks occurred regardless.</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15,928 lines of Python across 63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15,928 lines of Python across 63 files, developed over 125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30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393 tests and they pass. What they cover is narrower than that number suggests, which bears on how much weight it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M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 but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405524"/>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405524"/>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917443"/>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917443"/>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66141"/>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66141"/>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88.8%, its cost by 83.2% and its request count by 53.4%, with the same architecture and the same retrieved data.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29518"/>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29518"/>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129 fares in the response cache — the model's anchor is $350 while the cheapest fare the API actually returned was $734 and the median was $1,435.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65695"/>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65695"/>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Two consequences: these figures are not comparable with the earlier round because the model differs, and an architecture evaluated against someone else's hosted model inherits that model's lifetime — a stronger argument for the recorded response cache than the one originally made for it.</w:t>
      </w:r>
    </w:p>
    <w:p>
      <w:pPr>
        <w:spacing w:line="360" w:lineRule="auto"/>
        <w:jc w:val="both"/>
      </w:pPr>
      <w:r>
        <w:t>Appendix J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30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393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393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trip_planner.evaluation.exp_protocol       # protocol conformance      (free)</w:t>
        <w:br/>
        <w:t>python -m trip_planner.evaluation.exp_budget_gate    # budget gate, 20 scenarios (free)</w:t>
        <w:br/>
        <w:br/>
        <w:t>python trip_planner/demos/compare_all_approaches.py  # all four, from the recordings</w:t>
        <w:br/>
        <w:br/>
        <w:t>python submission/build/make_diagrams.py    # 8 diagrams, 300 dpi, validated</w:t>
        <w:br/>
        <w:t>python submission/build/make_charts.py      # 6 charts from measured data</w:t>
        <w:br/>
        <w:t>python -m submission.build.build_dissertation     # this document</w:t>
        <w:br/>
        <w:t>python -m submission.build.verify_no_hardcoded_numbers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trip_planner.evaluation.run_comparison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63</w:t>
            </w:r>
          </w:p>
        </w:tc>
        <w:tc>
          <w:tcPr>
            <w:tcW w:type="dxa" w:w="1152"/>
          </w:tcPr>
          <w:p>
            <w:pPr>
              <w:spacing w:line="240" w:lineRule="auto"/>
            </w:pPr>
            <w:r/>
            <w:r>
              <w:rPr>
                <w:sz w:val="19"/>
              </w:rPr>
              <w:t>15,928</w:t>
            </w:r>
          </w:p>
        </w:tc>
        <w:tc>
          <w:tcPr>
            <w:tcW w:type="dxa" w:w="4896"/>
          </w:tcPr>
          <w:p>
            <w:pPr>
              <w:spacing w:line="240" w:lineRule="auto"/>
            </w:pPr>
            <w:r/>
            <w:r>
              <w:rPr>
                <w:sz w:val="19"/>
              </w:rPr>
              <w:t>the application itself</w:t>
            </w:r>
          </w:p>
        </w:tc>
      </w:tr>
      <w:tr>
        <w:tc>
          <w:tcPr>
            <w:tcW w:type="dxa" w:w="1872"/>
          </w:tcPr>
          <w:p>
            <w:pPr>
              <w:spacing w:line="240" w:lineRule="auto"/>
            </w:pPr>
            <w:r/>
            <w:r>
              <w:rPr>
                <w:sz w:val="19"/>
              </w:rPr>
              <w:t>Total</w:t>
            </w:r>
          </w:p>
        </w:tc>
        <w:tc>
          <w:tcPr>
            <w:tcW w:type="dxa" w:w="1008"/>
          </w:tcPr>
          <w:p>
            <w:pPr>
              <w:spacing w:line="240" w:lineRule="auto"/>
            </w:pPr>
            <w:r/>
            <w:r>
              <w:rPr>
                <w:sz w:val="19"/>
              </w:rPr>
              <w:t>63</w:t>
            </w:r>
          </w:p>
        </w:tc>
        <w:tc>
          <w:tcPr>
            <w:tcW w:type="dxa" w:w="1152"/>
          </w:tcPr>
          <w:p>
            <w:pPr>
              <w:spacing w:line="240" w:lineRule="auto"/>
            </w:pPr>
            <w:r/>
            <w:r>
              <w:rPr>
                <w:sz w:val="19"/>
              </w:rPr>
              <w:t>15,928</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trip_planner/evaluation/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submission/build/make_*.py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submission/build/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393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2,870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16</w:t>
            </w:r>
          </w:p>
        </w:tc>
      </w:tr>
      <w:tr>
        <w:tc>
          <w:tcPr>
            <w:tcW w:type="dxa" w:w="3744"/>
          </w:tcPr>
          <w:p>
            <w:pPr>
              <w:spacing w:line="240" w:lineRule="auto"/>
            </w:pPr>
            <w:r/>
            <w:r>
              <w:rPr>
                <w:sz w:val="19"/>
              </w:rPr>
              <w:t>fly-scraper.p.rapidapi.com</w:t>
            </w:r>
          </w:p>
        </w:tc>
        <w:tc>
          <w:tcPr>
            <w:tcW w:type="dxa" w:w="2016"/>
          </w:tcPr>
          <w:p>
            <w:pPr>
              <w:spacing w:line="240" w:lineRule="auto"/>
            </w:pPr>
            <w:r/>
            <w:r>
              <w:rPr>
                <w:sz w:val="19"/>
              </w:rPr>
              <w:t>8</w:t>
            </w:r>
          </w:p>
        </w:tc>
      </w:tr>
      <w:tr>
        <w:tc>
          <w:tcPr>
            <w:tcW w:type="dxa" w:w="3744"/>
          </w:tcPr>
          <w:p>
            <w:pPr>
              <w:spacing w:line="240" w:lineRule="auto"/>
            </w:pPr>
            <w:r/>
            <w:r>
              <w:rPr>
                <w:sz w:val="19"/>
              </w:rPr>
              <w:t>google.serper.dev</w:t>
            </w:r>
          </w:p>
        </w:tc>
        <w:tc>
          <w:tcPr>
            <w:tcW w:type="dxa" w:w="2016"/>
          </w:tcPr>
          <w:p>
            <w:pPr>
              <w:spacing w:line="240" w:lineRule="auto"/>
            </w:pPr>
            <w:r/>
            <w:r>
              <w:rPr>
                <w:sz w:val="19"/>
              </w:rPr>
              <w:t>6</w:t>
            </w:r>
          </w:p>
        </w:tc>
      </w:tr>
      <w:tr>
        <w:tc>
          <w:tcPr>
            <w:tcW w:type="dxa" w:w="3744"/>
          </w:tcPr>
          <w:p>
            <w:pPr>
              <w:spacing w:line="240" w:lineRule="auto"/>
            </w:pPr>
            <w:r/>
            <w:r>
              <w:rPr>
                <w:sz w:val="19"/>
              </w:rPr>
              <w:t>Total</w:t>
            </w:r>
          </w:p>
        </w:tc>
        <w:tc>
          <w:tcPr>
            <w:tcW w:type="dxa" w:w="2016"/>
          </w:tcPr>
          <w:p>
            <w:pPr>
              <w:spacing w:line="240" w:lineRule="auto"/>
            </w:pPr>
            <w:r/>
            <w:r>
              <w:rPr>
                <w:sz w:val="19"/>
              </w:rPr>
              <w:t>30</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Search agents call the APIs via the MCP server</w:t>
            </w:r>
          </w:p>
        </w:tc>
        <w:tc>
          <w:tcPr>
            <w:tcW w:type="dxa" w:w="1944"/>
          </w:tcPr>
          <w:p>
            <w:pPr>
              <w:spacing w:line="240" w:lineRule="auto"/>
            </w:pPr>
            <w:r/>
            <w:r>
              <w:rPr>
                <w:sz w:val="17"/>
              </w:rPr>
              <w:t>Only the naive six-agent arm does; the shipped path calls the same functions in process</w:t>
            </w:r>
          </w:p>
        </w:tc>
        <w:tc>
          <w:tcPr>
            <w:tcW w:type="dxa" w:w="5040"/>
          </w:tcPr>
          <w:p>
            <w:pPr>
              <w:spacing w:line="240" w:lineRule="auto"/>
            </w:pPr>
            <w:r/>
            <w:r>
              <w:rPr>
                <w:sz w:val="17"/>
              </w:rPr>
              <w:t>The proposal's Figure 1 put the MCP server on the retrieval path of three parallel search agents. Removing retrieval from the agents left no agent to route through it, so the shipped path imports the server's tool functions instead. The JSON-RPC transport is still exercised by the naive arm and by the conformance audit, which tests all twelve declared schemas against their implementations (Sections 4.2, 7.2)</w:t>
            </w:r>
          </w:p>
        </w:tc>
      </w:tr>
      <w:tr>
        <w:tc>
          <w:tcPr>
            <w:tcW w:type="dxa" w:w="1944"/>
          </w:tcPr>
          <w:p>
            <w:pPr>
              <w:spacing w:line="240" w:lineRule="auto"/>
            </w:pPr>
            <w:r/>
            <w:r>
              <w:rPr>
                <w:sz w:val="17"/>
              </w:rPr>
              <w:t>Three search agents running in parallel</w:t>
            </w:r>
          </w:p>
        </w:tc>
        <w:tc>
          <w:tcPr>
            <w:tcW w:type="dxa" w:w="1944"/>
          </w:tcPr>
          <w:p>
            <w:pPr>
              <w:spacing w:line="240" w:lineRule="auto"/>
            </w:pPr>
            <w:r/>
            <w:r>
              <w:rPr>
                <w:sz w:val="17"/>
              </w:rPr>
              <w:t>Parallel in the tuned arm; sequential in the naive arm; absent from the shipped path</w:t>
            </w:r>
          </w:p>
        </w:tc>
        <w:tc>
          <w:tcPr>
            <w:tcW w:type="dxa" w:w="5040"/>
          </w:tcPr>
          <w:p>
            <w:pPr>
              <w:spacing w:line="240" w:lineRule="auto"/>
            </w:pPr>
            <w:r/>
            <w:r>
              <w:rPr>
                <w:sz w:val="17"/>
              </w:rPr>
              <w:t>Concurrency was one of the three proposal commitments missing from the naive implementation, which is why that arm was tuned before being used as a baseline rather than compared against as first built (Section 6.3)</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M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N — Risk analysis and the risk register</w:t>
      </w:r>
    </w:p>
    <w:p>
      <w:pPr>
        <w:spacing w:line="360" w:lineRule="auto"/>
        <w:jc w:val="both"/>
      </w:pPr>
      <w:r>
        <w:t>Signposted from Section 3.6. Risks are recorded here with what was done about them and what then happened, because a register listing only intentions is untestable. Likelihood and impact are the values assigned at the start of the project; the final column is the outcome, and three of these risks occurred.</w:t>
      </w:r>
    </w:p>
    <w:p>
      <w:pPr>
        <w:spacing w:line="360" w:lineRule="auto"/>
        <w:jc w:val="both"/>
      </w:pPr>
      <w:r>
        <w:t>The binding risk was never technical difficulty. It was the monthly request allowance on the travel APIs: 30 flight searches and 50 hotel searches, on free tiers that cannot be topped up and reset only at the end of a billing cycle. One flight search costs two requests, because the provider's endpoint is asynchronous and has to be polled for the fares. A single evaluated scenario therefore consumes about 6 requests through the shipped arm, and far more through the agent-driven arms, where a reasoning loop decides how many calls to make and made 24 model requests on the run recorded here.</w:t>
      </w:r>
    </w:p>
    <w:p>
      <w:pPr>
        <w:spacing w:line="360" w:lineRule="auto"/>
        <w:jc w:val="both"/>
      </w:pPr>
      <w:r>
        <w:t>The consequence is that quota exhaustion is not a delay but a hard stop of up to a month, arriving without warning in the middle of a measurement. Two controls were built before the arms were: every HTTP call passes through a record-and-replay layer, so a response is bought once and reused for ever, and a hard ceiling on live calls per process fails the run loudly rather than spending an allowance it cannot recover. 30 responses are committed, which is why the whole evaluation replays from disk with no credentials, and why the figures in this dissertation can be reproduced by a marker who has no API keys at all.</w:t>
      </w:r>
    </w:p>
    <w:p>
      <w:pPr>
        <w:spacing w:line="360" w:lineRule="auto"/>
        <w:jc w:val="both"/>
      </w:pPr>
      <w:r>
        <w:t>The controls worked and the risk still bit. At the last reading the flight allowance stood at 13 of 30 and the hotel allowance at 27 of 50, and recording all 20 designed scenarios needs more than one monthly cycle. Coverage of the cost comparison is therefore 1 scenario, stated as such in the abstract, in Section 6.1 and on every chart rather than smoothed over. That is the honest residual: the mitigation protected reproducibility, not breadth, and no amount of caching creates requests that were never made.</w:t>
      </w:r>
    </w:p>
    <w:p>
      <w:pPr>
        <w:spacing w:line="240" w:lineRule="auto"/>
        <w:jc w:val="center"/>
      </w:pPr>
      <w:r>
        <w:rPr>
          <w:i/>
          <w:color w:val="52514E"/>
          <w:sz w:val="19"/>
        </w:rPr>
        <w:t>Table 8.16: Risk register: the assessment made at the start, the control built for it, and the outcome. Three of the eight risks occurred.</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944"/>
          </w:tcPr>
          <w:p>
            <w:pPr>
              <w:spacing w:line="240" w:lineRule="auto"/>
            </w:pPr>
            <w:r/>
            <w:r>
              <w:rPr>
                <w:b/>
                <w:sz w:val="15"/>
              </w:rPr>
              <w:t>Risk</w:t>
            </w:r>
          </w:p>
        </w:tc>
        <w:tc>
          <w:tcPr>
            <w:tcW w:type="dxa" w:w="893"/>
          </w:tcPr>
          <w:p>
            <w:pPr>
              <w:spacing w:line="240" w:lineRule="auto"/>
            </w:pPr>
            <w:r/>
            <w:r>
              <w:rPr>
                <w:b/>
                <w:sz w:val="15"/>
              </w:rPr>
              <w:t>Likelihood</w:t>
            </w:r>
          </w:p>
        </w:tc>
        <w:tc>
          <w:tcPr>
            <w:tcW w:type="dxa" w:w="792"/>
          </w:tcPr>
          <w:p>
            <w:pPr>
              <w:spacing w:line="240" w:lineRule="auto"/>
            </w:pPr>
            <w:r/>
            <w:r>
              <w:rPr>
                <w:b/>
                <w:sz w:val="15"/>
              </w:rPr>
              <w:t>Impact</w:t>
            </w:r>
          </w:p>
        </w:tc>
        <w:tc>
          <w:tcPr>
            <w:tcW w:type="dxa" w:w="2736"/>
          </w:tcPr>
          <w:p>
            <w:pPr>
              <w:spacing w:line="240" w:lineRule="auto"/>
            </w:pPr>
            <w:r/>
            <w:r>
              <w:rPr>
                <w:b/>
                <w:sz w:val="15"/>
              </w:rPr>
              <w:t>Mitigation built</w:t>
            </w:r>
          </w:p>
        </w:tc>
        <w:tc>
          <w:tcPr>
            <w:tcW w:type="dxa" w:w="2736"/>
          </w:tcPr>
          <w:p>
            <w:pPr>
              <w:spacing w:line="240" w:lineRule="auto"/>
            </w:pPr>
            <w:r/>
            <w:r>
              <w:rPr>
                <w:b/>
                <w:sz w:val="15"/>
              </w:rPr>
              <w:t>What actually happened</w:t>
            </w:r>
          </w:p>
        </w:tc>
      </w:tr>
      <w:tr>
        <w:tc>
          <w:tcPr>
            <w:tcW w:type="dxa" w:w="1944"/>
          </w:tcPr>
          <w:p>
            <w:pPr>
              <w:spacing w:line="240" w:lineRule="auto"/>
            </w:pPr>
            <w:r/>
            <w:r>
              <w:rPr>
                <w:sz w:val="15"/>
              </w:rPr>
              <w:t>Travel API monthly allowance exhausted mid-measurement</w:t>
            </w:r>
          </w:p>
        </w:tc>
        <w:tc>
          <w:tcPr>
            <w:tcW w:type="dxa" w:w="893"/>
          </w:tcPr>
          <w:p>
            <w:pPr>
              <w:spacing w:line="240" w:lineRule="auto"/>
            </w:pPr>
            <w:r/>
            <w:r>
              <w:rPr>
                <w:sz w:val="15"/>
              </w:rPr>
              <w:t>High</w:t>
            </w:r>
          </w:p>
        </w:tc>
        <w:tc>
          <w:tcPr>
            <w:tcW w:type="dxa" w:w="792"/>
          </w:tcPr>
          <w:p>
            <w:pPr>
              <w:spacing w:line="240" w:lineRule="auto"/>
            </w:pPr>
            <w:r/>
            <w:r>
              <w:rPr>
                <w:sz w:val="15"/>
              </w:rPr>
              <w:t>High</w:t>
            </w:r>
          </w:p>
        </w:tc>
        <w:tc>
          <w:tcPr>
            <w:tcW w:type="dxa" w:w="2736"/>
          </w:tcPr>
          <w:p>
            <w:pPr>
              <w:spacing w:line="240" w:lineRule="auto"/>
            </w:pPr>
            <w:r/>
            <w:r>
              <w:rPr>
                <w:sz w:val="15"/>
              </w:rPr>
              <w:t>Record-and-replay of every HTTP call; hard per-process ceiling on live calls; quota read from response headers and committed to a file</w:t>
            </w:r>
          </w:p>
        </w:tc>
        <w:tc>
          <w:tcPr>
            <w:tcW w:type="dxa" w:w="2736"/>
          </w:tcPr>
          <w:p>
            <w:pPr>
              <w:spacing w:line="240" w:lineRule="auto"/>
            </w:pPr>
            <w:r/>
            <w:r>
              <w:rPr>
                <w:sz w:val="15"/>
              </w:rPr>
              <w:t>OCCURRED. Both allowances were fully spent during development. The cache (30 responses) kept every result reproducible, but coverage of the cost comparison is 1 of 20 scenarios</w:t>
            </w:r>
          </w:p>
        </w:tc>
      </w:tr>
      <w:tr>
        <w:tc>
          <w:tcPr>
            <w:tcW w:type="dxa" w:w="1944"/>
          </w:tcPr>
          <w:p>
            <w:pPr>
              <w:spacing w:line="240" w:lineRule="auto"/>
            </w:pPr>
            <w:r/>
            <w:r>
              <w:rPr>
                <w:sz w:val="15"/>
              </w:rPr>
              <w:t>A single accidental run drains a month's allowance</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TRIP_PLANNER_MAX_LIVE_CALLS refuses the call rather than spending it; replay is the default mode for every demonstration</w:t>
            </w:r>
          </w:p>
        </w:tc>
        <w:tc>
          <w:tcPr>
            <w:tcW w:type="dxa" w:w="2736"/>
          </w:tcPr>
          <w:p>
            <w:pPr>
              <w:spacing w:line="240" w:lineRule="auto"/>
            </w:pPr>
            <w:r/>
            <w:r>
              <w:rPr>
                <w:sz w:val="15"/>
              </w:rPr>
              <w:t>Prevented, then nearly caused anyway by a free price lookup that resolved a city name through a live endpoint. One hotel request was spent before a test was added to forbid it (Section 5.6)</w:t>
            </w:r>
          </w:p>
        </w:tc>
      </w:tr>
      <w:tr>
        <w:tc>
          <w:tcPr>
            <w:tcW w:type="dxa" w:w="1944"/>
          </w:tcPr>
          <w:p>
            <w:pPr>
              <w:spacing w:line="240" w:lineRule="auto"/>
            </w:pPr>
            <w:r/>
            <w:r>
              <w:rPr>
                <w:sz w:val="15"/>
              </w:rPr>
              <w:t>Model provider withdraws or changes the model mid-project</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One module holds the model string and the request-shape compatibility layer, so a change is edited in a single place</w:t>
            </w:r>
          </w:p>
        </w:tc>
        <w:tc>
          <w:tcPr>
            <w:tcW w:type="dxa" w:w="2736"/>
          </w:tcPr>
          <w:p>
            <w:pPr>
              <w:spacing w:line="240" w:lineRule="auto"/>
            </w:pPr>
            <w:r/>
            <w:r>
              <w:rPr>
                <w:sz w:val="15"/>
              </w:rPr>
              <w:t>OCCURRED. The model named in the proposal was withdrawn. The arms were restored by editing one constant; the affected requests are counted and reported rather than silently repaired</w:t>
            </w:r>
          </w:p>
        </w:tc>
      </w:tr>
      <w:tr>
        <w:tc>
          <w:tcPr>
            <w:tcW w:type="dxa" w:w="1944"/>
          </w:tcPr>
          <w:p>
            <w:pPr>
              <w:spacing w:line="240" w:lineRule="auto"/>
            </w:pPr>
            <w:r/>
            <w:r>
              <w:rPr>
                <w:sz w:val="15"/>
              </w:rPr>
              <w:t>Tool calls fail silently and the model answers from memory</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Groundedness measured as recall of retrieved entities, so a plan built without data scores low even when it reads well</w:t>
            </w:r>
          </w:p>
        </w:tc>
        <w:tc>
          <w:tcPr>
            <w:tcW w:type="dxa" w:w="2736"/>
          </w:tcPr>
          <w:p>
            <w:pPr>
              <w:spacing w:line="240" w:lineRule="auto"/>
            </w:pPr>
            <w:r/>
            <w:r>
              <w:rPr>
                <w:sz w:val="15"/>
              </w:rPr>
              <w:t>OCCURRED on the first end-to-end run: every tool call was failing and the itinerary looked complete. This is why the metric exists (Section 5.2)</w:t>
            </w:r>
          </w:p>
        </w:tc>
      </w:tr>
      <w:tr>
        <w:tc>
          <w:tcPr>
            <w:tcW w:type="dxa" w:w="1944"/>
          </w:tcPr>
          <w:p>
            <w:pPr>
              <w:spacing w:line="240" w:lineRule="auto"/>
            </w:pPr>
            <w:r/>
            <w:r>
              <w:rPr>
                <w:sz w:val="15"/>
              </w:rPr>
              <w:t>Reported numbers drift away from the measured data</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Every figure interpolated from the results files at build time, and a perturbation test that corrupts the data and fails if any printed number does not move</w:t>
            </w:r>
          </w:p>
        </w:tc>
        <w:tc>
          <w:tcPr>
            <w:tcW w:type="dxa" w:w="2736"/>
          </w:tcPr>
          <w:p>
            <w:pPr>
              <w:spacing w:line="240" w:lineRule="auto"/>
            </w:pPr>
            <w:r/>
            <w:r>
              <w:rPr>
                <w:sz w:val="15"/>
              </w:rPr>
              <w:t>Controlled. The proof runs on every build and is reported in Appendix K</w:t>
            </w:r>
          </w:p>
        </w:tc>
      </w:tr>
      <w:tr>
        <w:tc>
          <w:tcPr>
            <w:tcW w:type="dxa" w:w="1944"/>
          </w:tcPr>
          <w:p>
            <w:pPr>
              <w:spacing w:line="240" w:lineRule="auto"/>
            </w:pPr>
            <w:r/>
            <w:r>
              <w:rPr>
                <w:sz w:val="15"/>
              </w:rPr>
              <w:t>Credentials committed to version control or printed in logs</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Keys confined to an ignored .env; request headers excluded from the response cache; third-party loggers raised above INFO because the model key travels in the URL</w:t>
            </w:r>
          </w:p>
        </w:tc>
        <w:tc>
          <w:tcPr>
            <w:tcW w:type="dxa" w:w="2736"/>
          </w:tcPr>
          <w:p>
            <w:pPr>
              <w:spacing w:line="240" w:lineRule="auto"/>
            </w:pPr>
            <w:r/>
            <w:r>
              <w:rPr>
                <w:sz w:val="15"/>
              </w:rPr>
              <w:t>Controlled. No credential appears in any tracked file or committed response</w:t>
            </w:r>
          </w:p>
        </w:tc>
      </w:tr>
      <w:tr>
        <w:tc>
          <w:tcPr>
            <w:tcW w:type="dxa" w:w="1944"/>
          </w:tcPr>
          <w:p>
            <w:pPr>
              <w:spacing w:line="240" w:lineRule="auto"/>
            </w:pPr>
            <w:r/>
            <w:r>
              <w:rPr>
                <w:sz w:val="15"/>
              </w:rPr>
              <w:t>Scope too large for one part-time project</w:t>
            </w:r>
          </w:p>
        </w:tc>
        <w:tc>
          <w:tcPr>
            <w:tcW w:type="dxa" w:w="893"/>
          </w:tcPr>
          <w:p>
            <w:pPr>
              <w:spacing w:line="240" w:lineRule="auto"/>
            </w:pPr>
            <w:r/>
            <w:r>
              <w:rPr>
                <w:sz w:val="15"/>
              </w:rPr>
              <w:t>High</w:t>
            </w:r>
          </w:p>
        </w:tc>
        <w:tc>
          <w:tcPr>
            <w:tcW w:type="dxa" w:w="792"/>
          </w:tcPr>
          <w:p>
            <w:pPr>
              <w:spacing w:line="240" w:lineRule="auto"/>
            </w:pPr>
            <w:r/>
            <w:r>
              <w:rPr>
                <w:sz w:val="15"/>
              </w:rPr>
              <w:t>Medium</w:t>
            </w:r>
          </w:p>
        </w:tc>
        <w:tc>
          <w:tcPr>
            <w:tcW w:type="dxa" w:w="2736"/>
          </w:tcPr>
          <w:p>
            <w:pPr>
              <w:spacing w:line="240" w:lineRule="auto"/>
            </w:pPr>
            <w:r/>
            <w:r>
              <w:rPr>
                <w:sz w:val="15"/>
              </w:rPr>
              <w:t>Four architectures reduced to the minimum that still isolates the variable; questions answerable without quota answered in full</w:t>
            </w:r>
          </w:p>
        </w:tc>
        <w:tc>
          <w:tcPr>
            <w:tcW w:type="dxa" w:w="2736"/>
          </w:tcPr>
          <w:p>
            <w:pPr>
              <w:spacing w:line="240" w:lineRule="auto"/>
            </w:pPr>
            <w:r/>
            <w:r>
              <w:rPr>
                <w:sz w:val="15"/>
              </w:rPr>
              <w:t>Managed. Protocol conformance and the feasibility gate were evaluated across all 20 scenarios because neither needs the network, and both produced negative findings</w:t>
            </w:r>
          </w:p>
        </w:tc>
      </w:tr>
      <w:tr>
        <w:tc>
          <w:tcPr>
            <w:tcW w:type="dxa" w:w="1944"/>
          </w:tcPr>
          <w:p>
            <w:pPr>
              <w:spacing w:line="240" w:lineRule="auto"/>
            </w:pPr>
            <w:r/>
            <w:r>
              <w:rPr>
                <w:sz w:val="15"/>
              </w:rPr>
              <w:t>Single point of failure: one laptop, one author</w:t>
            </w:r>
          </w:p>
        </w:tc>
        <w:tc>
          <w:tcPr>
            <w:tcW w:type="dxa" w:w="893"/>
          </w:tcPr>
          <w:p>
            <w:pPr>
              <w:spacing w:line="240" w:lineRule="auto"/>
            </w:pPr>
            <w:r/>
            <w:r>
              <w:rPr>
                <w:sz w:val="15"/>
              </w:rPr>
              <w:t>Medium</w:t>
            </w:r>
          </w:p>
        </w:tc>
        <w:tc>
          <w:tcPr>
            <w:tcW w:type="dxa" w:w="792"/>
          </w:tcPr>
          <w:p>
            <w:pPr>
              <w:spacing w:line="240" w:lineRule="auto"/>
            </w:pPr>
            <w:r/>
            <w:r>
              <w:rPr>
                <w:sz w:val="15"/>
              </w:rPr>
              <w:t>Medium</w:t>
            </w:r>
          </w:p>
        </w:tc>
        <w:tc>
          <w:tcPr>
            <w:tcW w:type="dxa" w:w="2736"/>
          </w:tcPr>
          <w:p>
            <w:pPr>
              <w:spacing w:line="240" w:lineRule="auto"/>
            </w:pPr>
            <w:r/>
            <w:r>
              <w:rPr>
                <w:sz w:val="15"/>
              </w:rPr>
              <w:t>Everything in version control; the evaluation reproducible from the committed cache with no credentials</w:t>
            </w:r>
          </w:p>
        </w:tc>
        <w:tc>
          <w:tcPr>
            <w:tcW w:type="dxa" w:w="2736"/>
          </w:tcPr>
          <w:p>
            <w:pPr>
              <w:spacing w:line="240" w:lineRule="auto"/>
            </w:pPr>
            <w:r/>
            <w:r>
              <w:rPr>
                <w:sz w:val="15"/>
              </w:rPr>
              <w:t>Controlled, with a residual: the repository is the only copy until it is pushed to a remote</w:t>
            </w:r>
          </w:p>
        </w:tc>
      </w:tr>
    </w:tbl>
    <w:p/>
    <w:p>
      <w:r>
        <w:br w:type="page"/>
      </w:r>
    </w:p>
    <w:p>
      <w:pPr>
        <w:pStyle w:val="Heading1"/>
      </w:pPr>
      <w:r>
        <w:t>Appendix K — Provenance of the reported results</w:t>
      </w:r>
    </w:p>
    <w:p>
      <w:pPr>
        <w:spacing w:line="240" w:lineRule="auto"/>
        <w:jc w:val="center"/>
      </w:pPr>
      <w:r>
        <w:rPr>
          <w:i/>
          <w:color w:val="52514E"/>
          <w:sz w:val="19"/>
        </w:rPr>
        <w:t>Table 8.17: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30</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125</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2026-08-25</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2,870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Risk register: the assessment made at the start, the control built for it, and the outcome. Three of the eight risks occurred.</w:t>
      </w:r>
    </w:p>
    <w:p>
      <w:pPr>
        <w:spacing w:line="276" w:lineRule="auto" w:after="60"/>
      </w:pPr>
      <w:r>
        <w:t>Table 8.17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