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5.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6.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9. The old numbers stay valid for the model that produced them.</w:t>
            </w:r>
          </w:p>
        </w:tc>
      </w:tr>
    </w:tbl>
    <w:p/>
    <w:p>
      <w:pPr>
        <w:pStyle w:val="Heading1"/>
      </w:pPr>
      <w:r>
        <w:t>7.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8.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9.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10.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11.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12. The APIs used</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23 recorded replies in the project, and they let anyone reproduce the results with no accounts at all.</w:t>
      </w:r>
    </w:p>
    <w:p>
      <w:pPr>
        <w:pStyle w:val="Heading1"/>
      </w:pPr>
      <w:r>
        <w:t>13.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