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6.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7.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8.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11. The old numbers stay valid for the model that produced them.</w:t>
            </w:r>
          </w:p>
        </w:tc>
      </w:tr>
    </w:tbl>
    <w:p/>
    <w:p>
      <w:pPr>
        <w:pStyle w:val="Heading1"/>
      </w:pPr>
      <w:r>
        <w:t>9.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10.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11.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12.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13.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bl>
    <w:p/>
    <w:p>
      <w:pPr>
        <w:pStyle w:val="Heading1"/>
      </w:pPr>
      <w:r>
        <w:t>14.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15.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23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16.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