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360" w:line="288" w:lineRule="auto"/>
        <w:jc w:val="center"/>
      </w:pPr>
      <w:r>
        <w:rPr>
          <w:b w:val="0"/>
          <w:color w:val="52514E"/>
          <w:sz w:val="21"/>
        </w:rPr>
        <w:t>7 September 2026</w:t>
      </w:r>
    </w:p>
    <w:p>
      <w:pPr>
        <w:spacing w:after="600" w:line="288" w:lineRule="auto"/>
        <w:jc w:val="center"/>
      </w:pPr>
      <w:r>
        <w:rPr>
          <w:b w:val="0"/>
          <w:color w:val="52514E"/>
          <w:sz w:val="21"/>
        </w:rPr>
        <w:t>Word count: 12,954 words (Chapters 1–8, including headings, lists, tables and captions). Excluded: title page, abstract, contents, references, appendices and the lists of figures and tables — 5,926 words.</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tests whether a language model can be trusted with a task that has verifiable answers: a plan names flights, hotels, prices and dates, and each either corresponds to something bookable or does not. Single-model assistants perform badly on exactly this — the strongest single-agent baseline on the TravelPlanner benchmark completes 0.6% of tasks, failing largely through invented venues and fabricated prices (Xie et al., 2024). This dissertation asks a narrower question: given a schema-validated tool layer and a typed inter-agent protocol, what does delegating retrieval to a model cost, and what does it buy?</w:t>
      </w:r>
    </w:p>
    <w:p>
      <w:pPr>
        <w:spacing w:line="360" w:lineRule="auto"/>
        <w:jc w:val="both"/>
      </w:pPr>
      <w:r>
        <w:t>A working system was built and evaluated against itself in four configurations: one model with no tools; a six-agent design as first implemented; the same six agents after their prompt economics were tuned; and a three-agent design keeping both protocols but retrieving in ordinary Python. All four share one Model Context Protocol server exposing twelve tools over three live travel APIs, and one typed message layer. Every model request is counted by provider callback rather than estimated, and every HTTP response recorded, so results replay without an API key.</w:t>
      </w:r>
    </w:p>
    <w:p>
      <w:pPr>
        <w:spacing w:line="360" w:lineRule="auto"/>
        <w:jc w:val="both"/>
      </w:pPr>
      <w:r>
        <w:t>Three findings matter, and the second is not the expected one. Retrieval delegated to a model costs more without being better: against the tuned six-agent arm, the three-agent design used 79.2% fewer requests, 37.1% less time and 42.7% less money, with cost and latency intervals that do not overlap over 5 runs of each. Its groundedness interval does overlap, so the saving carries no quality penalty this evidence can detect — though the tuned arm's mean is the higher, recorded rather than rounded away. Second, most of the multi-agent penalty was implementation rather than architecture: tuning alone cut token use by 88.8%, which narrows the defensible claim considerably. Third, tool access separates a plausible itinerary from a usable one — the tool-less arm quoted 29 prices and matched 0 to anything real.</w:t>
      </w:r>
    </w:p>
    <w:p>
      <w:pPr>
        <w:spacing w:line="360" w:lineRule="auto"/>
        <w:jc w:val="both"/>
      </w:pPr>
      <w:r>
        <w:t>The evaluation also turned on the artefact. A conformance audit of its own protocol layer passed 3 of 9 checks: message priority is declared on every message and never honoured, and 3 of 12 tool schemas disagree with their implementations. The budget feasibility gate reached a Cohen's kappa of 0.643 across all twenty designed scenarios, and the reason is traceable: its cheapest-fare anchor sits 52% below the cheapest fare the API returned for the one route with recorded fares. These defects were found by measuring the artefact, and they are the most useful evidence it produced.</w:t>
      </w:r>
    </w:p>
    <w:p>
      <w:pPr>
        <w:spacing w:line="360" w:lineRule="auto"/>
        <w:jc w:val="both"/>
      </w:pPr>
      <w:r>
        <w:t>The principal limitation is breadth rather than depth. Free-tier quotas on the flight and hotel APIs mean the four-arm comparison rests on 1 recorded scenario of 20 designed. Repeats replay recorded responses and cost no quota, which is why every figure carries an interval, but additional scenarios cannot be bought the same way: differences on this scenario are measurable, and generalisation to other trips is not established. The protocol and budget-gate experiments are quota-free and cover all twenty. The contribution is a reproducible harness and a narrow measured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recorded, so the comparison replays from disk without credentials and its numbers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Models also attend unevenly across a long context, recovering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J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answer completely those questions needing no quota: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M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the distillation helpers written for the tuned arm are an experimental treatment, and placing them in the tool layer would have made them production behaviour.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146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measured rather than estimated: text is sized by the renderer itself, boxes grow to fit it,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and the tool delegates to it, exponentiation is bounded before evaluation rather than after, and the tests import the shipped code. One test asserts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K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only route with recorded fares would be tuning a model on its single validation point: the short-haul and long-haul constants would stay as unvalidated as before, while the whole model appeared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project's clearest result and its least surprising: the cheapest way to produce an itinerary is to invent one, and the tool layer is the difference between a plausible plan and a usable one.</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L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The model changed to a free tier, which made repeated evaluation affordable and removed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but not as the basis of a service: a cached fare pre sented as current is a mis represen tation however it was o 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reached the project's own documentation as a result. Had the request counter existed on day one, the pivot this dissertation is built on would have been visible in week two rather than week six, and quota would have been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protocol conformance is a property to be tested rather than an outcome of adoption,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B.1: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B.2: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C.1: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C.2: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D.1: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E.1: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E.2: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E.3: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F.1: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G.1: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H.1: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I.1: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N)</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J.1: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K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K.1: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L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L.1: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M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M.1: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N</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N — Provenance of the reported results</w:t>
      </w:r>
    </w:p>
    <w:p>
      <w:pPr>
        <w:spacing w:line="240" w:lineRule="auto"/>
        <w:jc w:val="center"/>
      </w:pPr>
      <w:r>
        <w:rPr>
          <w:i/>
          <w:color w:val="52514E"/>
          <w:sz w:val="19"/>
        </w:rPr>
        <w:t>Table N.1: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2026-09-02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w:t>
      </w:r>
    </w:p>
    <w:p>
      <w:pPr>
        <w:spacing w:line="276" w:lineRule="auto" w:after="60"/>
      </w:pPr>
      <w:r>
        <w:t>Figure 3.1   The three design-science cycles as they actually ran</w:t>
      </w:r>
    </w:p>
    <w:p>
      <w:pPr>
        <w:spacing w:line="276" w:lineRule="auto" w:after="60"/>
      </w:pPr>
      <w:r>
        <w:t>Figure 4.1   System architecture</w:t>
      </w:r>
    </w:p>
    <w:p>
      <w:pPr>
        <w:spacing w:line="276" w:lineRule="auto" w:after="60"/>
      </w:pPr>
      <w:r>
        <w:t>Figure 4.2   End-to-end sequence for one request in the shipped configuration</w:t>
      </w:r>
    </w:p>
    <w:p>
      <w:pPr>
        <w:spacing w:line="276" w:lineRule="auto" w:after="60"/>
      </w:pPr>
      <w:r>
        <w:t>Figure 4.3   Level-1 data flow</w:t>
      </w:r>
    </w:p>
    <w:p>
      <w:pPr>
        <w:spacing w:line="276" w:lineRule="auto" w:after="60"/>
      </w:pPr>
      <w:r>
        <w:t>Figure 4.4   The six-stage tool call lifecycle</w:t>
      </w:r>
    </w:p>
    <w:p>
      <w:pPr>
        <w:spacing w:line="276" w:lineRule="auto" w:after="60"/>
      </w:pPr>
      <w:r>
        <w:t>Figure 4.5   The six messages exchanged for one trip</w:t>
      </w:r>
    </w:p>
    <w:p>
      <w:pPr>
        <w:spacing w:line="276" w:lineRule="auto" w:after="60"/>
      </w:pPr>
      <w:r>
        <w:t>Figure 4.6   The four evaluated configurations</w:t>
      </w:r>
    </w:p>
    <w:p>
      <w:pPr>
        <w:spacing w:line="276" w:lineRule="auto" w:after="60"/>
      </w:pPr>
      <w:r>
        <w:t>Figure 6.1   Model requests, tokens, cost and wall-clock time per trip for all</w:t>
      </w:r>
    </w:p>
    <w:p>
      <w:pPr>
        <w:spacing w:line="276" w:lineRule="auto" w:after="60"/>
      </w:pPr>
      <w:r>
        <w:t>Figure 6.2   Prompt and completion tokens per architecture</w:t>
      </w:r>
    </w:p>
    <w:p>
      <w:pPr>
        <w:spacing w:line="276" w:lineRule="auto" w:after="60"/>
      </w:pPr>
      <w:r>
        <w:t>Figure 6.3   The tuning ablation</w:t>
      </w:r>
    </w:p>
    <w:p>
      <w:pPr>
        <w:spacing w:line="276" w:lineRule="auto" w:after="60"/>
      </w:pPr>
      <w:r>
        <w:t>Figure 6.4   Nine conformance checks over the message layer and the tool schemas</w:t>
      </w:r>
    </w:p>
    <w:p>
      <w:pPr>
        <w:spacing w:line="276" w:lineRule="auto" w:after="60"/>
      </w:pPr>
      <w:r>
        <w:t>Figure 6.5   The gate's decision on all twenty scenarios</w:t>
      </w:r>
    </w:p>
    <w:p>
      <w:pPr>
        <w:spacing w:line="276" w:lineRule="auto" w:after="60"/>
      </w:pPr>
      <w:r>
        <w:t>Figure 6.6   Groundedness by architecture</w:t>
      </w:r>
    </w:p>
    <w:p>
      <w:pPr>
        <w:pStyle w:val="Heading1"/>
      </w:pPr>
      <w:r>
        <w:t>Tables</w:t>
      </w:r>
    </w:p>
    <w:p>
      <w:pPr>
        <w:spacing w:line="276" w:lineRule="auto" w:after="60"/>
      </w:pPr>
      <w:r>
        <w:t>Table 1.1   Project scope, and the reason for each exclusion</w:t>
      </w:r>
    </w:p>
    <w:p>
      <w:pPr>
        <w:spacing w:line="276" w:lineRule="auto" w:after="60"/>
      </w:pPr>
      <w:r>
        <w:t>Table 4.1   Technology decisions</w:t>
      </w:r>
    </w:p>
    <w:p>
      <w:pPr>
        <w:spacing w:line="276" w:lineRule="auto" w:after="60"/>
      </w:pPr>
      <w:r>
        <w:t>Table 6.1   E1 results on SC-01</w:t>
      </w:r>
    </w:p>
    <w:p>
      <w:pPr>
        <w:spacing w:line="276" w:lineRule="auto" w:after="60"/>
      </w:pPr>
      <w:r>
        <w:t>Table 7.1   Objectives against evidence</w:t>
      </w:r>
    </w:p>
    <w:p>
      <w:pPr>
        <w:spacing w:line="276" w:lineRule="auto" w:after="60"/>
      </w:pPr>
      <w:r>
        <w:t>Table B.1   Every conformance check</w:t>
      </w:r>
    </w:p>
    <w:p>
      <w:pPr>
        <w:spacing w:line="276" w:lineRule="auto" w:after="60"/>
      </w:pPr>
      <w:r>
        <w:t>Table B.2   Per-tool schema audit</w:t>
      </w:r>
    </w:p>
    <w:p>
      <w:pPr>
        <w:spacing w:line="276" w:lineRule="auto" w:after="60"/>
      </w:pPr>
      <w:r>
        <w:t>Table C.1   The feasibility gate's decision on all twenty designed scenarios</w:t>
      </w:r>
    </w:p>
    <w:p>
      <w:pPr>
        <w:spacing w:line="276" w:lineRule="auto" w:after="60"/>
      </w:pPr>
      <w:r>
        <w:t>Table C.2   Agreement statistics for the feasibility gate</w:t>
      </w:r>
    </w:p>
    <w:p>
      <w:pPr>
        <w:spacing w:line="276" w:lineRule="auto" w:after="60"/>
      </w:pPr>
      <w:r>
        <w:t>Table D.1   Full measured detail per arm</w:t>
      </w:r>
    </w:p>
    <w:p>
      <w:pPr>
        <w:spacing w:line="276" w:lineRule="auto" w:after="60"/>
      </w:pPr>
      <w:r>
        <w:t>Table E.1   Code map by area</w:t>
      </w:r>
    </w:p>
    <w:p>
      <w:pPr>
        <w:spacing w:line="276" w:lineRule="auto" w:after="60"/>
      </w:pPr>
      <w:r>
        <w:t>Table E.2   Module decomposition and the reason for each boundary</w:t>
      </w:r>
    </w:p>
    <w:p>
      <w:pPr>
        <w:spacing w:line="276" w:lineRule="auto" w:after="60"/>
      </w:pPr>
      <w:r>
        <w:t>Table E.3   Recorded API responses by host, 2,870 kB committed in total</w:t>
      </w:r>
    </w:p>
    <w:p>
      <w:pPr>
        <w:spacing w:line="276" w:lineRule="auto" w:after="60"/>
      </w:pPr>
      <w:r>
        <w:t>Table F.1   Recorded evidence for the two silent flight-search defects</w:t>
      </w:r>
    </w:p>
    <w:p>
      <w:pPr>
        <w:spacing w:line="276" w:lineRule="auto" w:after="60"/>
      </w:pPr>
      <w:r>
        <w:t>Table G.1   The seven metrics, their provenance, and the limit of each</w:t>
      </w:r>
    </w:p>
    <w:p>
      <w:pPr>
        <w:spacing w:line="276" w:lineRule="auto" w:after="60"/>
      </w:pPr>
      <w:r>
        <w:t>Table H.1   Test coverage by area</w:t>
      </w:r>
    </w:p>
    <w:p>
      <w:pPr>
        <w:spacing w:line="276" w:lineRule="auto" w:after="60"/>
      </w:pPr>
      <w:r>
        <w:t>Table I.1   Every deviation from the proposal, with its reason and its evidence</w:t>
      </w:r>
    </w:p>
    <w:p>
      <w:pPr>
        <w:spacing w:line="276" w:lineRule="auto" w:after="60"/>
      </w:pPr>
      <w:r>
        <w:t>Table J.1   The four arms and the role each plays in the argument</w:t>
      </w:r>
    </w:p>
    <w:p>
      <w:pPr>
        <w:spacing w:line="276" w:lineRule="auto" w:after="60"/>
      </w:pPr>
      <w:r>
        <w:t>Table K.1   Experimental design</w:t>
      </w:r>
    </w:p>
    <w:p>
      <w:pPr>
        <w:spacing w:line="276" w:lineRule="auto" w:after="60"/>
      </w:pPr>
      <w:r>
        <w:t>Table L.1   Threats to validity, their effect and their remedies</w:t>
      </w:r>
    </w:p>
    <w:p>
      <w:pPr>
        <w:spacing w:line="276" w:lineRule="auto" w:after="60"/>
      </w:pPr>
      <w:r>
        <w:t>Table M.1   Risk register: the assessment made at the start</w:t>
      </w:r>
    </w:p>
    <w:p>
      <w:pPr>
        <w:spacing w:line="276" w:lineRule="auto" w:after="60"/>
      </w:pPr>
      <w:r>
        <w:t>Table N.1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