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gemini/gemini-2.5-flash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is measurably expensive without being measurably better: against the tuned six-agent arm the three-agent design used 77.8% fewer model requests and 73.0% less wall-clock time while matching it on groundedness (57% of quoted prices traceable to a retrieved fare or rate, against 59%). Second, most of the multi-agent penalty was implementation rather than architecture: tuning alone cut the six-agent arm's token use by 83.1%, which narrows the defensible claim considerably and is reported here rather than omitted. Third, tool access is what separates a plausible itinerary from a usable one — the tool-less arm quoted 57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four of twelve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Monthly free-tier quotas on the flight and hotel APIs mean the four-arm comparison rests on 1 recorded scenario of 20 designed, run once each, so no variance estimate or significance test is available for the cost results.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six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dataset of points of interest (Lim et al., 2019). Those systems were sound about constraints and closed about data: nothing they produced could be booked, because the catalogue was static.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would have needed ethical approval that the question did not warrant. A formal treatment — modelling the agent topology and reasoning about its cost analytically — would have avoided the quota problem entirely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240" w:lineRule="auto"/>
        <w:jc w:val="center"/>
      </w:pPr>
      <w:r>
        <w:rPr>
          <w:i/>
          <w:color w:val="52514E"/>
          <w:sz w:val="19"/>
        </w:rPr>
        <w:t>Table 3.1: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16,873 lines of Python across 61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allows the comparison to isolate retrieval. The tool server runs as a subprocess and therefore cannot import from its caller's context, a constraint that caused the failure described in Section 5.2. And every outbound API call passes through a single caching chokepoint, because a guarantee about quota that any one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2.5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16,873 lines of Python across 61 files, developed over 56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19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92.7 seconds while its wall-clock time is 66.1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replay never touches the network and raises on a miss, record calls live only on a miss, and live refreshes deliberately. A ceiling on live calls raises rather than proceeding once a configured number is reached. And the runner checkpoints after every scenario. The cache now holds 23 recorded responses across 3 hosts,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169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240" w:lineRule="auto"/>
        <w:jc w:val="center"/>
      </w:pPr>
      <w:r>
        <w:rPr>
          <w:i/>
          <w:color w:val="52514E"/>
          <w:sz w:val="19"/>
        </w:rPr>
        <w:t>Table 6.1: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1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pPr>
        <w:spacing w:line="360" w:lineRule="auto"/>
        <w:jc w:val="both"/>
      </w:pPr>
      <w:r>
        <w:t>The sample size for E1 must be stated before any of its numbers are read. The flight and hotel APIs allow eighty free requests a month between them, one scenario consumes roughly four, and recordings accumulate rather than expire. At the time of writing, 1 of 20 designed scenarios has been recorded and each arm has been run once on it. E1 is therefore a single-case study in the sense used in empirical software engineering (Runeson and Host, 2009), not a sample. No variance estimate, confidence interval or significance test is available for it, and none is presented.</w:t>
      </w:r>
    </w:p>
    <w:p>
      <w:pPr>
        <w:spacing w:line="360" w:lineRule="auto"/>
        <w:jc w:val="both"/>
      </w:pPr>
      <w:r>
        <w:t>The limitation is not evenly distributed. Request and token counts are close to deterministic for a fixed prompt and the gaps between arms are large, so a single observation supports an ordering claim of that size reasonably well. Latency is least reliable, depending on provider queueing that varies by the minute. Development notes record the naive arm varying between nineteen and twenty-three requests across runs — enough noise to matter between similar arms, not enough to reverse an order-of-magnitude gap. Where a difference is small, this chapter says so. E4 and E5 are not quota-limited and both produced negative findings, which a test that can only confirm never would (Wohlin et al., 2012).</w:t>
      </w:r>
    </w:p>
    <w:p>
      <w:pPr>
        <w:pStyle w:val="Heading2"/>
      </w:pPr>
      <w:r>
        <w:t>6.2  E1: what each architecture costs</w:t>
      </w:r>
    </w:p>
    <w:p>
      <w:pPr>
        <w:jc w:val="center"/>
      </w:pPr>
      <w:r>
        <w:drawing>
          <wp:inline xmlns:a="http://schemas.openxmlformats.org/drawingml/2006/main" xmlns:pic="http://schemas.openxmlformats.org/drawingml/2006/picture">
            <wp:extent cx="5760720" cy="3320870"/>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20870"/>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6.2: E1 results on SC-01.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pPr>
              <w:spacing w:line="240" w:lineRule="auto"/>
            </w:pPr>
            <w:r/>
            <w:r>
              <w:rPr>
                <w:b/>
                <w:sz w:val="19"/>
              </w:rPr>
              <w:t>Architecture</w:t>
            </w:r>
          </w:p>
        </w:tc>
        <w:tc>
          <w:tcPr>
            <w:tcW w:type="dxa" w:w="1224"/>
          </w:tcPr>
          <w:p>
            <w:pPr>
              <w:spacing w:line="240" w:lineRule="auto"/>
            </w:pPr>
            <w:r/>
            <w:r>
              <w:rPr>
                <w:b/>
                <w:sz w:val="19"/>
              </w:rPr>
              <w:t>Requests</w:t>
            </w:r>
          </w:p>
        </w:tc>
        <w:tc>
          <w:tcPr>
            <w:tcW w:type="dxa" w:w="1296"/>
          </w:tcPr>
          <w:p>
            <w:pPr>
              <w:spacing w:line="240" w:lineRule="auto"/>
            </w:pPr>
            <w:r/>
            <w:r>
              <w:rPr>
                <w:b/>
                <w:sz w:val="19"/>
              </w:rPr>
              <w:t>Tokens</w:t>
            </w:r>
          </w:p>
        </w:tc>
        <w:tc>
          <w:tcPr>
            <w:tcW w:type="dxa" w:w="1224"/>
          </w:tcPr>
          <w:p>
            <w:pPr>
              <w:spacing w:line="240" w:lineRule="auto"/>
            </w:pPr>
            <w:r/>
            <w:r>
              <w:rPr>
                <w:b/>
                <w:sz w:val="19"/>
              </w:rPr>
              <w:t>Cost</w:t>
            </w:r>
          </w:p>
        </w:tc>
        <w:tc>
          <w:tcPr>
            <w:tcW w:type="dxa" w:w="1224"/>
          </w:tcPr>
          <w:p>
            <w:pPr>
              <w:spacing w:line="240" w:lineRule="auto"/>
            </w:pPr>
            <w:r/>
            <w:r>
              <w:rPr>
                <w:b/>
                <w:sz w:val="19"/>
              </w:rPr>
              <w:t>Seconds</w:t>
            </w:r>
          </w:p>
        </w:tc>
        <w:tc>
          <w:tcPr>
            <w:tcW w:type="dxa" w:w="1512"/>
          </w:tcPr>
          <w:p>
            <w:pPr>
              <w:spacing w:line="240" w:lineRule="auto"/>
            </w:pPr>
            <w:r/>
            <w:r>
              <w:rPr>
                <w:b/>
                <w:sz w:val="19"/>
              </w:rPr>
              <w:t>Prices grounded</w:t>
            </w:r>
          </w:p>
        </w:tc>
      </w:tr>
      <w:tr>
        <w:tc>
          <w:tcPr>
            <w:tcW w:type="dxa" w:w="2736"/>
          </w:tcPr>
          <w:p>
            <w:pPr>
              <w:spacing w:line="240" w:lineRule="auto"/>
            </w:pPr>
            <w:r/>
            <w:r>
              <w:rPr>
                <w:sz w:val="19"/>
              </w:rPr>
              <w:t>A  SINGLE LLM</w:t>
            </w:r>
          </w:p>
        </w:tc>
        <w:tc>
          <w:tcPr>
            <w:tcW w:type="dxa" w:w="1224"/>
          </w:tcPr>
          <w:p>
            <w:pPr>
              <w:spacing w:line="240" w:lineRule="auto"/>
            </w:pPr>
            <w:r/>
            <w:r>
              <w:rPr>
                <w:sz w:val="19"/>
              </w:rPr>
              <w:t>1</w:t>
            </w:r>
          </w:p>
        </w:tc>
        <w:tc>
          <w:tcPr>
            <w:tcW w:type="dxa" w:w="1296"/>
          </w:tcPr>
          <w:p>
            <w:pPr>
              <w:spacing w:line="240" w:lineRule="auto"/>
            </w:pPr>
            <w:r/>
            <w:r>
              <w:rPr>
                <w:sz w:val="19"/>
              </w:rPr>
              <w:t>11,392</w:t>
            </w:r>
          </w:p>
        </w:tc>
        <w:tc>
          <w:tcPr>
            <w:tcW w:type="dxa" w:w="1224"/>
          </w:tcPr>
          <w:p>
            <w:pPr>
              <w:spacing w:line="240" w:lineRule="auto"/>
            </w:pPr>
            <w:r/>
            <w:r>
              <w:rPr>
                <w:sz w:val="19"/>
              </w:rPr>
              <w:t>$0.0282</w:t>
            </w:r>
          </w:p>
        </w:tc>
        <w:tc>
          <w:tcPr>
            <w:tcW w:type="dxa" w:w="1224"/>
          </w:tcPr>
          <w:p>
            <w:pPr>
              <w:spacing w:line="240" w:lineRule="auto"/>
            </w:pPr>
            <w:r/>
            <w:r>
              <w:rPr>
                <w:sz w:val="19"/>
              </w:rPr>
              <w:t>92.6</w:t>
            </w:r>
          </w:p>
        </w:tc>
        <w:tc>
          <w:tcPr>
            <w:tcW w:type="dxa" w:w="1512"/>
          </w:tcPr>
          <w:p>
            <w:pPr>
              <w:spacing w:line="240" w:lineRule="auto"/>
            </w:pPr>
            <w:r/>
            <w:r>
              <w:rPr>
                <w:sz w:val="19"/>
              </w:rPr>
              <w:t>0%</w:t>
            </w:r>
          </w:p>
        </w:tc>
      </w:tr>
      <w:tr>
        <w:tc>
          <w:tcPr>
            <w:tcW w:type="dxa" w:w="2736"/>
          </w:tcPr>
          <w:p>
            <w:pPr>
              <w:spacing w:line="240" w:lineRule="auto"/>
            </w:pPr>
            <w:r/>
            <w:r>
              <w:rPr>
                <w:sz w:val="19"/>
              </w:rPr>
              <w:t>B  6 AGENTS (naive)</w:t>
            </w:r>
          </w:p>
        </w:tc>
        <w:tc>
          <w:tcPr>
            <w:tcW w:type="dxa" w:w="1224"/>
          </w:tcPr>
          <w:p>
            <w:pPr>
              <w:spacing w:line="240" w:lineRule="auto"/>
            </w:pPr>
            <w:r/>
            <w:r>
              <w:rPr>
                <w:sz w:val="19"/>
              </w:rPr>
              <w:t>19</w:t>
            </w:r>
          </w:p>
        </w:tc>
        <w:tc>
          <w:tcPr>
            <w:tcW w:type="dxa" w:w="1296"/>
          </w:tcPr>
          <w:p>
            <w:pPr>
              <w:spacing w:line="240" w:lineRule="auto"/>
            </w:pPr>
            <w:r/>
            <w:r>
              <w:rPr>
                <w:sz w:val="19"/>
              </w:rPr>
              <w:t>63,926</w:t>
            </w:r>
          </w:p>
        </w:tc>
        <w:tc>
          <w:tcPr>
            <w:tcW w:type="dxa" w:w="1224"/>
          </w:tcPr>
          <w:p>
            <w:pPr>
              <w:spacing w:line="240" w:lineRule="auto"/>
            </w:pPr>
            <w:r/>
            <w:r>
              <w:rPr>
                <w:sz w:val="19"/>
              </w:rPr>
              <w:t>$0.0527</w:t>
            </w:r>
          </w:p>
        </w:tc>
        <w:tc>
          <w:tcPr>
            <w:tcW w:type="dxa" w:w="1224"/>
          </w:tcPr>
          <w:p>
            <w:pPr>
              <w:spacing w:line="240" w:lineRule="auto"/>
            </w:pPr>
            <w:r/>
            <w:r>
              <w:rPr>
                <w:sz w:val="19"/>
              </w:rPr>
              <w:t>85.5</w:t>
            </w:r>
          </w:p>
        </w:tc>
        <w:tc>
          <w:tcPr>
            <w:tcW w:type="dxa" w:w="1512"/>
          </w:tcPr>
          <w:p>
            <w:pPr>
              <w:spacing w:line="240" w:lineRule="auto"/>
            </w:pPr>
            <w:r/>
            <w:r>
              <w:rPr>
                <w:sz w:val="19"/>
              </w:rPr>
              <w:t>13%</w:t>
            </w:r>
          </w:p>
        </w:tc>
      </w:tr>
      <w:tr>
        <w:tc>
          <w:tcPr>
            <w:tcW w:type="dxa" w:w="2736"/>
          </w:tcPr>
          <w:p>
            <w:pPr>
              <w:spacing w:line="240" w:lineRule="auto"/>
            </w:pPr>
            <w:r/>
            <w:r>
              <w:rPr>
                <w:sz w:val="19"/>
              </w:rPr>
              <w:t>C  6 AGENTS (optimised)</w:t>
            </w:r>
          </w:p>
        </w:tc>
        <w:tc>
          <w:tcPr>
            <w:tcW w:type="dxa" w:w="1224"/>
          </w:tcPr>
          <w:p>
            <w:pPr>
              <w:spacing w:line="240" w:lineRule="auto"/>
            </w:pPr>
            <w:r/>
            <w:r>
              <w:rPr>
                <w:sz w:val="19"/>
              </w:rPr>
              <w:t>9</w:t>
            </w:r>
          </w:p>
        </w:tc>
        <w:tc>
          <w:tcPr>
            <w:tcW w:type="dxa" w:w="1296"/>
          </w:tcPr>
          <w:p>
            <w:pPr>
              <w:spacing w:line="240" w:lineRule="auto"/>
            </w:pPr>
            <w:r/>
            <w:r>
              <w:rPr>
                <w:sz w:val="19"/>
              </w:rPr>
              <w:t>10,808</w:t>
            </w:r>
          </w:p>
        </w:tc>
        <w:tc>
          <w:tcPr>
            <w:tcW w:type="dxa" w:w="1224"/>
          </w:tcPr>
          <w:p>
            <w:pPr>
              <w:spacing w:line="240" w:lineRule="auto"/>
            </w:pPr>
            <w:r/>
            <w:r>
              <w:rPr>
                <w:sz w:val="19"/>
              </w:rPr>
              <w:t>$0.0151</w:t>
            </w:r>
          </w:p>
        </w:tc>
        <w:tc>
          <w:tcPr>
            <w:tcW w:type="dxa" w:w="1224"/>
          </w:tcPr>
          <w:p>
            <w:pPr>
              <w:spacing w:line="240" w:lineRule="auto"/>
            </w:pPr>
            <w:r/>
            <w:r>
              <w:rPr>
                <w:sz w:val="19"/>
              </w:rPr>
              <w:t>66.1</w:t>
            </w:r>
          </w:p>
        </w:tc>
        <w:tc>
          <w:tcPr>
            <w:tcW w:type="dxa" w:w="1512"/>
          </w:tcPr>
          <w:p>
            <w:pPr>
              <w:spacing w:line="240" w:lineRule="auto"/>
            </w:pPr>
            <w:r/>
            <w:r>
              <w:rPr>
                <w:sz w:val="19"/>
              </w:rPr>
              <w:t>59%</w:t>
            </w:r>
          </w:p>
        </w:tc>
      </w:tr>
      <w:tr>
        <w:tc>
          <w:tcPr>
            <w:tcW w:type="dxa" w:w="2736"/>
          </w:tcPr>
          <w:p>
            <w:pPr>
              <w:spacing w:line="240" w:lineRule="auto"/>
            </w:pPr>
            <w:r/>
            <w:r>
              <w:rPr>
                <w:sz w:val="19"/>
              </w:rPr>
              <w:t>D  3 AGENTS (direct API)</w:t>
            </w:r>
          </w:p>
        </w:tc>
        <w:tc>
          <w:tcPr>
            <w:tcW w:type="dxa" w:w="1224"/>
          </w:tcPr>
          <w:p>
            <w:pPr>
              <w:spacing w:line="240" w:lineRule="auto"/>
            </w:pPr>
            <w:r/>
            <w:r>
              <w:rPr>
                <w:sz w:val="19"/>
              </w:rPr>
              <w:t>2</w:t>
            </w:r>
          </w:p>
        </w:tc>
        <w:tc>
          <w:tcPr>
            <w:tcW w:type="dxa" w:w="1296"/>
          </w:tcPr>
          <w:p>
            <w:pPr>
              <w:spacing w:line="240" w:lineRule="auto"/>
            </w:pPr>
            <w:r/>
            <w:r>
              <w:rPr>
                <w:sz w:val="19"/>
              </w:rPr>
              <w:t>7,813</w:t>
            </w:r>
          </w:p>
        </w:tc>
        <w:tc>
          <w:tcPr>
            <w:tcW w:type="dxa" w:w="1224"/>
          </w:tcPr>
          <w:p>
            <w:pPr>
              <w:spacing w:line="240" w:lineRule="auto"/>
            </w:pPr>
            <w:r/>
            <w:r>
              <w:rPr>
                <w:sz w:val="19"/>
              </w:rPr>
              <w:t>$0.0112</w:t>
            </w:r>
          </w:p>
        </w:tc>
        <w:tc>
          <w:tcPr>
            <w:tcW w:type="dxa" w:w="1224"/>
          </w:tcPr>
          <w:p>
            <w:pPr>
              <w:spacing w:line="240" w:lineRule="auto"/>
            </w:pPr>
            <w:r/>
            <w:r>
              <w:rPr>
                <w:sz w:val="19"/>
              </w:rPr>
              <w:t>17.9</w:t>
            </w:r>
          </w:p>
        </w:tc>
        <w:tc>
          <w:tcPr>
            <w:tcW w:type="dxa" w:w="1512"/>
          </w:tcPr>
          <w:p>
            <w:pPr>
              <w:spacing w:line="240" w:lineRule="auto"/>
            </w:pPr>
            <w:r/>
            <w:r>
              <w:rPr>
                <w:sz w:val="19"/>
              </w:rPr>
              <w:t>57%</w:t>
            </w:r>
          </w:p>
        </w:tc>
      </w:tr>
    </w:tbl>
    <w:p/>
    <w:p>
      <w:pPr>
        <w:spacing w:line="360" w:lineRule="auto"/>
        <w:jc w:val="both"/>
      </w:pPr>
      <w:r>
        <w:t>Against the tuned six-agent arm, the three-agent design used 77.8% fewer model requests and 73.0% less wall-clock time, while its cost advantage was 25.9% and its token advantage 27.7%. The gap between those two pairs of figures is the finding. Request count and latency separate the arms sharply; cost and tokens separate them modestly. Against the naive arm the differences are much larger — 87.8% fewer tokens — and Section 6.3 shows why that comparison is the wrong one to lead with.</w:t>
      </w:r>
    </w:p>
    <w:p>
      <w:pPr>
        <w:spacing w:line="360" w:lineRule="auto"/>
        <w:jc w:val="both"/>
      </w:pPr>
      <w:r>
        <w:t>One result runs against the expected direction. The tool-less arm is not the cheapest: it cost $0.0282 against the direct arm's $0.0112 despite issuing one request rather than two, and it was the slowest arm at 93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69779"/>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69779"/>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both anomalies at once. The tool-less arm spent 126 prompt tokens and 11,266 completion tokens: with no data to work from it wrote at length, inventing detail to fill the requested structure. Because output is billed at several times the rate of input on this model, an arm that reads nothing and writes a great deal is expensive. Its latency follows for the same reason — generation dominates, and it generated the most.</w:t>
      </w:r>
    </w:p>
    <w:p>
      <w:pPr>
        <w:spacing w:line="360" w:lineRule="auto"/>
        <w:jc w:val="both"/>
      </w:pPr>
      <w:r>
        <w:t>The naive six-agent arm has the opposite profile: 48,694 prompt tokens against 15,232 completion, so 76%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39805"/>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39805"/>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83.1%, its cost by 71.4% and its request count by 52.6%, with the same architecture and the same retrieved data. Prompt tokens fell from 48,694 to 5,421.</w:t>
      </w:r>
    </w:p>
    <w:p>
      <w:pPr>
        <w:spacing w:line="360" w:lineRule="auto"/>
        <w:jc w:val="both"/>
      </w:pPr>
      <w:r>
        <w:t>Most of the penalty attributed to the multi-agent design was therefore implementation quality, not architecture. Run against the naive arm alone the comparison would have reported a 87.8%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093863"/>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093863"/>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single mis-calibration accounts for the missed decision arithmetically: with the flight floor set at less than half the real airfare, the estimated minimum comes out at $476 when the airfare alone would consume the traveller's entire $500. The gate is not reasoning badly; it is reasoning correctly from a wrong number. It is also internally consistent, which localises the fault usefully — a monotonicity check over 198 cases found 0 violations, confirming that estimated cost never falls as nights or travellers increase and that a budget accepted for a longer trip is never refused for a shorter one.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sharply on the same request. The direct arm quoted 21 prices, of which 12 — 57% — match a retrieved fare or nightly rate. The tool-less arm quoted 57 prices, more than twice as many, and 0 of them match anything at all. It named a real airline for the route despite having called no API, which is exactly why entity matching is reported as weak evidence.</w:t>
      </w:r>
    </w:p>
    <w:p>
      <w:pPr>
        <w:jc w:val="center"/>
      </w:pPr>
      <w:r>
        <w:drawing>
          <wp:inline xmlns:a="http://schemas.openxmlformats.org/drawingml/2006/main" xmlns:pic="http://schemas.openxmlformats.org/drawingml/2006/picture">
            <wp:extent cx="5760720" cy="1819318"/>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19318"/>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 travel itinerary is to invent it, and the difference between a plausible plan and a usable one is entirely the tool layer. It also confirms that the tuned six-agent arm and the direct arm are equivalent on quality — 59% against 57% — which is what licenses the cost comparison in Section 6.2 to be read as a cost comparison rather than a trade-off.</w:t>
      </w:r>
    </w:p>
    <w:p>
      <w:pPr>
        <w:pStyle w:val="Heading2"/>
      </w:pPr>
      <w:r>
        <w:t>6.7  Threats to validity</w:t>
      </w:r>
    </w:p>
    <w:p>
      <w:pPr>
        <w:spacing w:line="360" w:lineRule="auto"/>
        <w:jc w:val="both"/>
      </w:pPr>
      <w:r>
        <w:t>Nine threats are identified and tabulated with their remedies in Appendix J, classified after Wohlin et al. (2012). Three are internal: E1's single unrepeated scenario, which supports an ordering but no effect size; replayed retrieval, which understates live latency; and the informal rather than measured estimate of run-to-run variance. Three are external: results from one model whose input-to-output price ratio drives the cost differences, author-written rather than sampled scenarios, and a cost table covering about sixty cities. Three are construct threats: groundedness measures whether a plan was built from real data rather than whether its choices were good, entity matching is guessable and so cannot carry a claim, and the author designed, built, measured and interpreted everything.</w:t>
      </w:r>
    </w:p>
    <w:p>
      <w:pPr>
        <w:spacing w:line="360" w:lineRule="auto"/>
        <w:jc w:val="both"/>
      </w:pPr>
      <w:r>
        <w:t>The last row deserves the most weight, and the design offers a partial answer rather than a defence. The conformance audit compares declarations against implementations, and the gate evaluation compares decisions against intent recorded before any measurement was taken; neither outcome was chosen, and both went against the design. That does not eliminate bias, since the checks were still selected by the person they judge, but a design that produced six findings against its own author is harder to dismiss than one that confirmed everything it set out to show.</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on one scenario</w:t>
            </w:r>
          </w:p>
        </w:tc>
        <w:tc>
          <w:tcPr>
            <w:tcW w:type="dxa" w:w="5184"/>
          </w:tcPr>
          <w:p>
            <w:pPr>
              <w:spacing w:line="240" w:lineRule="auto"/>
            </w:pPr>
            <w:r/>
            <w:r>
              <w:rPr>
                <w:sz w:val="17"/>
              </w:rPr>
              <w:t>All four arms runnable and reproducible, measured on 1 of 20 scenarios with no repeats. The design is sound; its statistical support is thin</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rests on 1 scenario with no repeats, so it establishes an ordering and not an effect size, and no significance test is offered.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57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169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77.8% and wall-clock time by 73.0% against a tuned six-agent baseline, while cost fell only 25.9%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83.1%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57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four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the recorded scenario. Five per arm would give a mean, a standard deviation and a confidence interval, and would let a non-parametric test decide whether the modest cost difference between the tuned and direct arms is real. It needs no API quota, because retrieval replays — the cheapest available improvement to the weakest claim here.</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169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python -m pytest -q                          # the test suite</w:t>
        <w:br/>
        <w:t>python -m comparison.exp_protocol            # protocol conformance (free)</w:t>
        <w:br/>
        <w:t>python -m comparison.exp_budget_gate         # budget gate, 20 scenarios (free)</w:t>
        <w:br/>
        <w:br/>
        <w:t># The four-arm comparison. Replay mode never touches the network;</w:t>
        <w:br/>
        <w:t># it still issues model requests, so it is the only step with a cost.</w:t>
        <w:br/>
        <w:t>export TRIP_PLANNER_API_MODE=replay</w:t>
        <w:br/>
        <w:t>export TRIP_PLANNER_MAX_LIVE_CALLS=0         # belt and braces</w:t>
        <w:br/>
        <w:t>python -m comparison.run_comparison SC-01</w:t>
        <w:br/>
        <w:br/>
        <w:t>python scripts/make_diagrams.py              # 8 diagrams, 300 dpi, validated</w:t>
        <w:br/>
        <w:t>python scripts/make_charts.py                # 6 charts from measured data</w:t>
        <w:br/>
        <w:t>python -m report.build.build_report          # this document</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11,266</w:t>
            </w:r>
          </w:p>
        </w:tc>
        <w:tc>
          <w:tcPr>
            <w:tcW w:type="dxa" w:w="792"/>
          </w:tcPr>
          <w:p>
            <w:pPr>
              <w:spacing w:line="240" w:lineRule="auto"/>
            </w:pPr>
            <w:r/>
            <w:r>
              <w:rPr>
                <w:sz w:val="16"/>
              </w:rPr>
              <w:t>$0.0282</w:t>
            </w:r>
          </w:p>
        </w:tc>
        <w:tc>
          <w:tcPr>
            <w:tcW w:type="dxa" w:w="720"/>
          </w:tcPr>
          <w:p>
            <w:pPr>
              <w:spacing w:line="240" w:lineRule="auto"/>
            </w:pPr>
            <w:r/>
            <w:r>
              <w:rPr>
                <w:sz w:val="16"/>
              </w:rPr>
              <w:t>92.6</w:t>
            </w:r>
          </w:p>
        </w:tc>
        <w:tc>
          <w:tcPr>
            <w:tcW w:type="dxa" w:w="720"/>
          </w:tcPr>
          <w:p>
            <w:pPr>
              <w:spacing w:line="240" w:lineRule="auto"/>
            </w:pPr>
            <w:r/>
            <w:r>
              <w:rPr>
                <w:sz w:val="16"/>
              </w:rPr>
              <w:t>92.6</w:t>
            </w:r>
          </w:p>
        </w:tc>
        <w:tc>
          <w:tcPr>
            <w:tcW w:type="dxa" w:w="936"/>
          </w:tcPr>
          <w:p>
            <w:pPr>
              <w:spacing w:line="240" w:lineRule="auto"/>
            </w:pPr>
            <w:r/>
            <w:r>
              <w:rPr>
                <w:sz w:val="16"/>
              </w:rPr>
              <w:t>57</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19</w:t>
            </w:r>
          </w:p>
        </w:tc>
        <w:tc>
          <w:tcPr>
            <w:tcW w:type="dxa" w:w="936"/>
          </w:tcPr>
          <w:p>
            <w:pPr>
              <w:spacing w:line="240" w:lineRule="auto"/>
            </w:pPr>
            <w:r/>
            <w:r>
              <w:rPr>
                <w:sz w:val="16"/>
              </w:rPr>
              <w:t>48,694</w:t>
            </w:r>
          </w:p>
        </w:tc>
        <w:tc>
          <w:tcPr>
            <w:tcW w:type="dxa" w:w="1080"/>
          </w:tcPr>
          <w:p>
            <w:pPr>
              <w:spacing w:line="240" w:lineRule="auto"/>
            </w:pPr>
            <w:r/>
            <w:r>
              <w:rPr>
                <w:sz w:val="16"/>
              </w:rPr>
              <w:t>15,232</w:t>
            </w:r>
          </w:p>
        </w:tc>
        <w:tc>
          <w:tcPr>
            <w:tcW w:type="dxa" w:w="792"/>
          </w:tcPr>
          <w:p>
            <w:pPr>
              <w:spacing w:line="240" w:lineRule="auto"/>
            </w:pPr>
            <w:r/>
            <w:r>
              <w:rPr>
                <w:sz w:val="16"/>
              </w:rPr>
              <w:t>$0.0527</w:t>
            </w:r>
          </w:p>
        </w:tc>
        <w:tc>
          <w:tcPr>
            <w:tcW w:type="dxa" w:w="720"/>
          </w:tcPr>
          <w:p>
            <w:pPr>
              <w:spacing w:line="240" w:lineRule="auto"/>
            </w:pPr>
            <w:r/>
            <w:r>
              <w:rPr>
                <w:sz w:val="16"/>
              </w:rPr>
              <w:t>77.4</w:t>
            </w:r>
          </w:p>
        </w:tc>
        <w:tc>
          <w:tcPr>
            <w:tcW w:type="dxa" w:w="720"/>
          </w:tcPr>
          <w:p>
            <w:pPr>
              <w:spacing w:line="240" w:lineRule="auto"/>
            </w:pPr>
            <w:r/>
            <w:r>
              <w:rPr>
                <w:sz w:val="16"/>
              </w:rPr>
              <w:t>85.5</w:t>
            </w:r>
          </w:p>
        </w:tc>
        <w:tc>
          <w:tcPr>
            <w:tcW w:type="dxa" w:w="936"/>
          </w:tcPr>
          <w:p>
            <w:pPr>
              <w:spacing w:line="240" w:lineRule="auto"/>
            </w:pPr>
            <w:r/>
            <w:r>
              <w:rPr>
                <w:sz w:val="16"/>
              </w:rPr>
              <w:t>30</w:t>
            </w:r>
          </w:p>
        </w:tc>
        <w:tc>
          <w:tcPr>
            <w:tcW w:type="dxa" w:w="864"/>
          </w:tcPr>
          <w:p>
            <w:pPr>
              <w:spacing w:line="240" w:lineRule="auto"/>
            </w:pPr>
            <w:r/>
            <w:r>
              <w:rPr>
                <w:sz w:val="16"/>
              </w:rPr>
              <w:t>4</w:t>
            </w:r>
          </w:p>
        </w:tc>
        <w:tc>
          <w:tcPr>
            <w:tcW w:type="dxa" w:w="864"/>
          </w:tcPr>
          <w:p>
            <w:pPr>
              <w:spacing w:line="240" w:lineRule="auto"/>
            </w:pPr>
            <w:r/>
            <w:r>
              <w:rPr>
                <w:sz w:val="16"/>
              </w:rPr>
              <w:t>13.3%</w:t>
            </w:r>
          </w:p>
        </w:tc>
      </w:tr>
      <w:tr>
        <w:tc>
          <w:tcPr>
            <w:tcW w:type="dxa" w:w="1656"/>
          </w:tcPr>
          <w:p>
            <w:pPr>
              <w:spacing w:line="240" w:lineRule="auto"/>
            </w:pPr>
            <w:r/>
            <w:r>
              <w:rPr>
                <w:sz w:val="16"/>
              </w:rPr>
              <w:t>C 6 AGENTS (optimised)</w:t>
            </w:r>
          </w:p>
        </w:tc>
        <w:tc>
          <w:tcPr>
            <w:tcW w:type="dxa" w:w="864"/>
          </w:tcPr>
          <w:p>
            <w:pPr>
              <w:spacing w:line="240" w:lineRule="auto"/>
            </w:pPr>
            <w:r/>
            <w:r>
              <w:rPr>
                <w:sz w:val="16"/>
              </w:rPr>
              <w:t>9</w:t>
            </w:r>
          </w:p>
        </w:tc>
        <w:tc>
          <w:tcPr>
            <w:tcW w:type="dxa" w:w="936"/>
          </w:tcPr>
          <w:p>
            <w:pPr>
              <w:spacing w:line="240" w:lineRule="auto"/>
            </w:pPr>
            <w:r/>
            <w:r>
              <w:rPr>
                <w:sz w:val="16"/>
              </w:rPr>
              <w:t>5,421</w:t>
            </w:r>
          </w:p>
        </w:tc>
        <w:tc>
          <w:tcPr>
            <w:tcW w:type="dxa" w:w="1080"/>
          </w:tcPr>
          <w:p>
            <w:pPr>
              <w:spacing w:line="240" w:lineRule="auto"/>
            </w:pPr>
            <w:r/>
            <w:r>
              <w:rPr>
                <w:sz w:val="16"/>
              </w:rPr>
              <w:t>5,387</w:t>
            </w:r>
          </w:p>
        </w:tc>
        <w:tc>
          <w:tcPr>
            <w:tcW w:type="dxa" w:w="792"/>
          </w:tcPr>
          <w:p>
            <w:pPr>
              <w:spacing w:line="240" w:lineRule="auto"/>
            </w:pPr>
            <w:r/>
            <w:r>
              <w:rPr>
                <w:sz w:val="16"/>
              </w:rPr>
              <w:t>$0.0151</w:t>
            </w:r>
          </w:p>
        </w:tc>
        <w:tc>
          <w:tcPr>
            <w:tcW w:type="dxa" w:w="720"/>
          </w:tcPr>
          <w:p>
            <w:pPr>
              <w:spacing w:line="240" w:lineRule="auto"/>
            </w:pPr>
            <w:r/>
            <w:r>
              <w:rPr>
                <w:sz w:val="16"/>
              </w:rPr>
              <w:t>92.7</w:t>
            </w:r>
          </w:p>
        </w:tc>
        <w:tc>
          <w:tcPr>
            <w:tcW w:type="dxa" w:w="720"/>
          </w:tcPr>
          <w:p>
            <w:pPr>
              <w:spacing w:line="240" w:lineRule="auto"/>
            </w:pPr>
            <w:r/>
            <w:r>
              <w:rPr>
                <w:sz w:val="16"/>
              </w:rPr>
              <w:t>66.1</w:t>
            </w:r>
          </w:p>
        </w:tc>
        <w:tc>
          <w:tcPr>
            <w:tcW w:type="dxa" w:w="936"/>
          </w:tcPr>
          <w:p>
            <w:pPr>
              <w:spacing w:line="240" w:lineRule="auto"/>
            </w:pPr>
            <w:r/>
            <w:r>
              <w:rPr>
                <w:sz w:val="16"/>
              </w:rPr>
              <w:t>22</w:t>
            </w:r>
          </w:p>
        </w:tc>
        <w:tc>
          <w:tcPr>
            <w:tcW w:type="dxa" w:w="864"/>
          </w:tcPr>
          <w:p>
            <w:pPr>
              <w:spacing w:line="240" w:lineRule="auto"/>
            </w:pPr>
            <w:r/>
            <w:r>
              <w:rPr>
                <w:sz w:val="16"/>
              </w:rPr>
              <w:t>13</w:t>
            </w:r>
          </w:p>
        </w:tc>
        <w:tc>
          <w:tcPr>
            <w:tcW w:type="dxa" w:w="864"/>
          </w:tcPr>
          <w:p>
            <w:pPr>
              <w:spacing w:line="240" w:lineRule="auto"/>
            </w:pPr>
            <w:r/>
            <w:r>
              <w:rPr>
                <w:sz w:val="16"/>
              </w:rPr>
              <w:t>59.1%</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3,794</w:t>
            </w:r>
          </w:p>
        </w:tc>
        <w:tc>
          <w:tcPr>
            <w:tcW w:type="dxa" w:w="1080"/>
          </w:tcPr>
          <w:p>
            <w:pPr>
              <w:spacing w:line="240" w:lineRule="auto"/>
            </w:pPr>
            <w:r/>
            <w:r>
              <w:rPr>
                <w:sz w:val="16"/>
              </w:rPr>
              <w:t>4,019</w:t>
            </w:r>
          </w:p>
        </w:tc>
        <w:tc>
          <w:tcPr>
            <w:tcW w:type="dxa" w:w="792"/>
          </w:tcPr>
          <w:p>
            <w:pPr>
              <w:spacing w:line="240" w:lineRule="auto"/>
            </w:pPr>
            <w:r/>
            <w:r>
              <w:rPr>
                <w:sz w:val="16"/>
              </w:rPr>
              <w:t>$0.0112</w:t>
            </w:r>
          </w:p>
        </w:tc>
        <w:tc>
          <w:tcPr>
            <w:tcW w:type="dxa" w:w="720"/>
          </w:tcPr>
          <w:p>
            <w:pPr>
              <w:spacing w:line="240" w:lineRule="auto"/>
            </w:pPr>
            <w:r/>
            <w:r>
              <w:rPr>
                <w:sz w:val="16"/>
              </w:rPr>
              <w:t>17.6</w:t>
            </w:r>
          </w:p>
        </w:tc>
        <w:tc>
          <w:tcPr>
            <w:tcW w:type="dxa" w:w="720"/>
          </w:tcPr>
          <w:p>
            <w:pPr>
              <w:spacing w:line="240" w:lineRule="auto"/>
            </w:pPr>
            <w:r/>
            <w:r>
              <w:rPr>
                <w:sz w:val="16"/>
              </w:rPr>
              <w:t>17.9</w:t>
            </w:r>
          </w:p>
        </w:tc>
        <w:tc>
          <w:tcPr>
            <w:tcW w:type="dxa" w:w="936"/>
          </w:tcPr>
          <w:p>
            <w:pPr>
              <w:spacing w:line="240" w:lineRule="auto"/>
            </w:pPr>
            <w:r/>
            <w:r>
              <w:rPr>
                <w:sz w:val="16"/>
              </w:rPr>
              <w:t>21</w:t>
            </w:r>
          </w:p>
        </w:tc>
        <w:tc>
          <w:tcPr>
            <w:tcW w:type="dxa" w:w="864"/>
          </w:tcPr>
          <w:p>
            <w:pPr>
              <w:spacing w:line="240" w:lineRule="auto"/>
            </w:pPr>
            <w:r/>
            <w:r>
              <w:rPr>
                <w:sz w:val="16"/>
              </w:rPr>
              <w:t>12</w:t>
            </w:r>
          </w:p>
        </w:tc>
        <w:tc>
          <w:tcPr>
            <w:tcW w:type="dxa" w:w="864"/>
          </w:tcPr>
          <w:p>
            <w:pPr>
              <w:spacing w:line="240" w:lineRule="auto"/>
            </w:pPr>
            <w:r/>
            <w:r>
              <w:rPr>
                <w:sz w:val="16"/>
              </w:rPr>
              <w:t>57.1%</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src</w:t>
            </w:r>
          </w:p>
        </w:tc>
        <w:tc>
          <w:tcPr>
            <w:tcW w:type="dxa" w:w="1008"/>
          </w:tcPr>
          <w:p>
            <w:pPr>
              <w:spacing w:line="240" w:lineRule="auto"/>
            </w:pPr>
            <w:r/>
            <w:r>
              <w:rPr>
                <w:sz w:val="19"/>
              </w:rPr>
              <w:t>22</w:t>
            </w:r>
          </w:p>
        </w:tc>
        <w:tc>
          <w:tcPr>
            <w:tcW w:type="dxa" w:w="1152"/>
          </w:tcPr>
          <w:p>
            <w:pPr>
              <w:spacing w:line="240" w:lineRule="auto"/>
            </w:pPr>
            <w:r/>
            <w:r>
              <w:rPr>
                <w:sz w:val="19"/>
              </w:rPr>
              <w:t>6,662</w:t>
            </w:r>
          </w:p>
        </w:tc>
        <w:tc>
          <w:tcPr>
            <w:tcW w:type="dxa" w:w="4896"/>
          </w:tcPr>
          <w:p>
            <w:pPr>
              <w:spacing w:line="240" w:lineRule="auto"/>
            </w:pPr>
            <w:r/>
            <w:r>
              <w:rPr>
                <w:sz w:val="19"/>
              </w:rPr>
              <w:t>application code</w:t>
            </w:r>
          </w:p>
        </w:tc>
      </w:tr>
      <w:tr>
        <w:tc>
          <w:tcPr>
            <w:tcW w:type="dxa" w:w="1872"/>
          </w:tcPr>
          <w:p>
            <w:pPr>
              <w:spacing w:line="240" w:lineRule="auto"/>
            </w:pPr>
            <w:r/>
            <w:r>
              <w:rPr>
                <w:sz w:val="19"/>
              </w:rPr>
              <w:t>comparison</w:t>
            </w:r>
          </w:p>
        </w:tc>
        <w:tc>
          <w:tcPr>
            <w:tcW w:type="dxa" w:w="1008"/>
          </w:tcPr>
          <w:p>
            <w:pPr>
              <w:spacing w:line="240" w:lineRule="auto"/>
            </w:pPr>
            <w:r/>
            <w:r>
              <w:rPr>
                <w:sz w:val="19"/>
              </w:rPr>
              <w:t>12</w:t>
            </w:r>
          </w:p>
        </w:tc>
        <w:tc>
          <w:tcPr>
            <w:tcW w:type="dxa" w:w="1152"/>
          </w:tcPr>
          <w:p>
            <w:pPr>
              <w:spacing w:line="240" w:lineRule="auto"/>
            </w:pPr>
            <w:r/>
            <w:r>
              <w:rPr>
                <w:sz w:val="19"/>
              </w:rPr>
              <w:t>2,724</w:t>
            </w:r>
          </w:p>
        </w:tc>
        <w:tc>
          <w:tcPr>
            <w:tcW w:type="dxa" w:w="4896"/>
          </w:tcPr>
          <w:p>
            <w:pPr>
              <w:spacing w:line="240" w:lineRule="auto"/>
            </w:pPr>
            <w:r/>
            <w:r>
              <w:rPr>
                <w:sz w:val="19"/>
              </w:rPr>
              <w:t>evaluation harness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1,416</w:t>
            </w:r>
          </w:p>
        </w:tc>
        <w:tc>
          <w:tcPr>
            <w:tcW w:type="dxa" w:w="4896"/>
          </w:tcPr>
          <w:p>
            <w:pPr>
              <w:spacing w:line="240" w:lineRule="auto"/>
            </w:pPr>
            <w:r/>
            <w:r>
              <w:rPr>
                <w:sz w:val="19"/>
              </w:rPr>
              <w:t>test suite</w:t>
            </w:r>
          </w:p>
        </w:tc>
      </w:tr>
      <w:tr>
        <w:tc>
          <w:tcPr>
            <w:tcW w:type="dxa" w:w="1872"/>
          </w:tcPr>
          <w:p>
            <w:pPr>
              <w:spacing w:line="240" w:lineRule="auto"/>
            </w:pPr>
            <w:r/>
            <w:r>
              <w:rPr>
                <w:sz w:val="19"/>
              </w:rPr>
              <w:t>scripts</w:t>
            </w:r>
          </w:p>
        </w:tc>
        <w:tc>
          <w:tcPr>
            <w:tcW w:type="dxa" w:w="1008"/>
          </w:tcPr>
          <w:p>
            <w:pPr>
              <w:spacing w:line="240" w:lineRule="auto"/>
            </w:pPr>
            <w:r/>
            <w:r>
              <w:rPr>
                <w:sz w:val="19"/>
              </w:rPr>
              <w:t>3</w:t>
            </w:r>
          </w:p>
        </w:tc>
        <w:tc>
          <w:tcPr>
            <w:tcW w:type="dxa" w:w="1152"/>
          </w:tcPr>
          <w:p>
            <w:pPr>
              <w:spacing w:line="240" w:lineRule="auto"/>
            </w:pPr>
            <w:r/>
            <w:r>
              <w:rPr>
                <w:sz w:val="19"/>
              </w:rPr>
              <w:t>1,451</w:t>
            </w:r>
          </w:p>
        </w:tc>
        <w:tc>
          <w:tcPr>
            <w:tcW w:type="dxa" w:w="4896"/>
          </w:tcPr>
          <w:p>
            <w:pPr>
              <w:spacing w:line="240" w:lineRule="auto"/>
            </w:pPr>
            <w:r/>
            <w:r>
              <w:rPr>
                <w:sz w:val="19"/>
              </w:rPr>
              <w:t>figure and document generators</w:t>
            </w:r>
          </w:p>
        </w:tc>
      </w:tr>
      <w:tr>
        <w:tc>
          <w:tcPr>
            <w:tcW w:type="dxa" w:w="1872"/>
          </w:tcPr>
          <w:p>
            <w:pPr>
              <w:spacing w:line="240" w:lineRule="auto"/>
            </w:pPr>
            <w:r/>
            <w:r>
              <w:rPr>
                <w:sz w:val="19"/>
              </w:rPr>
              <w:t>demos</w:t>
            </w:r>
          </w:p>
        </w:tc>
        <w:tc>
          <w:tcPr>
            <w:tcW w:type="dxa" w:w="1008"/>
          </w:tcPr>
          <w:p>
            <w:pPr>
              <w:spacing w:line="240" w:lineRule="auto"/>
            </w:pPr>
            <w:r/>
            <w:r>
              <w:rPr>
                <w:sz w:val="19"/>
              </w:rPr>
              <w:t>2</w:t>
            </w:r>
          </w:p>
        </w:tc>
        <w:tc>
          <w:tcPr>
            <w:tcW w:type="dxa" w:w="1152"/>
          </w:tcPr>
          <w:p>
            <w:pPr>
              <w:spacing w:line="240" w:lineRule="auto"/>
            </w:pPr>
            <w:r/>
            <w:r>
              <w:rPr>
                <w:sz w:val="19"/>
              </w:rPr>
              <w:t>389</w:t>
            </w:r>
          </w:p>
        </w:tc>
        <w:tc>
          <w:tcPr>
            <w:tcW w:type="dxa" w:w="4896"/>
          </w:tcPr>
          <w:p>
            <w:pPr>
              <w:spacing w:line="240" w:lineRule="auto"/>
            </w:pPr>
            <w:r/>
            <w:r>
              <w:rPr>
                <w:sz w:val="19"/>
              </w:rPr>
              <w:t>demonstration scripts</w:t>
            </w:r>
          </w:p>
        </w:tc>
      </w:tr>
      <w:tr>
        <w:tc>
          <w:tcPr>
            <w:tcW w:type="dxa" w:w="1872"/>
          </w:tcPr>
          <w:p>
            <w:pPr>
              <w:spacing w:line="240" w:lineRule="auto"/>
            </w:pPr>
            <w:r/>
            <w:r>
              <w:rPr>
                <w:sz w:val="19"/>
              </w:rPr>
              <w:t>report</w:t>
            </w:r>
          </w:p>
        </w:tc>
        <w:tc>
          <w:tcPr>
            <w:tcW w:type="dxa" w:w="1008"/>
          </w:tcPr>
          <w:p>
            <w:pPr>
              <w:spacing w:line="240" w:lineRule="auto"/>
            </w:pPr>
            <w:r/>
            <w:r>
              <w:rPr>
                <w:sz w:val="19"/>
              </w:rPr>
              <w:t>15</w:t>
            </w:r>
          </w:p>
        </w:tc>
        <w:tc>
          <w:tcPr>
            <w:tcW w:type="dxa" w:w="1152"/>
          </w:tcPr>
          <w:p>
            <w:pPr>
              <w:spacing w:line="240" w:lineRule="auto"/>
            </w:pPr>
            <w:r/>
            <w:r>
              <w:rPr>
                <w:sz w:val="19"/>
              </w:rPr>
              <w:t>4,231</w:t>
            </w:r>
          </w:p>
        </w:tc>
        <w:tc>
          <w:tcPr>
            <w:tcW w:type="dxa" w:w="4896"/>
          </w:tcPr>
          <w:p>
            <w:pPr>
              <w:spacing w:line="240" w:lineRule="auto"/>
            </w:pPr>
            <w:r/>
            <w:r>
              <w:rPr>
                <w:sz w:val="19"/>
              </w:rPr>
              <w:t>report generator</w:t>
            </w:r>
          </w:p>
        </w:tc>
      </w:tr>
      <w:tr>
        <w:tc>
          <w:tcPr>
            <w:tcW w:type="dxa" w:w="1872"/>
          </w:tcPr>
          <w:p>
            <w:pPr>
              <w:spacing w:line="240" w:lineRule="auto"/>
            </w:pPr>
            <w:r/>
            <w:r>
              <w:rPr>
                <w:sz w:val="19"/>
              </w:rPr>
              <w:t>Total</w:t>
            </w:r>
          </w:p>
        </w:tc>
        <w:tc>
          <w:tcPr>
            <w:tcW w:type="dxa" w:w="1008"/>
          </w:tcPr>
          <w:p>
            <w:pPr>
              <w:spacing w:line="240" w:lineRule="auto"/>
            </w:pPr>
            <w:r/>
            <w:r>
              <w:rPr>
                <w:sz w:val="19"/>
              </w:rPr>
              <w:t>61</w:t>
            </w:r>
          </w:p>
        </w:tc>
        <w:tc>
          <w:tcPr>
            <w:tcW w:type="dxa" w:w="1152"/>
          </w:tcPr>
          <w:p>
            <w:pPr>
              <w:spacing w:line="240" w:lineRule="auto"/>
            </w:pPr>
            <w:r/>
            <w:r>
              <w:rPr>
                <w:sz w:val="19"/>
              </w:rPr>
              <w:t>16,873</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src/orchestrator.py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w:t>
            </w:r>
          </w:p>
        </w:tc>
      </w:tr>
      <w:tr>
        <w:tc>
          <w:tcPr>
            <w:tcW w:type="dxa" w:w="2520"/>
          </w:tcPr>
          <w:p>
            <w:pPr>
              <w:spacing w:line="240" w:lineRule="auto"/>
            </w:pPr>
            <w:r/>
            <w:r>
              <w:rPr>
                <w:sz w:val="17"/>
              </w:rPr>
              <w:t>src/agents.py, src/tasks.py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src/comms/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src/server/mcp_server.py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src/tools/mcp_tools.py</w:t>
            </w:r>
          </w:p>
        </w:tc>
        <w:tc>
          <w:tcPr>
            <w:tcW w:type="dxa" w:w="3384"/>
          </w:tcPr>
          <w:p>
            <w:pPr>
              <w:spacing w:line="240" w:lineRule="auto"/>
            </w:pPr>
            <w:r/>
            <w:r>
              <w:rPr>
                <w:sz w:val="17"/>
              </w:rPr>
              <w:t>Tool wrappers agents hold, plus the direct HTTP clients</w:t>
            </w:r>
          </w:p>
        </w:tc>
        <w:tc>
          <w:tcPr>
            <w:tcW w:type="dxa" w:w="3024"/>
          </w:tcPr>
          <w:p>
            <w:pPr>
              <w:spacing w:line="240" w:lineRule="auto"/>
            </w:pPr>
            <w:r/>
            <w:r>
              <w:rPr>
                <w:sz w:val="17"/>
              </w:rPr>
              <w:t>Framework tool objects are not plain functions; runtime code needs both</w:t>
            </w:r>
          </w:p>
        </w:tc>
      </w:tr>
      <w:tr>
        <w:tc>
          <w:tcPr>
            <w:tcW w:type="dxa" w:w="2520"/>
          </w:tcPr>
          <w:p>
            <w:pPr>
              <w:spacing w:line="240" w:lineRule="auto"/>
            </w:pPr>
            <w:r/>
            <w:r>
              <w:rPr>
                <w:sz w:val="17"/>
              </w:rPr>
              <w:t>src/core/http_cache.py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src/core/llm_metrics.py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src/core/trip_cost.py,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src/core/validators.py,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comparison/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scripts/</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169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2.5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57%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8.13: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8.14: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gemini/gemini-2.5-flash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1</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56</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2026-08-14</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3.1   The four arms and the role each plays in the argument.</w:t>
      </w:r>
    </w:p>
    <w:p>
      <w:pPr>
        <w:spacing w:line="276" w:lineRule="auto" w:after="60"/>
      </w:pPr>
      <w:r>
        <w:t>Table 4.1   Technology decisions. The final column is the one that matters for Chapter 7: every choice constrained something later.</w:t>
      </w:r>
    </w:p>
    <w:p>
      <w:pPr>
        <w:spacing w:line="276" w:lineRule="auto" w:after="60"/>
      </w:pPr>
      <w:r>
        <w:t>Table 6.1   Experimental design. Three of five cost nothing to run, which is why they cover the full scenario set while E1 does not.</w:t>
      </w:r>
    </w:p>
    <w:p>
      <w:pPr>
        <w:spacing w:line="276" w:lineRule="auto" w:after="60"/>
      </w:pPr>
      <w:r>
        <w:t>Table 6.2   E1 results on SC-01.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Threats to validity, their effect and their remedies.</w:t>
      </w:r>
    </w:p>
    <w:p>
      <w:pPr>
        <w:spacing w:line="276" w:lineRule="auto" w:after="60"/>
      </w:pPr>
      <w:r>
        <w:t>Table 8.14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