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360" w:line="288" w:lineRule="auto"/>
        <w:jc w:val="center"/>
      </w:pPr>
      <w:r>
        <w:rPr>
          <w:b w:val="0"/>
          <w:color w:val="52514E"/>
          <w:sz w:val="21"/>
        </w:rPr>
        <w:t>7 September 2026</w:t>
      </w:r>
    </w:p>
    <w:p>
      <w:pPr>
        <w:spacing w:after="600" w:line="288" w:lineRule="auto"/>
        <w:jc w:val="center"/>
      </w:pPr>
      <w:r>
        <w:rPr>
          <w:b w:val="0"/>
          <w:color w:val="52514E"/>
          <w:sz w:val="21"/>
        </w:rPr>
        <w:t>Word count (main body, Chapters 1–8): 12,988 words. Front matter, references, tables, captions and appendices are excluded.</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is to design, build and evaluate a multi-agent travel planning system that produces day-by-day itineraries grounded in live flight, hotel and venue data, through a schema-validated Model Context Protocol tool layer and a typed agent-to-agent message protocol. It is then to measure what delegating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and every HTTP response is recorded and committed, so the whole comparison replays from disk with no credentials and the numbers here can be checked rather than trusted. The second is a comparison that includes its own fair baseline: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them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 early analysis of its landscape notes that the specification governs the transport and the schema declaration, but leaves the correspondence between a declared schema and the code behind it to the implementer (Hou et al., 2025). That is not a small gap, and Section 6.4 reports what auditing it found in this project's own server.</w:t>
      </w:r>
    </w:p>
    <w:p>
      <w:pPr>
        <w:spacing w:line="360" w:lineRule="auto"/>
        <w:jc w:val="both"/>
      </w:pPr>
      <w:r>
        <w:t>Above the agents there is no equivalent standard. The nearest is much older. The FIPA Communicative Act Library defines a typed vocabulary of speech acts for agent messaging — request, inform, agree, refuse — so that the intent of a message is not left to interpretation (FIPA, 2002). Modern LLM frameworks largely abandoned this for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Its value is that it separates plausibility from correctness. Its limit, for a project like this one, is that its environment is a frozen snapshot. An agent that scores well on it has not shown it can cope with a live API that returns a session identifier instead of results, or ignores a parameter it does not recognise. Both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meant to prevent malformed invocation contains 3 tools whose declared schemas disagree with their implementations, and the typed message layer honours its permission rules while ignoring the priority ordering it advertises: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giving the improved version the strongest possible position before comparing against it. It also produced the result in Section 6.3: that most of the difference the project set out to demonstrate was implementation quality rather than architecture. Without Arm C that finding is unavailable and the headline claim is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Those axes are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solely to reproduce the reported results. It holds no personal data, and request headers carrying credentials are excluded from what is written to disk.</w:t>
      </w:r>
    </w:p>
    <w:p>
      <w:pPr>
        <w:spacing w:line="360" w:lineRule="auto"/>
        <w:jc w:val="both"/>
      </w:pPr>
      <w:r>
        <w:t>One obligation runs beyond compliance and shaped a measurement. A system that prints prices invites the reading that those prices are bookable, so groundedness is measured rather than assumed. Section 7.5 returns to the professional and legal position, and to the BCS obligation behind it (BCS, 2022),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16,138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an equivalent call with reordered parameters misses. That is acceptable here because the deterministic arm issues canonical parameters, and it is why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A split that suits a solo short-haul trip therefore misallocates badly for a family travelling far. The replacement derives the split from what that specific trip's components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16,138 lines of Python across 63 files, developed over 143 commits, and Appendix E breaks it down by area. It was built in dependency order: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Appendix F tabulates the recordings on either side of the fix: the 2 made with snake_case parameters return 0 itineraries, the corrected one 10. This is a class of API defect worth naming. A parameter that is rejected costs minutes;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Appendix F compares the two responses: the search returns 10 itineraries, the poll that follows it 173. Reading only the first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measured rather than estimated: text is sized by the renderer itself, boxes grow to fit it,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budget allocation, cost estimation and validation modules are tested thoroughly, because they are pure functions needing no network and no model. The message layer, the tool server, the record-and-replay cache and the metric collector have no unit tests at all, and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and the tool delegates to it, exponentiation is bounded before evaluation rather than after, and the tests import the shipped code. One test asserts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The six-agent arm was tuned in five ways: one narrow tool per specialist instead of up to eight, an iteration ceiling of three instead of fifteen, distilled tool results, shorter role descriptions, and the three specialists run concurrently. With the same architecture and the same retrieved data, that reduced its tokens by 88.8%, its cost by 83.2% and its request count by 53.4%.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only route with recorded fares would be tuning a model on its single validation point: the short-haul and long-haul constants would stay as unvalidated as before, while the whole model appeared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These figures are therefore not comparable with the earlier round, and an architecture evaluated against someone else's hosted model inherits that model's lifetime — a stronger argument for the recorded response cache than the one originally made.</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from the pivot rather than from carelessness. Once agents stopped performing retrieval there was nothing left for them to send each other about it, so the message layer's role narrowed to an audit trail. That is genuinely useful, since it is what makes the exchange inspectable, but it is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The model changed to a free tier, which made repeated evaluation affordable and removed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The same audit found one further defect, a test block exercising a copy of the calculator rather than the shipped one, and that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reached the project's own documentation as a result. Had the request counter existed on day one, the pivot this dissertation is built on would have been visible in week two rather than week six, and quota would have been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16,138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143</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2026-08-29</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