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Qurilishda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ko‘</w:t>
      </w:r>
      <w:proofErr w:type="gram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rsatkichlari</w:t>
      </w:r>
      <w:proofErr w:type="spellEnd"/>
    </w:p>
    <w:p w:rsidR="002C485B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       </w:t>
      </w:r>
      <w:r w:rsidR="005C6435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O‘zbekiston Respublikasida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202</w:t>
      </w:r>
      <w:r w:rsidR="00DB688A" w:rsidRPr="00DB688A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4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- yil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yanvar-</w:t>
      </w:r>
      <w:r w:rsidR="00DB688A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mart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oylarida kichik tadbirkorlik subyektlarining </w:t>
      </w:r>
      <w:r w:rsidRPr="00D93BA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qurilishi </w:t>
      </w:r>
      <w:r w:rsidR="00DE0B7A" w:rsidRPr="00D93BA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ishlari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umumiy hajmi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dagi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ulushi</w:t>
      </w:r>
      <w:r w:rsidR="00DE0B7A" w:rsidRPr="005C6435">
        <w:rPr>
          <w:rFonts w:ascii="Arial" w:eastAsia="+mn-ea" w:hAnsi="Arial" w:cs="Arial"/>
          <w:bCs/>
          <w:color w:val="002060"/>
          <w:kern w:val="24"/>
          <w:lang w:val="uz-Latn-UZ"/>
        </w:rPr>
        <w:t xml:space="preserve"> </w:t>
      </w:r>
      <w:r w:rsidR="00540536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o‘tgan tegishli davr</w:t>
      </w:r>
      <w:r w:rsidR="00540536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lardan </w:t>
      </w:r>
      <w:r w:rsidR="00540536" w:rsidRPr="00220C8B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yuqori</w:t>
      </w:r>
      <w:r w:rsidR="00540536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bo</w:t>
      </w:r>
      <w:r w:rsidR="00540536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‘</w:t>
      </w:r>
      <w:r w:rsidR="00540536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lib</w:t>
      </w:r>
      <w:r w:rsidR="00540536" w:rsidRPr="000B11D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0B11DB" w:rsidRPr="000B11D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7</w:t>
      </w:r>
      <w:r w:rsidR="00B430D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7</w:t>
      </w:r>
      <w:r w:rsidR="000B11DB" w:rsidRPr="000B11D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,</w:t>
      </w:r>
      <w:r w:rsidR="00B430D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0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 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ni tashkil etdi</w:t>
      </w:r>
      <w:r w:rsidR="00FC13C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.</w:t>
      </w:r>
      <w:r w:rsidR="002C485B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E67DBB" w:rsidRPr="00E67DB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Hududlar kesimida</w:t>
      </w:r>
      <w:r w:rsidR="00E67DBB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E67DB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kichik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tadbirkorlik subyektlarining qurilishi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ishlari umumiy hajmi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dagi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ulushi</w:t>
      </w:r>
      <w:r w:rsidR="002C485B" w:rsidRPr="002C485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:</w:t>
      </w:r>
    </w:p>
    <w:p w:rsidR="00A331DA" w:rsidRPr="0094755A" w:rsidRDefault="00A331DA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94755A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Andijon viloyati –</w:t>
      </w:r>
      <w:r w:rsidRPr="0094755A">
        <w:rPr>
          <w:lang w:val="uz-Latn-UZ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9</w:t>
      </w:r>
      <w:r w:rsidR="007A51C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,</w:t>
      </w:r>
      <w:r w:rsidR="007A51C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5</w:t>
      </w:r>
      <w:r w:rsidR="0094755A" w:rsidRPr="0094755A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A331DA" w:rsidRDefault="00A47BAF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Namangan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A331DA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A331DA" w:rsidRPr="006322C7">
        <w:rPr>
          <w:lang w:val="en-US"/>
        </w:rPr>
        <w:t xml:space="preserve"> </w:t>
      </w:r>
      <w:r w:rsidR="00A331DA" w:rsidRP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93,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7</w:t>
      </w:r>
      <w:r w:rsidR="0094755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A331DA" w:rsidRPr="009E4957" w:rsidRDefault="00A47BAF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A331DA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A331DA" w:rsidRPr="006322C7">
        <w:rPr>
          <w:lang w:val="en-US"/>
        </w:rPr>
        <w:t xml:space="preserve"> </w:t>
      </w:r>
      <w:r w:rsidR="00A331DA" w:rsidRP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</w:t>
      </w:r>
      <w:r w:rsidR="00A331DA" w:rsidRP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,7</w:t>
      </w:r>
      <w:r w:rsidR="0094755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A331DA" w:rsidRPr="00687BD6" w:rsidRDefault="00A47BAF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Jizzax</w:t>
      </w:r>
      <w:proofErr w:type="spellEnd"/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0077B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0077B2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0077B2" w:rsidRPr="006322C7">
        <w:rPr>
          <w:lang w:val="en-US"/>
        </w:rPr>
        <w:t xml:space="preserve"> </w:t>
      </w:r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A331DA" w:rsidRPr="00687BD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</w:t>
      </w:r>
      <w:r w:rsidR="00A331DA" w:rsidRPr="00687BD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4</w:t>
      </w:r>
      <w:r w:rsidR="0094755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C969E1" w:rsidRPr="004A57E2" w:rsidRDefault="00C969E1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Qoraqalpog‘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iston</w:t>
      </w:r>
      <w:proofErr w:type="spell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Resp.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90</w:t>
      </w:r>
      <w:r w:rsidRPr="00687BD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687BD6" w:rsidRPr="00687BD6" w:rsidRDefault="00687BD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Xorazm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0077B2">
        <w:rPr>
          <w:lang w:val="en-US"/>
        </w:rPr>
        <w:t xml:space="preserve"> </w:t>
      </w:r>
      <w:r w:rsidR="00500AF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8</w:t>
      </w:r>
      <w:r w:rsidR="00C7188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6</w:t>
      </w:r>
      <w:r w:rsidRPr="00687BD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,</w:t>
      </w:r>
      <w:r w:rsidR="00C7188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</w:t>
      </w:r>
      <w:r w:rsidR="0094755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C71889" w:rsidRPr="00687BD6" w:rsidRDefault="00C71889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Sirdaryo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84</w:t>
      </w:r>
      <w:r w:rsidRPr="00687BD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7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687BD6" w:rsidRPr="004A57E2" w:rsidRDefault="002B7271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Farg‘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ona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687BD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687BD6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87BD6" w:rsidRPr="006322C7">
        <w:rPr>
          <w:lang w:val="en-US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84</w:t>
      </w:r>
      <w:r w:rsidRPr="00687BD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7</w:t>
      </w:r>
      <w:r w:rsidR="0094755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4A57E2" w:rsidRPr="009E4957" w:rsidRDefault="00480BD9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Toshkent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A57E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4A57E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4A57E2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4A57E2" w:rsidRPr="006322C7">
        <w:rPr>
          <w:lang w:val="en-US"/>
        </w:rPr>
        <w:t xml:space="preserve"> </w:t>
      </w:r>
      <w:r w:rsidR="004A57E2" w:rsidRPr="004A57E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</w:t>
      </w:r>
      <w:r w:rsidR="004A57E2" w:rsidRPr="004A57E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</w:t>
      </w:r>
      <w:r w:rsidR="0094755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F705E9" w:rsidRPr="009E4957" w:rsidRDefault="00480BD9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Buxoro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F705E9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F705E9" w:rsidRPr="006322C7">
        <w:rPr>
          <w:lang w:val="en-US"/>
        </w:rPr>
        <w:t xml:space="preserve"> </w:t>
      </w:r>
      <w:r w:rsidR="00F705E9" w:rsidRP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0</w:t>
      </w:r>
      <w:r w:rsidR="00F705E9" w:rsidRP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5</w:t>
      </w:r>
      <w:r w:rsidR="0094755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F705E9" w:rsidRPr="009E4957" w:rsidRDefault="00C15B49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Samarqand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F705E9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F705E9" w:rsidRP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79,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9</w:t>
      </w:r>
      <w:r w:rsidR="0094755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F705E9" w:rsidRPr="009E4957" w:rsidRDefault="00C82131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D3DF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Toshkent</w:t>
      </w:r>
      <w:r w:rsidRPr="00DC55D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D3DF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sh</w:t>
      </w:r>
      <w:r w:rsidRPr="00DC55D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. </w:t>
      </w:r>
      <w:r w:rsidR="00F705E9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F705E9" w:rsidRPr="006322C7">
        <w:rPr>
          <w:lang w:val="en-US"/>
        </w:rPr>
        <w:t xml:space="preserve"> </w:t>
      </w:r>
      <w:r w:rsidR="00F705E9" w:rsidRP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6</w:t>
      </w:r>
      <w:r w:rsidR="00F705E9" w:rsidRP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5</w:t>
      </w:r>
      <w:r w:rsidR="0094755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A331DA" w:rsidRPr="009E4957" w:rsidRDefault="006023EB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Navoiy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A331DA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A331DA" w:rsidRPr="006322C7">
        <w:rPr>
          <w:lang w:val="en-US"/>
        </w:rPr>
        <w:t xml:space="preserve"> </w:t>
      </w:r>
      <w:r w:rsidR="00F705E9" w:rsidRPr="00F705E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76,</w:t>
      </w:r>
      <w:r w:rsidR="00DC351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</w:t>
      </w:r>
      <w:r w:rsidR="0094755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DC55DB" w:rsidRPr="009E4957" w:rsidRDefault="00172B53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Qashqadaryo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3D3A0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3D3A0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3D3A0E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3D3A0E" w:rsidRPr="006322C7">
        <w:rPr>
          <w:lang w:val="en-US"/>
        </w:rPr>
        <w:t xml:space="preserve"> </w:t>
      </w:r>
      <w:r w:rsidR="003D3A0E" w:rsidRPr="003D3A0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</w:t>
      </w:r>
      <w:r w:rsidR="003D3A0E" w:rsidRPr="003D3A0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9</w:t>
      </w:r>
      <w:r w:rsidR="003D3A0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4755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  <w:r w:rsidR="00DB688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DC55D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ni</w:t>
      </w:r>
      <w:proofErr w:type="spellEnd"/>
      <w:r w:rsidR="00DC55D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DC55D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tashkil</w:t>
      </w:r>
      <w:proofErr w:type="spellEnd"/>
      <w:r w:rsidR="00DC55D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DC55D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etdi</w:t>
      </w:r>
      <w:proofErr w:type="spellEnd"/>
      <w:r w:rsidR="00DC55D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.</w:t>
      </w:r>
    </w:p>
    <w:p w:rsidR="00DB688A" w:rsidRPr="00DB688A" w:rsidRDefault="00DB688A" w:rsidP="00BE5931">
      <w:pPr>
        <w:jc w:val="center"/>
        <w:rPr>
          <w:rFonts w:ascii="Times New Roman" w:hAnsi="Times New Roman" w:cs="Times New Roman"/>
          <w:b/>
          <w:color w:val="1F497D" w:themeColor="text2"/>
          <w:sz w:val="10"/>
          <w:szCs w:val="10"/>
        </w:rPr>
      </w:pPr>
    </w:p>
    <w:p w:rsidR="00BE593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малого </w:t>
      </w:r>
      <w:r w:rsidR="009D256D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предпринимательства (бизнеса) в строительстве</w:t>
      </w:r>
    </w:p>
    <w:p w:rsidR="005838D7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>Удельный вес малого предпринимательства (бизнеса) за январь-</w:t>
      </w:r>
      <w:r w:rsidR="00806E22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март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202</w:t>
      </w:r>
      <w:r w:rsidR="00806E22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4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 </w:t>
      </w:r>
      <w:r w:rsidR="00E00BB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>по Республике Узбекистан</w:t>
      </w:r>
      <w:r w:rsidR="00E00BB7"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в общем объеме</w:t>
      </w:r>
      <w:r w:rsidRPr="005838D7">
        <w:rPr>
          <w:b/>
          <w:bCs/>
        </w:rPr>
        <w:t xml:space="preserve"> </w:t>
      </w:r>
      <w:r w:rsidR="00D41F47" w:rsidRPr="00D93BA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строительных работ</w:t>
      </w:r>
      <w:r w:rsidR="00D41F4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721CCE" w:rsidRPr="00C2535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увеличился </w:t>
      </w:r>
      <w:r w:rsidR="00721CCE">
        <w:rPr>
          <w:rFonts w:ascii="Times New Roman" w:hAnsi="Times New Roman" w:cs="Times New Roman"/>
          <w:color w:val="1F497D" w:themeColor="text2"/>
          <w:sz w:val="28"/>
          <w:szCs w:val="28"/>
        </w:rPr>
        <w:t>по сравнению соответствующему периоду прошлых лет, и</w:t>
      </w:r>
      <w:r w:rsidR="00721CCE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составил </w:t>
      </w:r>
      <w:r w:rsidR="00523F74" w:rsidRPr="000B11D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7</w:t>
      </w:r>
      <w:r w:rsidR="00851B52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7</w:t>
      </w:r>
      <w:r w:rsidR="00523F74" w:rsidRPr="000B11D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,</w:t>
      </w:r>
      <w:r w:rsidR="00851B52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0</w:t>
      </w:r>
      <w:r w:rsidR="00523F74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%</w:t>
      </w:r>
      <w:r w:rsidR="00437FC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. 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9517AF" w:rsidRP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региональном разрезе доля выполненных </w:t>
      </w:r>
      <w:r w:rsidR="00437FC5" w:rsidRPr="00085FE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строительных работ</w:t>
      </w:r>
      <w:r w:rsidR="009517AF" w:rsidRP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9517AF" w:rsidRPr="009517AF">
        <w:rPr>
          <w:rFonts w:ascii="Times New Roman" w:hAnsi="Times New Roman" w:cs="Times New Roman"/>
          <w:color w:val="1F497D" w:themeColor="text2"/>
          <w:sz w:val="28"/>
          <w:szCs w:val="28"/>
        </w:rPr>
        <w:t>о</w:t>
      </w:r>
      <w:r w:rsidR="009517AF"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бщем объеме</w:t>
      </w:r>
      <w:r w:rsidR="009517AF" w:rsidRPr="005838D7">
        <w:rPr>
          <w:b/>
          <w:bCs/>
        </w:rPr>
        <w:t xml:space="preserve"> </w:t>
      </w:r>
      <w:proofErr w:type="spellStart"/>
      <w:r w:rsidR="00692FBF" w:rsidRPr="0017221E"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692FBF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оставил</w:t>
      </w:r>
      <w:proofErr w:type="spellEnd"/>
      <w:r w:rsidR="002822B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а</w:t>
      </w:r>
      <w:r w:rsidRPr="0036234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: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p w:rsidR="008166C7" w:rsidRPr="005A21DB" w:rsidRDefault="008166C7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Андижанская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7F1C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9</w:t>
      </w:r>
      <w:r w:rsidR="00257F1C" w:rsidRPr="00257F1C">
        <w:rPr>
          <w:rFonts w:ascii="Times New Roman" w:hAnsi="Times New Roman" w:cs="Times New Roman"/>
          <w:color w:val="1F497D" w:themeColor="text2"/>
          <w:sz w:val="28"/>
          <w:szCs w:val="28"/>
        </w:rPr>
        <w:t>4</w:t>
      </w:r>
      <w:r w:rsidR="00257F1C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,</w:t>
      </w:r>
      <w:r w:rsidR="00257F1C" w:rsidRPr="00257F1C">
        <w:rPr>
          <w:rFonts w:ascii="Times New Roman" w:hAnsi="Times New Roman" w:cs="Times New Roman"/>
          <w:color w:val="1F497D" w:themeColor="text2"/>
          <w:sz w:val="28"/>
          <w:szCs w:val="28"/>
        </w:rPr>
        <w:t>5</w:t>
      </w:r>
      <w:r w:rsidR="00257F1C" w:rsidRPr="0094755A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8166C7" w:rsidRPr="003630AF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Наманганская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8166C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077B2" w:rsidRPr="000077B2">
        <w:rPr>
          <w:rFonts w:ascii="Times New Roman" w:hAnsi="Times New Roman" w:cs="Times New Roman"/>
          <w:color w:val="1F497D" w:themeColor="text2"/>
          <w:sz w:val="28"/>
          <w:szCs w:val="28"/>
        </w:rPr>
        <w:t>93,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7</w:t>
      </w:r>
      <w:r w:rsidR="003630A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8166C7" w:rsidRPr="003630AF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Сурхандарьинская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8166C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9455A" w:rsidRPr="000077B2">
        <w:rPr>
          <w:rFonts w:ascii="Times New Roman" w:hAnsi="Times New Roman" w:cs="Times New Roman"/>
          <w:color w:val="1F497D" w:themeColor="text2"/>
          <w:sz w:val="28"/>
          <w:szCs w:val="28"/>
        </w:rPr>
        <w:t>93,</w:t>
      </w:r>
      <w:r w:rsidR="0069455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7</w:t>
      </w:r>
      <w:r w:rsidR="003630A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8166C7" w:rsidRPr="003630AF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Джизакская 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8166C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03773" w:rsidRPr="00C03773">
        <w:rPr>
          <w:rFonts w:ascii="Times New Roman" w:hAnsi="Times New Roman" w:cs="Times New Roman"/>
          <w:color w:val="1F497D" w:themeColor="text2"/>
          <w:sz w:val="28"/>
          <w:szCs w:val="28"/>
        </w:rPr>
        <w:t>9</w:t>
      </w:r>
      <w:r w:rsidR="0069455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3</w:t>
      </w:r>
      <w:r w:rsidR="00C03773" w:rsidRPr="00C03773">
        <w:rPr>
          <w:rFonts w:ascii="Times New Roman" w:hAnsi="Times New Roman" w:cs="Times New Roman"/>
          <w:color w:val="1F497D" w:themeColor="text2"/>
          <w:sz w:val="28"/>
          <w:szCs w:val="28"/>
        </w:rPr>
        <w:t>,</w:t>
      </w:r>
      <w:r w:rsidR="0069455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4</w:t>
      </w:r>
      <w:r w:rsidR="003630A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8166C7" w:rsidRPr="003630AF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Республика Каракалпакстан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166C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03773" w:rsidRPr="00C03773">
        <w:rPr>
          <w:rFonts w:ascii="Times New Roman" w:hAnsi="Times New Roman" w:cs="Times New Roman"/>
          <w:color w:val="1F497D" w:themeColor="text2"/>
          <w:sz w:val="28"/>
          <w:szCs w:val="28"/>
        </w:rPr>
        <w:t>90,</w:t>
      </w:r>
      <w:r w:rsidR="0069455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3</w:t>
      </w:r>
      <w:r w:rsidR="003630A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8166C7" w:rsidRPr="003630AF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Хорезмская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область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166C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9455A" w:rsidRPr="0069455A">
        <w:rPr>
          <w:rFonts w:ascii="Times New Roman" w:hAnsi="Times New Roman" w:cs="Times New Roman"/>
          <w:color w:val="1F497D" w:themeColor="text2"/>
          <w:sz w:val="28"/>
          <w:szCs w:val="28"/>
        </w:rPr>
        <w:t>86,1</w:t>
      </w:r>
      <w:r w:rsidR="0069455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8166C7" w:rsidRPr="003630AF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Сырдарьинская 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8166C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03773" w:rsidRPr="00C03773">
        <w:rPr>
          <w:rFonts w:ascii="Times New Roman" w:hAnsi="Times New Roman" w:cs="Times New Roman"/>
          <w:color w:val="1F497D" w:themeColor="text2"/>
          <w:sz w:val="28"/>
          <w:szCs w:val="28"/>
        </w:rPr>
        <w:t>84,</w:t>
      </w:r>
      <w:r w:rsidR="0069455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7</w:t>
      </w:r>
      <w:r w:rsidR="003630A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8166C7" w:rsidRPr="003630AF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Ферганская 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8166C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9455A" w:rsidRPr="00C03773">
        <w:rPr>
          <w:rFonts w:ascii="Times New Roman" w:hAnsi="Times New Roman" w:cs="Times New Roman"/>
          <w:color w:val="1F497D" w:themeColor="text2"/>
          <w:sz w:val="28"/>
          <w:szCs w:val="28"/>
        </w:rPr>
        <w:t>84,</w:t>
      </w:r>
      <w:r w:rsidR="0069455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7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8166C7" w:rsidRPr="003630AF" w:rsidRDefault="008166C7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Ташкентская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9455A" w:rsidRPr="0069455A">
        <w:rPr>
          <w:rFonts w:ascii="Times New Roman" w:hAnsi="Times New Roman" w:cs="Times New Roman"/>
          <w:color w:val="1F497D" w:themeColor="text2"/>
          <w:sz w:val="28"/>
          <w:szCs w:val="28"/>
        </w:rPr>
        <w:t>81,3</w:t>
      </w:r>
      <w:r w:rsidR="003630A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8166C7" w:rsidRPr="003630AF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Бухарская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8166C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9455A" w:rsidRPr="00A34C2F">
        <w:rPr>
          <w:rFonts w:ascii="Times New Roman" w:hAnsi="Times New Roman" w:cs="Times New Roman"/>
          <w:color w:val="1F497D" w:themeColor="text2"/>
          <w:sz w:val="28"/>
          <w:szCs w:val="28"/>
        </w:rPr>
        <w:t>80,5</w:t>
      </w:r>
      <w:r w:rsidR="003630A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A331DA" w:rsidRPr="003630AF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Самаркандская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331D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A331DA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A331D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34C2F" w:rsidRPr="00A34C2F">
        <w:rPr>
          <w:rFonts w:ascii="Times New Roman" w:hAnsi="Times New Roman" w:cs="Times New Roman"/>
          <w:color w:val="1F497D" w:themeColor="text2"/>
          <w:sz w:val="28"/>
          <w:szCs w:val="28"/>
        </w:rPr>
        <w:t>79,9</w:t>
      </w:r>
      <w:r w:rsidR="003630A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8166C7" w:rsidRPr="003630AF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proofErr w:type="gramStart"/>
      <w:r w:rsidRPr="00A6707F">
        <w:rPr>
          <w:rFonts w:ascii="Times New Roman" w:hAnsi="Times New Roman" w:cs="Times New Roman"/>
          <w:color w:val="1F497D" w:themeColor="text2"/>
          <w:sz w:val="28"/>
          <w:szCs w:val="28"/>
        </w:rPr>
        <w:t>г.Ташкент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8166C7" w:rsidRP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–</w:t>
      </w:r>
      <w:proofErr w:type="gramEnd"/>
      <w:r w:rsidR="008166C7" w:rsidRP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03773" w:rsidRPr="0017221E">
        <w:rPr>
          <w:rFonts w:ascii="Times New Roman" w:hAnsi="Times New Roman" w:cs="Times New Roman"/>
          <w:color w:val="1F497D" w:themeColor="text2"/>
          <w:sz w:val="28"/>
          <w:szCs w:val="28"/>
        </w:rPr>
        <w:t>76,</w:t>
      </w:r>
      <w:r w:rsidR="00A34C2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5</w:t>
      </w:r>
      <w:r w:rsidR="003630A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</w:p>
    <w:p w:rsidR="00A331DA" w:rsidRPr="00422EBB" w:rsidRDefault="00257F1C" w:rsidP="00DB688A">
      <w:pPr>
        <w:spacing w:after="0" w:line="24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spellStart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Навоийская</w:t>
      </w:r>
      <w:proofErr w:type="spellEnd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331D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A331DA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A331D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03773" w:rsidRPr="0017221E">
        <w:rPr>
          <w:rFonts w:ascii="Times New Roman" w:hAnsi="Times New Roman" w:cs="Times New Roman"/>
          <w:color w:val="1F497D" w:themeColor="text2"/>
          <w:sz w:val="28"/>
          <w:szCs w:val="28"/>
        </w:rPr>
        <w:t>7</w:t>
      </w:r>
      <w:r w:rsidR="00A34C2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6</w:t>
      </w:r>
      <w:r w:rsidR="00C03773" w:rsidRPr="0017221E">
        <w:rPr>
          <w:rFonts w:ascii="Times New Roman" w:hAnsi="Times New Roman" w:cs="Times New Roman"/>
          <w:color w:val="1F497D" w:themeColor="text2"/>
          <w:sz w:val="28"/>
          <w:szCs w:val="28"/>
        </w:rPr>
        <w:t>,</w:t>
      </w:r>
      <w:r w:rsidR="00A34C2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2</w:t>
      </w:r>
      <w:r w:rsidR="003630A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  <w:r w:rsidR="00C03773" w:rsidRPr="0017221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p w:rsidR="005838D7" w:rsidRDefault="00A43EFE" w:rsidP="00DB688A">
      <w:pPr>
        <w:spacing w:after="0" w:line="240" w:lineRule="atLeast"/>
        <w:jc w:val="both"/>
        <w:rPr>
          <w:b/>
          <w:bCs/>
          <w:lang w:val="uz-Latn-UZ"/>
        </w:rPr>
      </w:pPr>
      <w:r w:rsidRPr="00A43EF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Кашкадарьинской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область</w:t>
      </w:r>
      <w:r w:rsidR="00A6707F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A6707F" w:rsidRPr="00A6707F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A6707F" w:rsidRPr="00A6707F">
        <w:t xml:space="preserve"> </w:t>
      </w:r>
      <w:r w:rsidR="00A6707F" w:rsidRPr="00A6707F">
        <w:rPr>
          <w:rFonts w:ascii="Times New Roman" w:hAnsi="Times New Roman" w:cs="Times New Roman"/>
          <w:color w:val="1F497D" w:themeColor="text2"/>
          <w:sz w:val="28"/>
          <w:szCs w:val="28"/>
        </w:rPr>
        <w:t>7</w:t>
      </w:r>
      <w:r w:rsidR="00A34C2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3</w:t>
      </w:r>
      <w:r w:rsidR="00A6707F" w:rsidRPr="00A6707F">
        <w:rPr>
          <w:rFonts w:ascii="Times New Roman" w:hAnsi="Times New Roman" w:cs="Times New Roman"/>
          <w:color w:val="1F497D" w:themeColor="text2"/>
          <w:sz w:val="28"/>
          <w:szCs w:val="28"/>
        </w:rPr>
        <w:t>,</w:t>
      </w:r>
      <w:r w:rsidR="00A34C2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9</w:t>
      </w:r>
      <w:bookmarkStart w:id="0" w:name="_GoBack"/>
      <w:bookmarkEnd w:id="0"/>
      <w:r w:rsidR="00A6707F" w:rsidRPr="00A6707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630A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</w:t>
      </w:r>
      <w:r w:rsidR="00A6707F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</w:p>
    <w:sectPr w:rsidR="005838D7" w:rsidSect="00DB688A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077B2"/>
    <w:rsid w:val="00031B4F"/>
    <w:rsid w:val="00037209"/>
    <w:rsid w:val="00084A57"/>
    <w:rsid w:val="000B11DB"/>
    <w:rsid w:val="000D1149"/>
    <w:rsid w:val="0011476C"/>
    <w:rsid w:val="00123A81"/>
    <w:rsid w:val="0017221E"/>
    <w:rsid w:val="00172B53"/>
    <w:rsid w:val="00181C7E"/>
    <w:rsid w:val="001A27F3"/>
    <w:rsid w:val="001B3DD4"/>
    <w:rsid w:val="00211040"/>
    <w:rsid w:val="002525CC"/>
    <w:rsid w:val="00254AEB"/>
    <w:rsid w:val="00257F1C"/>
    <w:rsid w:val="00275BA1"/>
    <w:rsid w:val="002822B7"/>
    <w:rsid w:val="002B2CC4"/>
    <w:rsid w:val="002B5267"/>
    <w:rsid w:val="002B7271"/>
    <w:rsid w:val="002C485B"/>
    <w:rsid w:val="002D1B7A"/>
    <w:rsid w:val="00357A07"/>
    <w:rsid w:val="003630AF"/>
    <w:rsid w:val="003815E4"/>
    <w:rsid w:val="00392EC4"/>
    <w:rsid w:val="003969AE"/>
    <w:rsid w:val="003D3A0E"/>
    <w:rsid w:val="0041338F"/>
    <w:rsid w:val="004250AF"/>
    <w:rsid w:val="00437FC5"/>
    <w:rsid w:val="0044076B"/>
    <w:rsid w:val="0046683A"/>
    <w:rsid w:val="00475C8A"/>
    <w:rsid w:val="004764AF"/>
    <w:rsid w:val="00480BD9"/>
    <w:rsid w:val="004A1D16"/>
    <w:rsid w:val="004A57E2"/>
    <w:rsid w:val="004C533C"/>
    <w:rsid w:val="00500AF2"/>
    <w:rsid w:val="00502786"/>
    <w:rsid w:val="00523F74"/>
    <w:rsid w:val="00540536"/>
    <w:rsid w:val="00572A11"/>
    <w:rsid w:val="00576D9E"/>
    <w:rsid w:val="005838D7"/>
    <w:rsid w:val="005912E8"/>
    <w:rsid w:val="005929AF"/>
    <w:rsid w:val="005C6435"/>
    <w:rsid w:val="005E739F"/>
    <w:rsid w:val="006023EB"/>
    <w:rsid w:val="006259AE"/>
    <w:rsid w:val="006372BB"/>
    <w:rsid w:val="00663C7B"/>
    <w:rsid w:val="00685212"/>
    <w:rsid w:val="00687BD6"/>
    <w:rsid w:val="00692FBF"/>
    <w:rsid w:val="0069455A"/>
    <w:rsid w:val="006B405E"/>
    <w:rsid w:val="006F18C7"/>
    <w:rsid w:val="00700557"/>
    <w:rsid w:val="00720ECF"/>
    <w:rsid w:val="00721CCE"/>
    <w:rsid w:val="007416DD"/>
    <w:rsid w:val="00751F55"/>
    <w:rsid w:val="00781B12"/>
    <w:rsid w:val="007A51C0"/>
    <w:rsid w:val="007D2D93"/>
    <w:rsid w:val="007E4940"/>
    <w:rsid w:val="008004DD"/>
    <w:rsid w:val="00806E22"/>
    <w:rsid w:val="008166C7"/>
    <w:rsid w:val="00832B51"/>
    <w:rsid w:val="00835ECF"/>
    <w:rsid w:val="00851B52"/>
    <w:rsid w:val="00871936"/>
    <w:rsid w:val="009136FA"/>
    <w:rsid w:val="009142F3"/>
    <w:rsid w:val="00934126"/>
    <w:rsid w:val="0094755A"/>
    <w:rsid w:val="009517AF"/>
    <w:rsid w:val="009D256D"/>
    <w:rsid w:val="00A331DA"/>
    <w:rsid w:val="00A34B36"/>
    <w:rsid w:val="00A34C2F"/>
    <w:rsid w:val="00A43EFE"/>
    <w:rsid w:val="00A4476F"/>
    <w:rsid w:val="00A47BAF"/>
    <w:rsid w:val="00A6707F"/>
    <w:rsid w:val="00AF577C"/>
    <w:rsid w:val="00B33D84"/>
    <w:rsid w:val="00B430DC"/>
    <w:rsid w:val="00BE5741"/>
    <w:rsid w:val="00BE5931"/>
    <w:rsid w:val="00C03773"/>
    <w:rsid w:val="00C10937"/>
    <w:rsid w:val="00C15B49"/>
    <w:rsid w:val="00C3569F"/>
    <w:rsid w:val="00C71889"/>
    <w:rsid w:val="00C82131"/>
    <w:rsid w:val="00C969E1"/>
    <w:rsid w:val="00CF2373"/>
    <w:rsid w:val="00D41F47"/>
    <w:rsid w:val="00D93BAE"/>
    <w:rsid w:val="00DB0B7B"/>
    <w:rsid w:val="00DB688A"/>
    <w:rsid w:val="00DC351F"/>
    <w:rsid w:val="00DC55DB"/>
    <w:rsid w:val="00DE0B7A"/>
    <w:rsid w:val="00E00BB7"/>
    <w:rsid w:val="00E67DBB"/>
    <w:rsid w:val="00E84BCB"/>
    <w:rsid w:val="00EE543C"/>
    <w:rsid w:val="00EF74E8"/>
    <w:rsid w:val="00F031CE"/>
    <w:rsid w:val="00F3786A"/>
    <w:rsid w:val="00F705E9"/>
    <w:rsid w:val="00FA20FE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A05B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8AE2-C169-425A-B085-25EE3910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125</cp:revision>
  <dcterms:created xsi:type="dcterms:W3CDTF">2022-01-07T09:49:00Z</dcterms:created>
  <dcterms:modified xsi:type="dcterms:W3CDTF">2024-06-14T07:11:00Z</dcterms:modified>
</cp:coreProperties>
</file>