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TestBoard 7953 Test Summary</w:t>
      </w:r>
    </w:p>
    <w:p>
      <w:pPr>
        <w:pStyle w:val="Subtitle"/>
      </w:pPr>
      <w:r>
        <w:t>Management report   Updated 9 October 2026</w:t>
      </w:r>
    </w:p>
    <w:p>
      <w:r>
        <w:rPr>
          <w:b/>
        </w:rPr>
        <w:t>The board achieves 16.9 kHz per channel for two full arrays at 20 MHz SPI. At 20 MHz, Vmid insertion greatly reduces manual ghosting: four of six routes show none, while ADC1 shows less than 20% and ADC3 about 5%. The latest four-ADC controls show that channel 11 depends on selection history and SPI speed, while measured Vmid remains stable.</w:t>
      </w:r>
    </w:p>
    <w:p>
      <w:pPr>
        <w:pStyle w:val="Heading2"/>
      </w:pPr>
      <w:r>
        <w:t>Board description</w:t>
      </w:r>
    </w:p>
    <w:p>
      <w:r>
        <w:rPr>
          <w:b w:val="0"/>
        </w:rPr>
        <w:t>Teensy 4.1 with four 16-channel, 12-bit ADS7953 ADCs on two SPI buses; 50 sensor channels, 25 per array. OPA365 unity buffers drive the ADC inputs. REF2025 supplies 2.5 V Vref and 1.25 V Vmid. ADC analog supplies and buffers use USB 5 V through ferrite beads and capacitors.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304"/>
        <w:gridCol w:w="3024"/>
        <w:gridCol w:w="2880"/>
      </w:tblGrid>
      <w:tr>
        <w:trPr>
          <w:cantSplit/>
          <w:tblHeader/>
        </w:trPr>
        <w:tc>
          <w:tcPr>
            <w:tcW w:type="dxa" w:w="1872"/>
            <w:vAlign w:val="center"/>
            <w:tcMar>
              <w:top w:w="48" w:type="dxa"/>
              <w:bottom w:w="48" w:type="dxa"/>
              <w:left w:w="75" w:type="dxa"/>
              <w:right w:w="75" w:type="dxa"/>
            </w:tcMar>
            <w:shd w:fill="244A63"/>
          </w:tcPr>
          <w:p>
            <w:pPr>
              <w:spacing w:after="0" w:line="240" w:lineRule="auto"/>
              <w:jc w:val="left"/>
            </w:pPr>
            <w:r>
              <w:rPr>
                <w:b/>
                <w:color w:val="FFFFFF"/>
                <w:sz w:val="18"/>
              </w:rPr>
              <w:t>Array / ADC</w:t>
            </w:r>
          </w:p>
        </w:tc>
        <w:tc>
          <w:tcPr>
            <w:tcW w:type="dxa" w:w="2304"/>
            <w:vAlign w:val="center"/>
            <w:tcMar>
              <w:top w:w="48" w:type="dxa"/>
              <w:bottom w:w="48" w:type="dxa"/>
              <w:left w:w="75" w:type="dxa"/>
              <w:right w:w="75" w:type="dxa"/>
            </w:tcMar>
            <w:shd w:fill="244A63"/>
          </w:tcPr>
          <w:p>
            <w:pPr>
              <w:spacing w:after="0" w:line="240" w:lineRule="auto"/>
              <w:jc w:val="center"/>
            </w:pPr>
            <w:r>
              <w:rPr>
                <w:b/>
                <w:color w:val="FFFFFF"/>
                <w:sz w:val="18"/>
              </w:rPr>
              <w:t>Shared Vmid bias</w:t>
            </w:r>
          </w:p>
        </w:tc>
        <w:tc>
          <w:tcPr>
            <w:tcW w:type="dxa" w:w="3024"/>
            <w:vAlign w:val="center"/>
            <w:tcMar>
              <w:top w:w="48" w:type="dxa"/>
              <w:bottom w:w="48" w:type="dxa"/>
              <w:left w:w="75" w:type="dxa"/>
              <w:right w:w="75" w:type="dxa"/>
            </w:tcMar>
            <w:shd w:fill="244A63"/>
          </w:tcPr>
          <w:p>
            <w:pPr>
              <w:spacing w:after="0" w:line="240" w:lineRule="auto"/>
              <w:jc w:val="center"/>
            </w:pPr>
            <w:r>
              <w:rPr>
                <w:b/>
                <w:color w:val="FFFFFF"/>
                <w:sz w:val="18"/>
              </w:rPr>
              <w:t>Connector channels</w:t>
            </w:r>
          </w:p>
        </w:tc>
        <w:tc>
          <w:tcPr>
            <w:tcW w:type="dxa" w:w="2880"/>
            <w:vAlign w:val="center"/>
            <w:tcMar>
              <w:top w:w="48" w:type="dxa"/>
              <w:bottom w:w="48" w:type="dxa"/>
              <w:left w:w="75" w:type="dxa"/>
              <w:right w:w="75" w:type="dxa"/>
            </w:tcMar>
            <w:shd w:fill="244A63"/>
          </w:tcPr>
          <w:p>
            <w:pPr>
              <w:spacing w:after="0" w:line="240" w:lineRule="auto"/>
              <w:jc w:val="center"/>
            </w:pPr>
            <w:r>
              <w:rPr>
                <w:b/>
                <w:color w:val="FFFFFF"/>
                <w:sz w:val="18"/>
              </w:rPr>
              <w:t>PZT groups</w:t>
            </w:r>
          </w:p>
        </w:tc>
      </w:tr>
      <w:tr>
        <w:trPr>
          <w:cantSplit/>
        </w:trPr>
        <w:tc>
          <w:tcPr>
            <w:tcW w:type="dxa" w:w="1872"/>
            <w:vAlign w:val="center"/>
            <w:tcMar>
              <w:top w:w="48" w:type="dxa"/>
              <w:bottom w:w="48" w:type="dxa"/>
              <w:left w:w="75" w:type="dxa"/>
              <w:right w:w="75" w:type="dxa"/>
            </w:tcMar>
            <w:shd w:fill="FFFFFF"/>
          </w:tcPr>
          <w:p>
            <w:pPr>
              <w:spacing w:after="0" w:line="240" w:lineRule="auto"/>
              <w:jc w:val="left"/>
            </w:pPr>
            <w:r>
              <w:rPr>
                <w:b w:val="0"/>
                <w:color w:val="000000"/>
                <w:sz w:val="18"/>
              </w:rPr>
              <w:t>1 / ADC1</w:t>
            </w:r>
          </w:p>
        </w:tc>
        <w:tc>
          <w:tcPr>
            <w:tcW w:type="dxa" w:w="2304"/>
            <w:vAlign w:val="center"/>
            <w:tcMar>
              <w:top w:w="48" w:type="dxa"/>
              <w:bottom w:w="48" w:type="dxa"/>
              <w:left w:w="75" w:type="dxa"/>
              <w:right w:w="75" w:type="dxa"/>
            </w:tcMar>
            <w:shd w:fill="FFFFFF"/>
          </w:tcPr>
          <w:p>
            <w:pPr>
              <w:spacing w:after="0" w:line="240" w:lineRule="auto"/>
              <w:jc w:val="center"/>
            </w:pPr>
            <w:r>
              <w:rPr>
                <w:b w:val="0"/>
                <w:color w:val="000000"/>
                <w:sz w:val="18"/>
              </w:rPr>
              <w:t>1 MΩ</w:t>
            </w:r>
          </w:p>
        </w:tc>
        <w:tc>
          <w:tcPr>
            <w:tcW w:type="dxa" w:w="3024"/>
            <w:vAlign w:val="center"/>
            <w:tcMar>
              <w:top w:w="48" w:type="dxa"/>
              <w:bottom w:w="48" w:type="dxa"/>
              <w:left w:w="75" w:type="dxa"/>
              <w:right w:w="75" w:type="dxa"/>
            </w:tcMar>
            <w:shd w:fill="FFFFFF"/>
          </w:tcPr>
          <w:p>
            <w:pPr>
              <w:spacing w:after="0" w:line="240" w:lineRule="auto"/>
              <w:jc w:val="center"/>
            </w:pPr>
            <w:r>
              <w:rPr>
                <w:b w:val="0"/>
                <w:color w:val="000000"/>
                <w:sz w:val="18"/>
              </w:rPr>
              <w:t>0-9</w:t>
            </w:r>
          </w:p>
        </w:tc>
        <w:tc>
          <w:tcPr>
            <w:tcW w:type="dxa" w:w="2880"/>
            <w:vAlign w:val="center"/>
            <w:tcMar>
              <w:top w:w="48" w:type="dxa"/>
              <w:bottom w:w="48" w:type="dxa"/>
              <w:left w:w="75" w:type="dxa"/>
              <w:right w:w="75" w:type="dxa"/>
            </w:tcMar>
            <w:shd w:fill="FFFFFF"/>
          </w:tcPr>
          <w:p>
            <w:pPr>
              <w:spacing w:after="0" w:line="240" w:lineRule="auto"/>
              <w:jc w:val="center"/>
            </w:pPr>
            <w:r>
              <w:rPr>
                <w:b w:val="0"/>
                <w:color w:val="000000"/>
                <w:sz w:val="18"/>
              </w:rPr>
              <w:t>6, 7</w:t>
            </w:r>
          </w:p>
        </w:tc>
      </w:tr>
      <w:tr>
        <w:trPr>
          <w:cantSplit/>
        </w:trPr>
        <w:tc>
          <w:tcPr>
            <w:tcW w:type="dxa" w:w="1872"/>
            <w:vAlign w:val="center"/>
            <w:tcMar>
              <w:top w:w="48" w:type="dxa"/>
              <w:bottom w:w="48" w:type="dxa"/>
              <w:left w:w="75" w:type="dxa"/>
              <w:right w:w="75" w:type="dxa"/>
            </w:tcMar>
            <w:shd w:fill="F2F5F7"/>
          </w:tcPr>
          <w:p>
            <w:pPr>
              <w:spacing w:after="0" w:line="240" w:lineRule="auto"/>
              <w:jc w:val="left"/>
            </w:pPr>
            <w:r>
              <w:rPr>
                <w:b w:val="0"/>
                <w:color w:val="000000"/>
                <w:sz w:val="18"/>
              </w:rPr>
              <w:t>1 / ADC2</w:t>
            </w:r>
          </w:p>
        </w:tc>
        <w:tc>
          <w:tcPr>
            <w:tcW w:type="dxa" w:w="2304"/>
            <w:vAlign w:val="center"/>
            <w:tcMar>
              <w:top w:w="48" w:type="dxa"/>
              <w:bottom w:w="48" w:type="dxa"/>
              <w:left w:w="75" w:type="dxa"/>
              <w:right w:w="75" w:type="dxa"/>
            </w:tcMar>
            <w:shd w:fill="F2F5F7"/>
          </w:tcPr>
          <w:p>
            <w:pPr>
              <w:spacing w:after="0" w:line="240" w:lineRule="auto"/>
              <w:jc w:val="center"/>
            </w:pPr>
            <w:r>
              <w:rPr>
                <w:b w:val="0"/>
                <w:color w:val="000000"/>
                <w:sz w:val="18"/>
              </w:rPr>
              <w:t>470 kΩ</w:t>
            </w:r>
          </w:p>
        </w:tc>
        <w:tc>
          <w:tcPr>
            <w:tcW w:type="dxa" w:w="3024"/>
            <w:vAlign w:val="center"/>
            <w:tcMar>
              <w:top w:w="48" w:type="dxa"/>
              <w:bottom w:w="48" w:type="dxa"/>
              <w:left w:w="75" w:type="dxa"/>
              <w:right w:w="75" w:type="dxa"/>
            </w:tcMar>
            <w:shd w:fill="F2F5F7"/>
          </w:tcPr>
          <w:p>
            <w:pPr>
              <w:spacing w:after="0" w:line="240" w:lineRule="auto"/>
              <w:jc w:val="center"/>
            </w:pPr>
            <w:r>
              <w:rPr>
                <w:b w:val="0"/>
                <w:color w:val="000000"/>
                <w:sz w:val="18"/>
              </w:rPr>
              <w:t>0-14</w:t>
            </w:r>
          </w:p>
        </w:tc>
        <w:tc>
          <w:tcPr>
            <w:tcW w:type="dxa" w:w="2880"/>
            <w:vAlign w:val="center"/>
            <w:tcMar>
              <w:top w:w="48" w:type="dxa"/>
              <w:bottom w:w="48" w:type="dxa"/>
              <w:left w:w="75" w:type="dxa"/>
              <w:right w:w="75" w:type="dxa"/>
            </w:tcMar>
            <w:shd w:fill="F2F5F7"/>
          </w:tcPr>
          <w:p>
            <w:pPr>
              <w:spacing w:after="0" w:line="240" w:lineRule="auto"/>
              <w:jc w:val="center"/>
            </w:pPr>
            <w:r>
              <w:rPr>
                <w:b w:val="0"/>
                <w:color w:val="000000"/>
                <w:sz w:val="18"/>
              </w:rPr>
              <w:t>1, 3, 5</w:t>
            </w:r>
          </w:p>
        </w:tc>
      </w:tr>
      <w:tr>
        <w:trPr>
          <w:cantSplit/>
        </w:trPr>
        <w:tc>
          <w:tcPr>
            <w:tcW w:type="dxa" w:w="1872"/>
            <w:vAlign w:val="center"/>
            <w:tcMar>
              <w:top w:w="48" w:type="dxa"/>
              <w:bottom w:w="48" w:type="dxa"/>
              <w:left w:w="75" w:type="dxa"/>
              <w:right w:w="75" w:type="dxa"/>
            </w:tcMar>
            <w:shd w:fill="FFFFFF"/>
          </w:tcPr>
          <w:p>
            <w:pPr>
              <w:spacing w:after="0" w:line="240" w:lineRule="auto"/>
              <w:jc w:val="left"/>
            </w:pPr>
            <w:r>
              <w:rPr>
                <w:b w:val="0"/>
                <w:color w:val="000000"/>
                <w:sz w:val="18"/>
              </w:rPr>
              <w:t>2 / ADC3</w:t>
            </w:r>
          </w:p>
        </w:tc>
        <w:tc>
          <w:tcPr>
            <w:tcW w:type="dxa" w:w="2304"/>
            <w:vAlign w:val="center"/>
            <w:tcMar>
              <w:top w:w="48" w:type="dxa"/>
              <w:bottom w:w="48" w:type="dxa"/>
              <w:left w:w="75" w:type="dxa"/>
              <w:right w:w="75" w:type="dxa"/>
            </w:tcMar>
            <w:shd w:fill="FFFFFF"/>
          </w:tcPr>
          <w:p>
            <w:pPr>
              <w:spacing w:after="0" w:line="240" w:lineRule="auto"/>
              <w:jc w:val="center"/>
            </w:pPr>
            <w:r>
              <w:rPr>
                <w:b w:val="0"/>
                <w:color w:val="000000"/>
                <w:sz w:val="18"/>
              </w:rPr>
              <w:t>470 kΩ</w:t>
            </w:r>
          </w:p>
        </w:tc>
        <w:tc>
          <w:tcPr>
            <w:tcW w:type="dxa" w:w="3024"/>
            <w:vAlign w:val="center"/>
            <w:tcMar>
              <w:top w:w="48" w:type="dxa"/>
              <w:bottom w:w="48" w:type="dxa"/>
              <w:left w:w="75" w:type="dxa"/>
              <w:right w:w="75" w:type="dxa"/>
            </w:tcMar>
            <w:shd w:fill="FFFFFF"/>
          </w:tcPr>
          <w:p>
            <w:pPr>
              <w:spacing w:after="0" w:line="240" w:lineRule="auto"/>
              <w:jc w:val="center"/>
            </w:pPr>
            <w:r>
              <w:rPr>
                <w:b w:val="0"/>
                <w:color w:val="000000"/>
                <w:sz w:val="18"/>
              </w:rPr>
              <w:t>0-9</w:t>
            </w:r>
          </w:p>
        </w:tc>
        <w:tc>
          <w:tcPr>
            <w:tcW w:type="dxa" w:w="2880"/>
            <w:vAlign w:val="center"/>
            <w:tcMar>
              <w:top w:w="48" w:type="dxa"/>
              <w:bottom w:w="48" w:type="dxa"/>
              <w:left w:w="75" w:type="dxa"/>
              <w:right w:w="75" w:type="dxa"/>
            </w:tcMar>
            <w:shd w:fill="FFFFFF"/>
          </w:tcPr>
          <w:p>
            <w:pPr>
              <w:spacing w:after="0" w:line="240" w:lineRule="auto"/>
              <w:jc w:val="center"/>
            </w:pPr>
            <w:r>
              <w:rPr>
                <w:b w:val="0"/>
                <w:color w:val="000000"/>
                <w:sz w:val="18"/>
              </w:rPr>
              <w:t>6, 7</w:t>
            </w:r>
          </w:p>
        </w:tc>
      </w:tr>
      <w:tr>
        <w:trPr>
          <w:cantSplit/>
        </w:trPr>
        <w:tc>
          <w:tcPr>
            <w:tcW w:type="dxa" w:w="1872"/>
            <w:vAlign w:val="center"/>
            <w:tcMar>
              <w:top w:w="48" w:type="dxa"/>
              <w:bottom w:w="48" w:type="dxa"/>
              <w:left w:w="75" w:type="dxa"/>
              <w:right w:w="75" w:type="dxa"/>
            </w:tcMar>
            <w:shd w:fill="F2F5F7"/>
          </w:tcPr>
          <w:p>
            <w:pPr>
              <w:spacing w:after="0" w:line="240" w:lineRule="auto"/>
              <w:jc w:val="left"/>
            </w:pPr>
            <w:r>
              <w:rPr>
                <w:b w:val="0"/>
                <w:color w:val="000000"/>
                <w:sz w:val="18"/>
              </w:rPr>
              <w:t>2 / ADC4</w:t>
            </w:r>
          </w:p>
        </w:tc>
        <w:tc>
          <w:tcPr>
            <w:tcW w:type="dxa" w:w="2304"/>
            <w:vAlign w:val="center"/>
            <w:tcMar>
              <w:top w:w="48" w:type="dxa"/>
              <w:bottom w:w="48" w:type="dxa"/>
              <w:left w:w="75" w:type="dxa"/>
              <w:right w:w="75" w:type="dxa"/>
            </w:tcMar>
            <w:shd w:fill="F2F5F7"/>
          </w:tcPr>
          <w:p>
            <w:pPr>
              <w:spacing w:after="0" w:line="240" w:lineRule="auto"/>
              <w:jc w:val="center"/>
            </w:pPr>
            <w:r>
              <w:rPr>
                <w:b w:val="0"/>
                <w:color w:val="000000"/>
                <w:sz w:val="18"/>
              </w:rPr>
              <w:t>249 kΩ</w:t>
            </w:r>
          </w:p>
        </w:tc>
        <w:tc>
          <w:tcPr>
            <w:tcW w:type="dxa" w:w="3024"/>
            <w:vAlign w:val="center"/>
            <w:tcMar>
              <w:top w:w="48" w:type="dxa"/>
              <w:bottom w:w="48" w:type="dxa"/>
              <w:left w:w="75" w:type="dxa"/>
              <w:right w:w="75" w:type="dxa"/>
            </w:tcMar>
            <w:shd w:fill="F2F5F7"/>
          </w:tcPr>
          <w:p>
            <w:pPr>
              <w:spacing w:after="0" w:line="240" w:lineRule="auto"/>
              <w:jc w:val="center"/>
            </w:pPr>
            <w:r>
              <w:rPr>
                <w:b w:val="0"/>
                <w:color w:val="000000"/>
                <w:sz w:val="18"/>
              </w:rPr>
              <w:t>0-14</w:t>
            </w:r>
          </w:p>
        </w:tc>
        <w:tc>
          <w:tcPr>
            <w:tcW w:type="dxa" w:w="2880"/>
            <w:vAlign w:val="center"/>
            <w:tcMar>
              <w:top w:w="48" w:type="dxa"/>
              <w:bottom w:w="48" w:type="dxa"/>
              <w:left w:w="75" w:type="dxa"/>
              <w:right w:w="75" w:type="dxa"/>
            </w:tcMar>
            <w:shd w:fill="F2F5F7"/>
          </w:tcPr>
          <w:p>
            <w:pPr>
              <w:spacing w:after="0" w:line="240" w:lineRule="auto"/>
              <w:jc w:val="center"/>
            </w:pPr>
            <w:r>
              <w:rPr>
                <w:b w:val="0"/>
                <w:color w:val="000000"/>
                <w:sz w:val="18"/>
              </w:rPr>
              <w:t>1, 3, 5</w:t>
            </w:r>
          </w:p>
        </w:tc>
      </w:tr>
    </w:tbl>
    <w:p>
      <w:pPr>
        <w:spacing w:after="0"/>
      </w:pPr>
    </w:p>
    <w:p>
      <w:r>
        <w:rPr>
          <w:b w:val="0"/>
          <w:sz w:val="18"/>
        </w:rPr>
        <w:t>One resistor biases each shared MXO / buffer input; individual disconnected MUX inputs are floating. Channel 15 is the Vmid reference. ADC3/4 are the first/second ADCs of Array 2.</w:t>
      </w:r>
    </w:p>
    <w:p>
      <w:pPr>
        <w:pStyle w:val="Heading2"/>
      </w:pPr>
      <w:r>
        <w:t>Tests performed</w:t>
      </w:r>
    </w:p>
    <w:p>
      <w:r>
        <w:rPr>
          <w:b w:val="0"/>
          <w:sz w:val="18"/>
        </w:rPr>
        <w:t>Sampling and timing across engines, arrays and 5-30 MHz; USB stalls and GUI replay; charger/battery and scope controls; scan-order and continuous-selection controls; 40 four-ADC channel-11/reference captures; manual pressing with Vmid off at 5/10/20 MHz and on at 20 MHz.</w:t>
      </w:r>
    </w:p>
    <w:p>
      <w:pPr>
        <w:keepNext/>
        <w:spacing w:after="40"/>
      </w:pPr>
      <w:r>
        <w:drawing>
          <wp:inline xmlns:a="http://schemas.openxmlformats.org/drawingml/2006/main" xmlns:pic="http://schemas.openxmlformats.org/drawingml/2006/picture">
            <wp:extent cx="6217920" cy="2020824"/>
            <wp:docPr id="1" name="Picture 1"/>
            <wp:cNvGraphicFramePr>
              <a:graphicFrameLocks noChangeAspect="1"/>
            </wp:cNvGraphicFramePr>
            <a:graphic>
              <a:graphicData uri="http://schemas.openxmlformats.org/drawingml/2006/picture">
                <pic:pic>
                  <pic:nvPicPr>
                    <pic:cNvPr id="0" name="performance.png"/>
                    <pic:cNvPicPr/>
                  </pic:nvPicPr>
                  <pic:blipFill>
                    <a:blip r:embed="rId11"/>
                    <a:stretch>
                      <a:fillRect/>
                    </a:stretch>
                  </pic:blipFill>
                  <pic:spPr>
                    <a:xfrm>
                      <a:off x="0" y="0"/>
                      <a:ext cx="6217920" cy="2020824"/>
                    </a:xfrm>
                    <a:prstGeom prst="rect"/>
                  </pic:spPr>
                </pic:pic>
              </a:graphicData>
            </a:graphic>
          </wp:inline>
        </w:drawing>
      </w:r>
    </w:p>
    <w:p>
      <w:pPr>
        <w:pStyle w:val="Caption"/>
      </w:pPr>
      <w:r>
        <w:t>Figure 1  Latest manual sampling results, Vmid insertion off. Median sustained rates from three captures per configuration. 30 MHz is experimental. Manual LPSPI at 20 MHz is 60.5% faster than the original firmware.</w:t>
      </w:r>
    </w:p>
    <w:p>
      <w:pPr>
        <w:pStyle w:val="Heading1"/>
        <w:pageBreakBefore/>
      </w:pPr>
      <w:r>
        <w:t>Sampling rates and timing</w:t>
      </w:r>
    </w:p>
    <w:p>
      <w:r>
        <w:rPr>
          <w:b w:val="0"/>
          <w:sz w:val="18"/>
        </w:rPr>
        <w:t>Rate is sustained received sweeps per second, equal to samples per second per channel. Sweep is mean ADC acquisition time; Total is device elapsed time per received sweep, including overhead and any omitted transmissions. Overhead = Total − Sweep. These are device timings, not PC export time. Table values are medians of three repetitions.</w:t>
      </w:r>
    </w:p>
    <w:p>
      <w:pPr>
        <w:pStyle w:val="Heading2"/>
      </w:pPr>
      <w:r>
        <w:t>Latest firmware with Vmid insertion 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06"/>
        <w:gridCol w:w="1411"/>
        <w:gridCol w:w="1454"/>
        <w:gridCol w:w="1454"/>
        <w:gridCol w:w="1670"/>
        <w:gridCol w:w="1627"/>
      </w:tblGrid>
      <w:tr>
        <w:trPr>
          <w:cantSplit/>
          <w:tblHeader/>
        </w:trPr>
        <w:tc>
          <w:tcPr>
            <w:tcW w:type="dxa" w:w="1656"/>
            <w:vAlign w:val="center"/>
            <w:tcMar>
              <w:top w:w="48" w:type="dxa"/>
              <w:bottom w:w="48" w:type="dxa"/>
              <w:left w:w="75" w:type="dxa"/>
              <w:right w:w="75" w:type="dxa"/>
            </w:tcMar>
            <w:shd w:fill="244A63"/>
          </w:tcPr>
          <w:p>
            <w:pPr>
              <w:spacing w:after="0" w:line="240" w:lineRule="auto"/>
              <w:jc w:val="left"/>
            </w:pPr>
            <w:r>
              <w:rPr>
                <w:b/>
                <w:color w:val="FFFFFF"/>
                <w:sz w:val="18"/>
              </w:rPr>
              <w:t>Selection</w:t>
            </w:r>
          </w:p>
        </w:tc>
        <w:tc>
          <w:tcPr>
            <w:tcW w:type="dxa" w:w="806"/>
            <w:vAlign w:val="center"/>
            <w:tcMar>
              <w:top w:w="48" w:type="dxa"/>
              <w:bottom w:w="48" w:type="dxa"/>
              <w:left w:w="75" w:type="dxa"/>
              <w:right w:w="75" w:type="dxa"/>
            </w:tcMar>
            <w:shd w:fill="244A63"/>
          </w:tcPr>
          <w:p>
            <w:pPr>
              <w:spacing w:after="0" w:line="240" w:lineRule="auto"/>
              <w:jc w:val="center"/>
            </w:pPr>
            <w:r>
              <w:rPr>
                <w:b/>
                <w:color w:val="FFFFFF"/>
                <w:sz w:val="18"/>
              </w:rPr>
              <w:t>SPI</w:t>
              <w:br/>
              <w:t>MHz</w:t>
            </w:r>
          </w:p>
        </w:tc>
        <w:tc>
          <w:tcPr>
            <w:tcW w:type="dxa" w:w="1411"/>
            <w:vAlign w:val="center"/>
            <w:tcMar>
              <w:top w:w="48" w:type="dxa"/>
              <w:bottom w:w="48" w:type="dxa"/>
              <w:left w:w="75" w:type="dxa"/>
              <w:right w:w="75" w:type="dxa"/>
            </w:tcMar>
            <w:shd w:fill="244A63"/>
          </w:tcPr>
          <w:p>
            <w:pPr>
              <w:spacing w:after="0" w:line="240" w:lineRule="auto"/>
              <w:jc w:val="center"/>
            </w:pPr>
            <w:r>
              <w:rPr>
                <w:b/>
                <w:color w:val="FFFFFF"/>
                <w:sz w:val="18"/>
              </w:rPr>
              <w:t>Rate</w:t>
              <w:br/>
              <w:t>kHz per ch</w:t>
            </w:r>
          </w:p>
        </w:tc>
        <w:tc>
          <w:tcPr>
            <w:tcW w:type="dxa" w:w="1454"/>
            <w:vAlign w:val="center"/>
            <w:tcMar>
              <w:top w:w="48" w:type="dxa"/>
              <w:bottom w:w="48" w:type="dxa"/>
              <w:left w:w="75" w:type="dxa"/>
              <w:right w:w="75" w:type="dxa"/>
            </w:tcMar>
            <w:shd w:fill="244A63"/>
          </w:tcPr>
          <w:p>
            <w:pPr>
              <w:spacing w:after="0" w:line="240" w:lineRule="auto"/>
              <w:jc w:val="center"/>
            </w:pPr>
            <w:r>
              <w:rPr>
                <w:b/>
                <w:color w:val="FFFFFF"/>
                <w:sz w:val="18"/>
              </w:rPr>
              <w:t>Sweep</w:t>
              <w:br/>
              <w:t>µs</w:t>
            </w:r>
          </w:p>
        </w:tc>
        <w:tc>
          <w:tcPr>
            <w:tcW w:type="dxa" w:w="1454"/>
            <w:vAlign w:val="center"/>
            <w:tcMar>
              <w:top w:w="48" w:type="dxa"/>
              <w:bottom w:w="48" w:type="dxa"/>
              <w:left w:w="75" w:type="dxa"/>
              <w:right w:w="75" w:type="dxa"/>
            </w:tcMar>
            <w:shd w:fill="244A63"/>
          </w:tcPr>
          <w:p>
            <w:pPr>
              <w:spacing w:after="0" w:line="240" w:lineRule="auto"/>
              <w:jc w:val="center"/>
            </w:pPr>
            <w:r>
              <w:rPr>
                <w:b/>
                <w:color w:val="FFFFFF"/>
                <w:sz w:val="18"/>
              </w:rPr>
              <w:t>Total</w:t>
              <w:br/>
              <w:t>µs</w:t>
            </w:r>
          </w:p>
        </w:tc>
        <w:tc>
          <w:tcPr>
            <w:tcW w:type="dxa" w:w="1670"/>
            <w:vAlign w:val="center"/>
            <w:tcMar>
              <w:top w:w="48" w:type="dxa"/>
              <w:bottom w:w="48" w:type="dxa"/>
              <w:left w:w="75" w:type="dxa"/>
              <w:right w:w="75" w:type="dxa"/>
            </w:tcMar>
            <w:shd w:fill="244A63"/>
          </w:tcPr>
          <w:p>
            <w:pPr>
              <w:spacing w:after="0" w:line="240" w:lineRule="auto"/>
              <w:jc w:val="center"/>
            </w:pPr>
            <w:r>
              <w:rPr>
                <w:b/>
                <w:color w:val="FFFFFF"/>
                <w:sz w:val="18"/>
              </w:rPr>
              <w:t>Overhead</w:t>
              <w:br/>
              <w:t>µs</w:t>
            </w:r>
          </w:p>
        </w:tc>
        <w:tc>
          <w:tcPr>
            <w:tcW w:type="dxa" w:w="1627"/>
            <w:vAlign w:val="center"/>
            <w:tcMar>
              <w:top w:w="48" w:type="dxa"/>
              <w:bottom w:w="48" w:type="dxa"/>
              <w:left w:w="75" w:type="dxa"/>
              <w:right w:w="75" w:type="dxa"/>
            </w:tcMar>
            <w:shd w:fill="244A63"/>
          </w:tcPr>
          <w:p>
            <w:pPr>
              <w:spacing w:after="0" w:line="240" w:lineRule="auto"/>
              <w:jc w:val="center"/>
            </w:pPr>
            <w:r>
              <w:rPr>
                <w:b/>
                <w:color w:val="FFFFFF"/>
                <w:sz w:val="18"/>
              </w:rPr>
              <w:t>Clock gain</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12.12</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81.0</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82.5</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1.5</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16.89</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57.7</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59.2</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1.6</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+39.3%</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19.39</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50.0</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51.6</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1.6</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+14.8%</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15.43</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63.5</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64.8</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24.04</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40.3</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41.6</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+55.8%</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29.53</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32.6</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33.9</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+22.8%</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15.36</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63.8</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65.1</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23.87</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40.6</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41.9</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+55.4%</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29.28</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32.9</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34.2</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+22.6%</w:t>
            </w:r>
          </w:p>
        </w:tc>
      </w:tr>
    </w:tbl>
    <w:p>
      <w:pPr>
        <w:spacing w:after="0"/>
      </w:pPr>
    </w:p>
    <w:p>
      <w:r>
        <w:rPr>
          <w:b w:val="0"/>
          <w:sz w:val="18"/>
        </w:rPr>
        <w:t>Both arrays = 50 channels; each single array = 25. Clock gain compares 20 with 10 MHz, or 30 with 20 MHz, within the same selection and firmware family. Doubling SPI clock does not double the sampling rate.</w:t>
      </w:r>
    </w:p>
    <w:p>
      <w:pPr>
        <w:pStyle w:val="Heading2"/>
      </w:pPr>
      <w:r>
        <w:t>Earlier firmware with Vmid insertion on</w:t>
      </w:r>
    </w:p>
    <w:p>
      <w:r>
        <w:rPr>
          <w:b/>
          <w:sz w:val="18"/>
        </w:rPr>
        <w:t>Historical 1 October measurements below predate the firmware optimizations and USB repair. They establish the tested Vmid-on clock trend but must not be compared directly with the table above as the cost of toggling Vmid today.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06"/>
        <w:gridCol w:w="1411"/>
        <w:gridCol w:w="1454"/>
        <w:gridCol w:w="1454"/>
        <w:gridCol w:w="1670"/>
        <w:gridCol w:w="1627"/>
      </w:tblGrid>
      <w:tr>
        <w:trPr>
          <w:cantSplit/>
          <w:tblHeader/>
        </w:trPr>
        <w:tc>
          <w:tcPr>
            <w:tcW w:type="dxa" w:w="1656"/>
            <w:vAlign w:val="center"/>
            <w:tcMar>
              <w:top w:w="48" w:type="dxa"/>
              <w:bottom w:w="48" w:type="dxa"/>
              <w:left w:w="75" w:type="dxa"/>
              <w:right w:w="75" w:type="dxa"/>
            </w:tcMar>
            <w:shd w:fill="244A63"/>
          </w:tcPr>
          <w:p>
            <w:pPr>
              <w:spacing w:after="0" w:line="240" w:lineRule="auto"/>
              <w:jc w:val="left"/>
            </w:pPr>
            <w:r>
              <w:rPr>
                <w:b/>
                <w:color w:val="FFFFFF"/>
                <w:sz w:val="18"/>
              </w:rPr>
              <w:t>Selection</w:t>
            </w:r>
          </w:p>
        </w:tc>
        <w:tc>
          <w:tcPr>
            <w:tcW w:type="dxa" w:w="806"/>
            <w:vAlign w:val="center"/>
            <w:tcMar>
              <w:top w:w="48" w:type="dxa"/>
              <w:bottom w:w="48" w:type="dxa"/>
              <w:left w:w="75" w:type="dxa"/>
              <w:right w:w="75" w:type="dxa"/>
            </w:tcMar>
            <w:shd w:fill="244A63"/>
          </w:tcPr>
          <w:p>
            <w:pPr>
              <w:spacing w:after="0" w:line="240" w:lineRule="auto"/>
              <w:jc w:val="center"/>
            </w:pPr>
            <w:r>
              <w:rPr>
                <w:b/>
                <w:color w:val="FFFFFF"/>
                <w:sz w:val="18"/>
              </w:rPr>
              <w:t>SPI</w:t>
              <w:br/>
              <w:t>MHz</w:t>
            </w:r>
          </w:p>
        </w:tc>
        <w:tc>
          <w:tcPr>
            <w:tcW w:type="dxa" w:w="1411"/>
            <w:vAlign w:val="center"/>
            <w:tcMar>
              <w:top w:w="48" w:type="dxa"/>
              <w:bottom w:w="48" w:type="dxa"/>
              <w:left w:w="75" w:type="dxa"/>
              <w:right w:w="75" w:type="dxa"/>
            </w:tcMar>
            <w:shd w:fill="244A63"/>
          </w:tcPr>
          <w:p>
            <w:pPr>
              <w:spacing w:after="0" w:line="240" w:lineRule="auto"/>
              <w:jc w:val="center"/>
            </w:pPr>
            <w:r>
              <w:rPr>
                <w:b/>
                <w:color w:val="FFFFFF"/>
                <w:sz w:val="18"/>
              </w:rPr>
              <w:t>Rate</w:t>
              <w:br/>
              <w:t>kHz per ch</w:t>
            </w:r>
          </w:p>
        </w:tc>
        <w:tc>
          <w:tcPr>
            <w:tcW w:type="dxa" w:w="1454"/>
            <w:vAlign w:val="center"/>
            <w:tcMar>
              <w:top w:w="48" w:type="dxa"/>
              <w:bottom w:w="48" w:type="dxa"/>
              <w:left w:w="75" w:type="dxa"/>
              <w:right w:w="75" w:type="dxa"/>
            </w:tcMar>
            <w:shd w:fill="244A63"/>
          </w:tcPr>
          <w:p>
            <w:pPr>
              <w:spacing w:after="0" w:line="240" w:lineRule="auto"/>
              <w:jc w:val="center"/>
            </w:pPr>
            <w:r>
              <w:rPr>
                <w:b/>
                <w:color w:val="FFFFFF"/>
                <w:sz w:val="18"/>
              </w:rPr>
              <w:t>Sweep</w:t>
              <w:br/>
              <w:t>µs</w:t>
            </w:r>
          </w:p>
        </w:tc>
        <w:tc>
          <w:tcPr>
            <w:tcW w:type="dxa" w:w="1454"/>
            <w:vAlign w:val="center"/>
            <w:tcMar>
              <w:top w:w="48" w:type="dxa"/>
              <w:bottom w:w="48" w:type="dxa"/>
              <w:left w:w="75" w:type="dxa"/>
              <w:right w:w="75" w:type="dxa"/>
            </w:tcMar>
            <w:shd w:fill="244A63"/>
          </w:tcPr>
          <w:p>
            <w:pPr>
              <w:spacing w:after="0" w:line="240" w:lineRule="auto"/>
              <w:jc w:val="center"/>
            </w:pPr>
            <w:r>
              <w:rPr>
                <w:b/>
                <w:color w:val="FFFFFF"/>
                <w:sz w:val="18"/>
              </w:rPr>
              <w:t>Total</w:t>
              <w:br/>
              <w:t>µs</w:t>
            </w:r>
          </w:p>
        </w:tc>
        <w:tc>
          <w:tcPr>
            <w:tcW w:type="dxa" w:w="1670"/>
            <w:vAlign w:val="center"/>
            <w:tcMar>
              <w:top w:w="48" w:type="dxa"/>
              <w:bottom w:w="48" w:type="dxa"/>
              <w:left w:w="75" w:type="dxa"/>
              <w:right w:w="75" w:type="dxa"/>
            </w:tcMar>
            <w:shd w:fill="244A63"/>
          </w:tcPr>
          <w:p>
            <w:pPr>
              <w:spacing w:after="0" w:line="240" w:lineRule="auto"/>
              <w:jc w:val="center"/>
            </w:pPr>
            <w:r>
              <w:rPr>
                <w:b/>
                <w:color w:val="FFFFFF"/>
                <w:sz w:val="18"/>
              </w:rPr>
              <w:t>Overhead</w:t>
              <w:br/>
              <w:t>µs</w:t>
            </w:r>
          </w:p>
        </w:tc>
        <w:tc>
          <w:tcPr>
            <w:tcW w:type="dxa" w:w="1627"/>
            <w:vAlign w:val="center"/>
            <w:tcMar>
              <w:top w:w="48" w:type="dxa"/>
              <w:bottom w:w="48" w:type="dxa"/>
              <w:left w:w="75" w:type="dxa"/>
              <w:right w:w="75" w:type="dxa"/>
            </w:tcMar>
            <w:shd w:fill="244A63"/>
          </w:tcPr>
          <w:p>
            <w:pPr>
              <w:spacing w:after="0" w:line="240" w:lineRule="auto"/>
              <w:jc w:val="center"/>
            </w:pPr>
            <w:r>
              <w:rPr>
                <w:b/>
                <w:color w:val="FFFFFF"/>
                <w:sz w:val="18"/>
              </w:rPr>
              <w:t>Clock gain</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3.46</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285.2</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289.2</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4.0</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4.56</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215.4</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219.5</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4.1</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+31.7%</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4.97</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197.1</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201.4</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4.3</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+9.0%</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4.75</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208.0</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210.4</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2.4</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6.76</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145.1</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148.0</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2.9</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+42.1%</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7.68</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127.4</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130.3</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2.9</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+13.6%</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4.59</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214.4</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217.8</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3.3</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6.53</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150.9</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153.1</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2.2</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+42.2%</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7.85</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124.5</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127.4</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2.9</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+20.2%</w:t>
            </w:r>
          </w:p>
        </w:tc>
      </w:tr>
    </w:tbl>
    <w:p>
      <w:pPr>
        <w:spacing w:after="0"/>
      </w:pPr>
    </w:p>
    <w:p>
      <w:pPr>
        <w:pStyle w:val="Heading2"/>
      </w:pPr>
      <w:r>
        <w:t>Matched Vmid cost and lower clock check</w:t>
      </w:r>
    </w:p>
    <w:p>
      <w:r>
        <w:rPr>
          <w:b w:val="0"/>
          <w:sz w:val="18"/>
        </w:rPr>
        <w:t>With attached sensors at 10 MHz blocking, Vmid off gives 7.35 kHz per channel (134.1 µs sweep, 136.0 µs total, 2.0 µs overhead). Vmid on gives 2.89 kHz (345.0 / 346.0 / 1.0 µs): a 61% rate reduction.</w:t>
      </w:r>
    </w:p>
    <w:p>
      <w:r>
        <w:rPr>
          <w:b w:val="0"/>
          <w:sz w:val="18"/>
        </w:rPr>
        <w:t>Vmid-on inserts two discarded channel 15 conversions between sensor channels; reference values are not added to the transmitted payload.</w:t>
      </w:r>
    </w:p>
    <w:p>
      <w:r>
        <w:rPr>
          <w:b w:val="0"/>
          <w:sz w:val="18"/>
        </w:rPr>
        <w:t>The separate 5 MHz blocking GUI run with both arrays and Vmid off achieved 4.36 kHz per channel (228.0 µs sweep, 229.5 µs total, 1.5 µs overhead). The 10 MHz blocking rate is about 69% higher; the different host capture contexts limit a clock-only attribution.</w:t>
      </w:r>
    </w:p>
    <w:p>
      <w:r>
        <w:rPr>
          <w:b/>
          <w:sz w:val="18"/>
        </w:rPr>
        <w:t>20 MHz is the rated limit and throughput baseline. Manual ghosting is substantial with Vmid off and greatly reduced with Vmid on. Treat 30 MHz as experimental: digital checks passed, but analog level shifts and variation still need validation. [1]</w:t>
      </w:r>
    </w:p>
    <w:p>
      <w:pPr>
        <w:pStyle w:val="Heading1"/>
        <w:pageBreakBefore/>
      </w:pPr>
      <w:r>
        <w:t>Noise and USB power</w:t>
      </w:r>
    </w:p>
    <w:p>
      <w:r>
        <w:rPr>
          <w:b w:val="0"/>
        </w:rPr>
        <w:t>Noise bursts occur together on both arrays and recur about every 1.32 s with the charger connected. They reproduce in standalone benchmarks across all three SPI engines and single-ADC tests. Removing the charger suppresses the regular burst pattern but leaves nearly continuous noise; reconnecting it restores the bursts.</w:t>
      </w:r>
    </w:p>
    <w:p>
      <w:pPr>
        <w:keepNext/>
        <w:spacing w:after="40"/>
      </w:pPr>
      <w:r>
        <w:drawing>
          <wp:inline xmlns:a="http://schemas.openxmlformats.org/drawingml/2006/main" xmlns:pic="http://schemas.openxmlformats.org/drawingml/2006/picture">
            <wp:extent cx="6400800" cy="3072384"/>
            <wp:docPr id="2" name="Picture 2"/>
            <wp:cNvGraphicFramePr>
              <a:graphicFrameLocks noChangeAspect="1"/>
            </wp:cNvGraphicFramePr>
            <a:graphic>
              <a:graphicData uri="http://schemas.openxmlformats.org/drawingml/2006/picture">
                <pic:pic>
                  <pic:nvPicPr>
                    <pic:cNvPr id="0" name="noise_bursts.png"/>
                    <pic:cNvPicPr/>
                  </pic:nvPicPr>
                  <pic:blipFill>
                    <a:blip r:embed="rId12"/>
                    <a:stretch>
                      <a:fillRect/>
                    </a:stretch>
                  </pic:blipFill>
                  <pic:spPr>
                    <a:xfrm>
                      <a:off x="0" y="0"/>
                      <a:ext cx="6400800" cy="3072384"/>
                    </a:xfrm>
                    <a:prstGeom prst="rect"/>
                  </pic:spPr>
                </pic:pic>
              </a:graphicData>
            </a:graphic>
          </wp:inline>
        </w:drawing>
      </w:r>
    </w:p>
    <w:p>
      <w:pPr>
        <w:pStyle w:val="Caption"/>
      </w:pPr>
      <w:r>
        <w:t>Figure 2  Measured ADC input-equivalent AC variation with strips unplugged. Same 10 MHz blocking configuration in three separate 12 s measurement windows; no filtering or interpolation. Each trace is the median of 25 channel standard deviations in 20 ms windows.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38"/>
        <w:gridCol w:w="1498"/>
        <w:gridCol w:w="1498"/>
        <w:gridCol w:w="2074"/>
        <w:gridCol w:w="2074"/>
      </w:tblGrid>
      <w:tr>
        <w:trPr>
          <w:cantSplit/>
          <w:tblHeader/>
        </w:trPr>
        <w:tc>
          <w:tcPr>
            <w:tcW w:type="dxa" w:w="2938"/>
            <w:vAlign w:val="center"/>
            <w:tcMar>
              <w:top w:w="48" w:type="dxa"/>
              <w:bottom w:w="48" w:type="dxa"/>
              <w:left w:w="75" w:type="dxa"/>
              <w:right w:w="75" w:type="dxa"/>
            </w:tcMar>
            <w:shd w:fill="244A63"/>
          </w:tcPr>
          <w:p>
            <w:pPr>
              <w:spacing w:after="0" w:line="240" w:lineRule="auto"/>
              <w:jc w:val="left"/>
            </w:pPr>
            <w:r>
              <w:rPr>
                <w:b/>
                <w:color w:val="FFFFFF"/>
                <w:sz w:val="18"/>
              </w:rPr>
              <w:t>Condition</w:t>
            </w:r>
          </w:p>
        </w:tc>
        <w:tc>
          <w:tcPr>
            <w:tcW w:type="dxa" w:w="1498"/>
            <w:vAlign w:val="center"/>
            <w:tcMar>
              <w:top w:w="48" w:type="dxa"/>
              <w:bottom w:w="48" w:type="dxa"/>
              <w:left w:w="75" w:type="dxa"/>
              <w:right w:w="75" w:type="dxa"/>
            </w:tcMar>
            <w:shd w:fill="244A63"/>
          </w:tcPr>
          <w:p>
            <w:pPr>
              <w:spacing w:after="0" w:line="240" w:lineRule="auto"/>
              <w:jc w:val="center"/>
            </w:pPr>
            <w:r>
              <w:rPr>
                <w:b/>
                <w:color w:val="FFFFFF"/>
                <w:sz w:val="18"/>
              </w:rPr>
              <w:t>A1 RMS</w:t>
              <w:br/>
              <w:t>mV</w:t>
            </w:r>
          </w:p>
        </w:tc>
        <w:tc>
          <w:tcPr>
            <w:tcW w:type="dxa" w:w="1498"/>
            <w:vAlign w:val="center"/>
            <w:tcMar>
              <w:top w:w="48" w:type="dxa"/>
              <w:bottom w:w="48" w:type="dxa"/>
              <w:left w:w="75" w:type="dxa"/>
              <w:right w:w="75" w:type="dxa"/>
            </w:tcMar>
            <w:shd w:fill="244A63"/>
          </w:tcPr>
          <w:p>
            <w:pPr>
              <w:spacing w:after="0" w:line="240" w:lineRule="auto"/>
              <w:jc w:val="center"/>
            </w:pPr>
            <w:r>
              <w:rPr>
                <w:b/>
                <w:color w:val="FFFFFF"/>
                <w:sz w:val="18"/>
              </w:rPr>
              <w:t>A2 RMS</w:t>
              <w:br/>
              <w:t>mV</w:t>
            </w:r>
          </w:p>
        </w:tc>
        <w:tc>
          <w:tcPr>
            <w:tcW w:type="dxa" w:w="2074"/>
            <w:vAlign w:val="center"/>
            <w:tcMar>
              <w:top w:w="48" w:type="dxa"/>
              <w:bottom w:w="48" w:type="dxa"/>
              <w:left w:w="75" w:type="dxa"/>
              <w:right w:w="75" w:type="dxa"/>
            </w:tcMar>
            <w:shd w:fill="244A63"/>
          </w:tcPr>
          <w:p>
            <w:pPr>
              <w:spacing w:after="0" w:line="240" w:lineRule="auto"/>
              <w:jc w:val="center"/>
            </w:pPr>
            <w:r>
              <w:rPr>
                <w:b/>
                <w:color w:val="FFFFFF"/>
                <w:sz w:val="18"/>
              </w:rPr>
              <w:t>A1 peak to peak</w:t>
              <w:br/>
              <w:t>mV</w:t>
            </w:r>
          </w:p>
        </w:tc>
        <w:tc>
          <w:tcPr>
            <w:tcW w:type="dxa" w:w="2074"/>
            <w:vAlign w:val="center"/>
            <w:tcMar>
              <w:top w:w="48" w:type="dxa"/>
              <w:bottom w:w="48" w:type="dxa"/>
              <w:left w:w="75" w:type="dxa"/>
              <w:right w:w="75" w:type="dxa"/>
            </w:tcMar>
            <w:shd w:fill="244A63"/>
          </w:tcPr>
          <w:p>
            <w:pPr>
              <w:spacing w:after="0" w:line="240" w:lineRule="auto"/>
              <w:jc w:val="center"/>
            </w:pPr>
            <w:r>
              <w:rPr>
                <w:b/>
                <w:color w:val="FFFFFF"/>
                <w:sz w:val="18"/>
              </w:rPr>
              <w:t>A2 peak to peak</w:t>
              <w:br/>
              <w:t>mV</w:t>
            </w:r>
          </w:p>
        </w:tc>
      </w:tr>
      <w:tr>
        <w:trPr>
          <w:cantSplit/>
        </w:trPr>
        <w:tc>
          <w:tcPr>
            <w:tcW w:type="dxa" w:w="2938"/>
            <w:vAlign w:val="center"/>
            <w:tcMar>
              <w:top w:w="48" w:type="dxa"/>
              <w:bottom w:w="48" w:type="dxa"/>
              <w:left w:w="75" w:type="dxa"/>
              <w:right w:w="75" w:type="dxa"/>
            </w:tcMar>
            <w:shd w:fill="FFFFFF"/>
          </w:tcPr>
          <w:p>
            <w:pPr>
              <w:spacing w:after="0" w:line="240" w:lineRule="auto"/>
              <w:jc w:val="left"/>
            </w:pPr>
            <w:r>
              <w:rPr>
                <w:b w:val="0"/>
                <w:color w:val="000000"/>
                <w:sz w:val="18"/>
              </w:rPr>
              <w:t>Charger quiet</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0.46</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0.39</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1.83</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1.83</w:t>
            </w:r>
          </w:p>
        </w:tc>
      </w:tr>
      <w:tr>
        <w:trPr>
          <w:cantSplit/>
        </w:trPr>
        <w:tc>
          <w:tcPr>
            <w:tcW w:type="dxa" w:w="2938"/>
            <w:vAlign w:val="center"/>
            <w:tcMar>
              <w:top w:w="48" w:type="dxa"/>
              <w:bottom w:w="48" w:type="dxa"/>
              <w:left w:w="75" w:type="dxa"/>
              <w:right w:w="75" w:type="dxa"/>
            </w:tcMar>
            <w:shd w:fill="F2F5F7"/>
          </w:tcPr>
          <w:p>
            <w:pPr>
              <w:spacing w:after="0" w:line="240" w:lineRule="auto"/>
              <w:jc w:val="left"/>
            </w:pPr>
            <w:r>
              <w:rPr>
                <w:b w:val="0"/>
                <w:color w:val="000000"/>
                <w:sz w:val="18"/>
              </w:rPr>
              <w:t>Charger typical</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0.63</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0.49</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3.05</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2.44</w:t>
            </w:r>
          </w:p>
        </w:tc>
      </w:tr>
      <w:tr>
        <w:trPr>
          <w:cantSplit/>
        </w:trPr>
        <w:tc>
          <w:tcPr>
            <w:tcW w:type="dxa" w:w="2938"/>
            <w:vAlign w:val="center"/>
            <w:tcMar>
              <w:top w:w="48" w:type="dxa"/>
              <w:bottom w:w="48" w:type="dxa"/>
              <w:left w:w="75" w:type="dxa"/>
              <w:right w:w="75" w:type="dxa"/>
            </w:tcMar>
            <w:shd w:fill="FFFFFF"/>
          </w:tcPr>
          <w:p>
            <w:pPr>
              <w:spacing w:after="0" w:line="240" w:lineRule="auto"/>
              <w:jc w:val="left"/>
            </w:pPr>
            <w:r>
              <w:rPr>
                <w:b w:val="0"/>
                <w:color w:val="000000"/>
                <w:sz w:val="18"/>
              </w:rPr>
              <w:t>Charger bursts</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1.24</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0.88</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4.27</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3.05</w:t>
            </w:r>
          </w:p>
        </w:tc>
      </w:tr>
      <w:tr>
        <w:trPr>
          <w:cantSplit/>
        </w:trPr>
        <w:tc>
          <w:tcPr>
            <w:tcW w:type="dxa" w:w="2938"/>
            <w:vAlign w:val="center"/>
            <w:tcMar>
              <w:top w:w="48" w:type="dxa"/>
              <w:bottom w:w="48" w:type="dxa"/>
              <w:left w:w="75" w:type="dxa"/>
              <w:right w:w="75" w:type="dxa"/>
            </w:tcMar>
            <w:shd w:fill="F2F5F7"/>
          </w:tcPr>
          <w:p>
            <w:pPr>
              <w:spacing w:after="0" w:line="240" w:lineRule="auto"/>
              <w:jc w:val="left"/>
            </w:pPr>
            <w:r>
              <w:rPr>
                <w:b w:val="0"/>
                <w:color w:val="000000"/>
                <w:sz w:val="18"/>
              </w:rPr>
              <w:t>Battery typical</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1.26</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0.83</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4.88</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3.05</w:t>
            </w:r>
          </w:p>
        </w:tc>
      </w:tr>
      <w:tr>
        <w:trPr>
          <w:cantSplit/>
        </w:trPr>
        <w:tc>
          <w:tcPr>
            <w:tcW w:type="dxa" w:w="2938"/>
            <w:vAlign w:val="center"/>
            <w:tcMar>
              <w:top w:w="48" w:type="dxa"/>
              <w:bottom w:w="48" w:type="dxa"/>
              <w:left w:w="75" w:type="dxa"/>
              <w:right w:w="75" w:type="dxa"/>
            </w:tcMar>
            <w:shd w:fill="FFFFFF"/>
          </w:tcPr>
          <w:p>
            <w:pPr>
              <w:spacing w:after="0" w:line="240" w:lineRule="auto"/>
              <w:jc w:val="left"/>
            </w:pPr>
            <w:r>
              <w:rPr>
                <w:b w:val="0"/>
                <w:color w:val="000000"/>
                <w:sz w:val="18"/>
              </w:rPr>
              <w:t>Battery high</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1.36</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0.88</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4.88</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3.66</w:t>
            </w:r>
          </w:p>
        </w:tc>
      </w:tr>
      <w:tr>
        <w:trPr>
          <w:cantSplit/>
        </w:trPr>
        <w:tc>
          <w:tcPr>
            <w:tcW w:type="dxa" w:w="2938"/>
            <w:vAlign w:val="center"/>
            <w:tcMar>
              <w:top w:w="48" w:type="dxa"/>
              <w:bottom w:w="48" w:type="dxa"/>
              <w:left w:w="75" w:type="dxa"/>
              <w:right w:w="75" w:type="dxa"/>
            </w:tcMar>
            <w:shd w:fill="F2F5F7"/>
          </w:tcPr>
          <w:p>
            <w:pPr>
              <w:spacing w:after="0" w:line="240" w:lineRule="auto"/>
              <w:jc w:val="left"/>
            </w:pPr>
            <w:r>
              <w:rPr>
                <w:b w:val="0"/>
                <w:color w:val="000000"/>
                <w:sz w:val="18"/>
              </w:rPr>
              <w:t>Charger return bursts</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1.10</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0.80</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4.27</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3.05</w:t>
            </w:r>
          </w:p>
        </w:tc>
      </w:tr>
    </w:tbl>
    <w:p>
      <w:pPr>
        <w:spacing w:after="0"/>
      </w:pPr>
    </w:p>
    <w:p>
      <w:r>
        <w:rPr>
          <w:b w:val="0"/>
          <w:sz w:val="18"/>
        </w:rPr>
        <w:t>RMS is local standard deviation about each channel mean, an estimate of AC RMS variation. Peak to peak is the measured local maximum minus minimum, not a multiple of RMS. Quiet / typical / high mean the 10th / 50th / 95th percentile across 20 ms windows.</w:t>
      </w:r>
    </w:p>
    <w:p>
      <w:r>
        <w:rPr>
          <w:b w:val="0"/>
          <w:sz w:val="18"/>
        </w:rPr>
        <w:t>Typical battery noise is about 2.0× / 1.7× the charger-connected typical level on arrays 1 / 2. Scope measurements after the PCB beads and capacitors show 61.3 mV peak to peak on battery and 53.0 mV with the charger. The displayed approximately 5.14 V RMS includes DC; AC rail RMS is unavailable. The scope sample rates differed, so those ripple amplitudes are indicative rather than a controlled comparison.</w:t>
      </w:r>
    </w:p>
    <w:p>
      <w:r>
        <w:rPr>
          <w:b/>
          <w:sz w:val="18"/>
        </w:rPr>
        <w:t>The evidence links the noise pattern to USB power conditions and supports regulated ADC and buffer supplies in the next board revision. It does not isolate rail ripple from ground coupling or host activity. These separate scope and ADC measurements were not synchronized.</w:t>
      </w:r>
    </w:p>
    <w:p>
      <w:pPr>
        <w:pStyle w:val="Heading1"/>
        <w:pageBreakBefore/>
      </w:pPr>
      <w:r>
        <w:t>Channel 11 all channel baselines</w:t>
      </w:r>
    </w:p>
    <w:p>
      <w:r>
        <w:rPr>
          <w:b w:val="0"/>
          <w:sz w:val="18"/>
        </w:rPr>
        <w:t>The 9 October matrix tested every ADC, channels 0-14, at 5/10/20 MHz with Vmid off/on. Both strips were unplugged, the charger was connected, and manual/blocking/repeat 1 was used. Each run had 1 s warm-up and 12 s measurement.</w:t>
      </w:r>
    </w:p>
    <w:p>
      <w:pPr>
        <w:keepNext/>
        <w:spacing w:after="40"/>
      </w:pPr>
      <w:r>
        <w:drawing>
          <wp:inline xmlns:a="http://schemas.openxmlformats.org/drawingml/2006/main" xmlns:pic="http://schemas.openxmlformats.org/drawingml/2006/picture">
            <wp:extent cx="6217920" cy="5739618"/>
            <wp:docPr id="3" name="Picture 3"/>
            <wp:cNvGraphicFramePr>
              <a:graphicFrameLocks noChangeAspect="1"/>
            </wp:cNvGraphicFramePr>
            <a:graphic>
              <a:graphicData uri="http://schemas.openxmlformats.org/drawingml/2006/picture">
                <pic:pic>
                  <pic:nvPicPr>
                    <pic:cNvPr id="0" name="spi_speed_baselines.png"/>
                    <pic:cNvPicPr/>
                  </pic:nvPicPr>
                  <pic:blipFill>
                    <a:blip r:embed="rId13"/>
                    <a:stretch>
                      <a:fillRect/>
                    </a:stretch>
                  </pic:blipFill>
                  <pic:spPr>
                    <a:xfrm>
                      <a:off x="0" y="0"/>
                      <a:ext cx="6217920" cy="5739618"/>
                    </a:xfrm>
                    <a:prstGeom prst="rect"/>
                  </pic:spPr>
                </pic:pic>
              </a:graphicData>
            </a:graphic>
          </wp:inline>
        </w:drawing>
      </w:r>
    </w:p>
    <w:p>
      <w:pPr>
        <w:pStyle w:val="Caption"/>
      </w:pPr>
      <w:r>
        <w:t>Figure 3  Original all-channel baseline graph from the channel-11 investigation. Rows are ADC1-4; left is Vmid off and right is Vmid on. Each panel overlays 5, 10 and 20 MHz in nominal mV. The shaded band marks channel 11, exposing its dip relative to the other channels.</w:t>
      </w:r>
    </w:p>
    <w:p>
      <w:r>
        <w:rPr>
          <w:b/>
          <w:sz w:val="18"/>
        </w:rPr>
        <w:t>With Vmid off, ADC2/4 show the channel-11 dip; ADC1/3 instead have a deeper channel-12 dip in their unused 10-14 region. With Vmid on, channel 11 is below its neighbors on every ADC. Faster clocks lower the baselines and generally deepen the dip.</w:t>
      </w:r>
    </w:p>
    <w:p>
      <w:pPr>
        <w:pStyle w:val="Heading1"/>
        <w:pageBreakBefore/>
      </w:pPr>
      <w:r>
        <w:t>All channel baselines with Vmid off and on</w:t>
      </w:r>
    </w:p>
    <w:p>
      <w:r>
        <w:rPr>
          <w:b w:val="0"/>
          <w:sz w:val="18"/>
        </w:rPr>
        <w:t>These are the same full 60-route scans, arranged to compare Vmid off/on directly at each SPI clock. All channels 0-14 remain visible; channel 11 is highlighted.</w:t>
      </w:r>
    </w:p>
    <w:p>
      <w:pPr>
        <w:keepNext/>
        <w:spacing w:after="40"/>
      </w:pPr>
      <w:r>
        <w:drawing>
          <wp:inline xmlns:a="http://schemas.openxmlformats.org/drawingml/2006/main" xmlns:pic="http://schemas.openxmlformats.org/drawingml/2006/picture">
            <wp:extent cx="6217920" cy="4663440"/>
            <wp:docPr id="4" name="Picture 4"/>
            <wp:cNvGraphicFramePr>
              <a:graphicFrameLocks noChangeAspect="1"/>
            </wp:cNvGraphicFramePr>
            <a:graphic>
              <a:graphicData uri="http://schemas.openxmlformats.org/drawingml/2006/picture">
                <pic:pic>
                  <pic:nvPicPr>
                    <pic:cNvPr id="0" name="vmid_on_off_baselines.png"/>
                    <pic:cNvPicPr/>
                  </pic:nvPicPr>
                  <pic:blipFill>
                    <a:blip r:embed="rId14"/>
                    <a:stretch>
                      <a:fillRect/>
                    </a:stretch>
                  </pic:blipFill>
                  <pic:spPr>
                    <a:xfrm>
                      <a:off x="0" y="0"/>
                      <a:ext cx="6217920" cy="4663440"/>
                    </a:xfrm>
                    <a:prstGeom prst="rect"/>
                  </pic:spPr>
                </pic:pic>
              </a:graphicData>
            </a:graphic>
          </wp:inline>
        </w:drawing>
      </w:r>
    </w:p>
    <w:p>
      <w:pPr>
        <w:pStyle w:val="Caption"/>
      </w:pPr>
      <w:r>
        <w:t>Figure 4  Original Vmid comparison graph. Rows are ADC1-4; columns are 5, 10 and 20 MHz. Blue is Vmid off and orange is Vmid on. Values are median baselines in nominal mV, using raw code × 2500/4096. The complete channel profile distinguishes an overall baseline shift from the local channel-11 dip.</w:t>
      </w:r>
    </w:p>
    <w:p>
      <w:r>
        <w:rPr>
          <w:b w:val="0"/>
          <w:sz w:val="18"/>
        </w:rPr>
        <w:t>Vmid insertion does not correct channel 11. These disconnected-input results depend on floating-node selection history; they do not establish the effect of Vmid on pressed-sensor ghosting. The later manual tests separately show greatly reduced ghosting with Vmid on at 20 MHz.</w:t>
      </w:r>
    </w:p>
    <w:p>
      <w:pPr>
        <w:pStyle w:val="Heading1"/>
        <w:pageBreakBefore/>
      </w:pPr>
      <w:r>
        <w:t>Channel 11 relative to neighboring channels</w:t>
      </w:r>
    </w:p>
    <w:p>
      <w:r>
        <w:rPr>
          <w:b w:val="0"/>
          <w:sz w:val="18"/>
        </w:rPr>
        <w:t>The full-channel profiles above are summarized here as channel 11 minus the mean of channels 10 and 12. Single-ADC continuous-selection and retained-reference controls are summarized on the next page.</w:t>
      </w:r>
    </w:p>
    <w:p>
      <w:pPr>
        <w:keepNext/>
        <w:spacing w:after="40"/>
      </w:pPr>
      <w:r>
        <w:drawing>
          <wp:inline xmlns:a="http://schemas.openxmlformats.org/drawingml/2006/main" xmlns:pic="http://schemas.openxmlformats.org/drawingml/2006/picture">
            <wp:extent cx="6217920" cy="4304714"/>
            <wp:docPr id="5" name="Picture 5"/>
            <wp:cNvGraphicFramePr>
              <a:graphicFrameLocks noChangeAspect="1"/>
            </wp:cNvGraphicFramePr>
            <a:graphic>
              <a:graphicData uri="http://schemas.openxmlformats.org/drawingml/2006/picture">
                <pic:pic>
                  <pic:nvPicPr>
                    <pic:cNvPr id="0" name="channel11_neighbor_deficit.png"/>
                    <pic:cNvPicPr/>
                  </pic:nvPicPr>
                  <pic:blipFill>
                    <a:blip r:embed="rId15"/>
                    <a:stretch>
                      <a:fillRect/>
                    </a:stretch>
                  </pic:blipFill>
                  <pic:spPr>
                    <a:xfrm>
                      <a:off x="0" y="0"/>
                      <a:ext cx="6217920" cy="4304714"/>
                    </a:xfrm>
                    <a:prstGeom prst="rect"/>
                  </pic:spPr>
                </pic:pic>
              </a:graphicData>
            </a:graphic>
          </wp:inline>
        </w:drawing>
      </w:r>
    </w:p>
    <w:p>
      <w:pPr>
        <w:pStyle w:val="Caption"/>
      </w:pPr>
      <w:r>
        <w:t>Figure 5  Channel 11 minus the mean of channels 10 and 12 in full scans, in mV. Vmid off: channel 11 is lower on ADC2/4, but slightly higher on ADC1/3. Vmid on: all four have a deficit.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944"/>
        <w:gridCol w:w="1944"/>
        <w:gridCol w:w="1944"/>
        <w:gridCol w:w="1944"/>
      </w:tblGrid>
      <w:tr>
        <w:trPr>
          <w:cantSplit/>
          <w:tblHeader/>
        </w:trPr>
        <w:tc>
          <w:tcPr>
            <w:tcW w:type="dxa" w:w="2304"/>
            <w:vAlign w:val="center"/>
            <w:tcMar>
              <w:top w:w="48" w:type="dxa"/>
              <w:bottom w:w="48" w:type="dxa"/>
              <w:left w:w="75" w:type="dxa"/>
              <w:right w:w="75" w:type="dxa"/>
            </w:tcMar>
            <w:shd w:fill="244A63"/>
          </w:tcPr>
          <w:p>
            <w:pPr>
              <w:spacing w:after="0" w:line="240" w:lineRule="auto"/>
              <w:jc w:val="left"/>
            </w:pPr>
            <w:r>
              <w:rPr>
                <w:b/>
                <w:color w:val="FFFFFF"/>
                <w:sz w:val="18"/>
              </w:rPr>
              <w:t>ADC / bias</w:t>
            </w:r>
          </w:p>
        </w:tc>
        <w:tc>
          <w:tcPr>
            <w:tcW w:type="dxa" w:w="1944"/>
            <w:vAlign w:val="center"/>
            <w:tcMar>
              <w:top w:w="48" w:type="dxa"/>
              <w:bottom w:w="48" w:type="dxa"/>
              <w:left w:w="75" w:type="dxa"/>
              <w:right w:w="75" w:type="dxa"/>
            </w:tcMar>
            <w:shd w:fill="244A63"/>
          </w:tcPr>
          <w:p>
            <w:pPr>
              <w:spacing w:after="0" w:line="240" w:lineRule="auto"/>
              <w:jc w:val="center"/>
            </w:pPr>
            <w:r>
              <w:rPr>
                <w:b/>
                <w:color w:val="FFFFFF"/>
                <w:sz w:val="18"/>
              </w:rPr>
              <w:t>5 MHz off</w:t>
            </w:r>
          </w:p>
        </w:tc>
        <w:tc>
          <w:tcPr>
            <w:tcW w:type="dxa" w:w="1944"/>
            <w:vAlign w:val="center"/>
            <w:tcMar>
              <w:top w:w="48" w:type="dxa"/>
              <w:bottom w:w="48" w:type="dxa"/>
              <w:left w:w="75" w:type="dxa"/>
              <w:right w:w="75" w:type="dxa"/>
            </w:tcMar>
            <w:shd w:fill="244A63"/>
          </w:tcPr>
          <w:p>
            <w:pPr>
              <w:spacing w:after="0" w:line="240" w:lineRule="auto"/>
              <w:jc w:val="center"/>
            </w:pPr>
            <w:r>
              <w:rPr>
                <w:b/>
                <w:color w:val="FFFFFF"/>
                <w:sz w:val="18"/>
              </w:rPr>
              <w:t>10 MHz off</w:t>
            </w:r>
          </w:p>
        </w:tc>
        <w:tc>
          <w:tcPr>
            <w:tcW w:type="dxa" w:w="1944"/>
            <w:vAlign w:val="center"/>
            <w:tcMar>
              <w:top w:w="48" w:type="dxa"/>
              <w:bottom w:w="48" w:type="dxa"/>
              <w:left w:w="75" w:type="dxa"/>
              <w:right w:w="75" w:type="dxa"/>
            </w:tcMar>
            <w:shd w:fill="244A63"/>
          </w:tcPr>
          <w:p>
            <w:pPr>
              <w:spacing w:after="0" w:line="240" w:lineRule="auto"/>
              <w:jc w:val="center"/>
            </w:pPr>
            <w:r>
              <w:rPr>
                <w:b/>
                <w:color w:val="FFFFFF"/>
                <w:sz w:val="18"/>
              </w:rPr>
              <w:t>20 MHz off</w:t>
            </w:r>
          </w:p>
        </w:tc>
        <w:tc>
          <w:tcPr>
            <w:tcW w:type="dxa" w:w="1944"/>
            <w:vAlign w:val="center"/>
            <w:tcMar>
              <w:top w:w="48" w:type="dxa"/>
              <w:bottom w:w="48" w:type="dxa"/>
              <w:left w:w="75" w:type="dxa"/>
              <w:right w:w="75" w:type="dxa"/>
            </w:tcMar>
            <w:shd w:fill="244A63"/>
          </w:tcPr>
          <w:p>
            <w:pPr>
              <w:spacing w:after="0" w:line="240" w:lineRule="auto"/>
              <w:jc w:val="center"/>
            </w:pPr>
            <w:r>
              <w:rPr>
                <w:b/>
                <w:color w:val="FFFFFF"/>
                <w:sz w:val="18"/>
              </w:rPr>
              <w:t>20 MHz on</w:t>
            </w:r>
          </w:p>
        </w:tc>
      </w:tr>
      <w:tr>
        <w:trPr>
          <w:cantSplit/>
        </w:trPr>
        <w:tc>
          <w:tcPr>
            <w:tcW w:type="dxa" w:w="2304"/>
            <w:vAlign w:val="center"/>
            <w:tcMar>
              <w:top w:w="48" w:type="dxa"/>
              <w:bottom w:w="48" w:type="dxa"/>
              <w:left w:w="75" w:type="dxa"/>
              <w:right w:w="75" w:type="dxa"/>
            </w:tcMar>
            <w:shd w:fill="FFFFFF"/>
          </w:tcPr>
          <w:p>
            <w:pPr>
              <w:spacing w:after="0" w:line="240" w:lineRule="auto"/>
              <w:jc w:val="left"/>
            </w:pPr>
            <w:r>
              <w:rPr>
                <w:b w:val="0"/>
                <w:color w:val="000000"/>
                <w:sz w:val="18"/>
              </w:rPr>
              <w:t>1 / 1 MΩ</w:t>
            </w:r>
          </w:p>
        </w:tc>
        <w:tc>
          <w:tcPr>
            <w:tcW w:type="dxa" w:w="1944"/>
            <w:vAlign w:val="center"/>
            <w:tcMar>
              <w:top w:w="48" w:type="dxa"/>
              <w:bottom w:w="48" w:type="dxa"/>
              <w:left w:w="75" w:type="dxa"/>
              <w:right w:w="75" w:type="dxa"/>
            </w:tcMar>
            <w:shd w:fill="FFFFFF"/>
          </w:tcPr>
          <w:p>
            <w:pPr>
              <w:spacing w:after="0" w:line="240" w:lineRule="auto"/>
              <w:jc w:val="center"/>
            </w:pPr>
            <w:r>
              <w:rPr>
                <w:b w:val="0"/>
                <w:color w:val="000000"/>
                <w:sz w:val="18"/>
              </w:rPr>
              <w:t>+6.71</w:t>
            </w:r>
          </w:p>
        </w:tc>
        <w:tc>
          <w:tcPr>
            <w:tcW w:type="dxa" w:w="1944"/>
            <w:vAlign w:val="center"/>
            <w:tcMar>
              <w:top w:w="48" w:type="dxa"/>
              <w:bottom w:w="48" w:type="dxa"/>
              <w:left w:w="75" w:type="dxa"/>
              <w:right w:w="75" w:type="dxa"/>
            </w:tcMar>
            <w:shd w:fill="FFFFFF"/>
          </w:tcPr>
          <w:p>
            <w:pPr>
              <w:spacing w:after="0" w:line="240" w:lineRule="auto"/>
              <w:jc w:val="center"/>
            </w:pPr>
            <w:r>
              <w:rPr>
                <w:b w:val="0"/>
                <w:color w:val="000000"/>
                <w:sz w:val="18"/>
              </w:rPr>
              <w:t>+8.85</w:t>
            </w:r>
          </w:p>
        </w:tc>
        <w:tc>
          <w:tcPr>
            <w:tcW w:type="dxa" w:w="1944"/>
            <w:vAlign w:val="center"/>
            <w:tcMar>
              <w:top w:w="48" w:type="dxa"/>
              <w:bottom w:w="48" w:type="dxa"/>
              <w:left w:w="75" w:type="dxa"/>
              <w:right w:w="75" w:type="dxa"/>
            </w:tcMar>
            <w:shd w:fill="FFFFFF"/>
          </w:tcPr>
          <w:p>
            <w:pPr>
              <w:spacing w:after="0" w:line="240" w:lineRule="auto"/>
              <w:jc w:val="center"/>
            </w:pPr>
            <w:r>
              <w:rPr>
                <w:b w:val="0"/>
                <w:color w:val="000000"/>
                <w:sz w:val="18"/>
              </w:rPr>
              <w:t>+12.21</w:t>
            </w:r>
          </w:p>
        </w:tc>
        <w:tc>
          <w:tcPr>
            <w:tcW w:type="dxa" w:w="1944"/>
            <w:vAlign w:val="center"/>
            <w:tcMar>
              <w:top w:w="48" w:type="dxa"/>
              <w:bottom w:w="48" w:type="dxa"/>
              <w:left w:w="75" w:type="dxa"/>
              <w:right w:w="75" w:type="dxa"/>
            </w:tcMar>
            <w:shd w:fill="FFFFFF"/>
          </w:tcPr>
          <w:p>
            <w:pPr>
              <w:spacing w:after="0" w:line="240" w:lineRule="auto"/>
              <w:jc w:val="center"/>
            </w:pPr>
            <w:r>
              <w:rPr>
                <w:b w:val="0"/>
                <w:color w:val="000000"/>
                <w:sz w:val="18"/>
              </w:rPr>
              <w:t>-50.96</w:t>
            </w:r>
          </w:p>
        </w:tc>
      </w:tr>
      <w:tr>
        <w:trPr>
          <w:cantSplit/>
        </w:trPr>
        <w:tc>
          <w:tcPr>
            <w:tcW w:type="dxa" w:w="2304"/>
            <w:vAlign w:val="center"/>
            <w:tcMar>
              <w:top w:w="48" w:type="dxa"/>
              <w:bottom w:w="48" w:type="dxa"/>
              <w:left w:w="75" w:type="dxa"/>
              <w:right w:w="75" w:type="dxa"/>
            </w:tcMar>
            <w:shd w:fill="F2F5F7"/>
          </w:tcPr>
          <w:p>
            <w:pPr>
              <w:spacing w:after="0" w:line="240" w:lineRule="auto"/>
              <w:jc w:val="left"/>
            </w:pPr>
            <w:r>
              <w:rPr>
                <w:b w:val="0"/>
                <w:color w:val="000000"/>
                <w:sz w:val="18"/>
              </w:rPr>
              <w:t>2 / 470 kΩ</w:t>
            </w:r>
          </w:p>
        </w:tc>
        <w:tc>
          <w:tcPr>
            <w:tcW w:type="dxa" w:w="1944"/>
            <w:vAlign w:val="center"/>
            <w:tcMar>
              <w:top w:w="48" w:type="dxa"/>
              <w:bottom w:w="48" w:type="dxa"/>
              <w:left w:w="75" w:type="dxa"/>
              <w:right w:w="75" w:type="dxa"/>
            </w:tcMar>
            <w:shd w:fill="F2F5F7"/>
          </w:tcPr>
          <w:p>
            <w:pPr>
              <w:spacing w:after="0" w:line="240" w:lineRule="auto"/>
              <w:jc w:val="center"/>
            </w:pPr>
            <w:r>
              <w:rPr>
                <w:b w:val="0"/>
                <w:color w:val="000000"/>
                <w:sz w:val="18"/>
              </w:rPr>
              <w:t>-23.50</w:t>
            </w:r>
          </w:p>
        </w:tc>
        <w:tc>
          <w:tcPr>
            <w:tcW w:type="dxa" w:w="1944"/>
            <w:vAlign w:val="center"/>
            <w:tcMar>
              <w:top w:w="48" w:type="dxa"/>
              <w:bottom w:w="48" w:type="dxa"/>
              <w:left w:w="75" w:type="dxa"/>
              <w:right w:w="75" w:type="dxa"/>
            </w:tcMar>
            <w:shd w:fill="F2F5F7"/>
          </w:tcPr>
          <w:p>
            <w:pPr>
              <w:spacing w:after="0" w:line="240" w:lineRule="auto"/>
              <w:jc w:val="center"/>
            </w:pPr>
            <w:r>
              <w:rPr>
                <w:b w:val="0"/>
                <w:color w:val="000000"/>
                <w:sz w:val="18"/>
              </w:rPr>
              <w:t>-35.40</w:t>
            </w:r>
          </w:p>
        </w:tc>
        <w:tc>
          <w:tcPr>
            <w:tcW w:type="dxa" w:w="1944"/>
            <w:vAlign w:val="center"/>
            <w:tcMar>
              <w:top w:w="48" w:type="dxa"/>
              <w:bottom w:w="48" w:type="dxa"/>
              <w:left w:w="75" w:type="dxa"/>
              <w:right w:w="75" w:type="dxa"/>
            </w:tcMar>
            <w:shd w:fill="F2F5F7"/>
          </w:tcPr>
          <w:p>
            <w:pPr>
              <w:spacing w:after="0" w:line="240" w:lineRule="auto"/>
              <w:jc w:val="center"/>
            </w:pPr>
            <w:r>
              <w:rPr>
                <w:b w:val="0"/>
                <w:color w:val="000000"/>
                <w:sz w:val="18"/>
              </w:rPr>
              <w:t>-42.11</w:t>
            </w:r>
          </w:p>
        </w:tc>
        <w:tc>
          <w:tcPr>
            <w:tcW w:type="dxa" w:w="1944"/>
            <w:vAlign w:val="center"/>
            <w:tcMar>
              <w:top w:w="48" w:type="dxa"/>
              <w:bottom w:w="48" w:type="dxa"/>
              <w:left w:w="75" w:type="dxa"/>
              <w:right w:w="75" w:type="dxa"/>
            </w:tcMar>
            <w:shd w:fill="F2F5F7"/>
          </w:tcPr>
          <w:p>
            <w:pPr>
              <w:spacing w:after="0" w:line="240" w:lineRule="auto"/>
              <w:jc w:val="center"/>
            </w:pPr>
            <w:r>
              <w:rPr>
                <w:b w:val="0"/>
                <w:color w:val="000000"/>
                <w:sz w:val="18"/>
              </w:rPr>
              <w:t>-70.50</w:t>
            </w:r>
          </w:p>
        </w:tc>
      </w:tr>
      <w:tr>
        <w:trPr>
          <w:cantSplit/>
        </w:trPr>
        <w:tc>
          <w:tcPr>
            <w:tcW w:type="dxa" w:w="2304"/>
            <w:vAlign w:val="center"/>
            <w:tcMar>
              <w:top w:w="48" w:type="dxa"/>
              <w:bottom w:w="48" w:type="dxa"/>
              <w:left w:w="75" w:type="dxa"/>
              <w:right w:w="75" w:type="dxa"/>
            </w:tcMar>
            <w:shd w:fill="FFFFFF"/>
          </w:tcPr>
          <w:p>
            <w:pPr>
              <w:spacing w:after="0" w:line="240" w:lineRule="auto"/>
              <w:jc w:val="left"/>
            </w:pPr>
            <w:r>
              <w:rPr>
                <w:b w:val="0"/>
                <w:color w:val="000000"/>
                <w:sz w:val="18"/>
              </w:rPr>
              <w:t>3 / 470 kΩ</w:t>
            </w:r>
          </w:p>
        </w:tc>
        <w:tc>
          <w:tcPr>
            <w:tcW w:type="dxa" w:w="1944"/>
            <w:vAlign w:val="center"/>
            <w:tcMar>
              <w:top w:w="48" w:type="dxa"/>
              <w:bottom w:w="48" w:type="dxa"/>
              <w:left w:w="75" w:type="dxa"/>
              <w:right w:w="75" w:type="dxa"/>
            </w:tcMar>
            <w:shd w:fill="FFFFFF"/>
          </w:tcPr>
          <w:p>
            <w:pPr>
              <w:spacing w:after="0" w:line="240" w:lineRule="auto"/>
              <w:jc w:val="center"/>
            </w:pPr>
            <w:r>
              <w:rPr>
                <w:b w:val="0"/>
                <w:color w:val="000000"/>
                <w:sz w:val="18"/>
              </w:rPr>
              <w:t>+1.83</w:t>
            </w:r>
          </w:p>
        </w:tc>
        <w:tc>
          <w:tcPr>
            <w:tcW w:type="dxa" w:w="1944"/>
            <w:vAlign w:val="center"/>
            <w:tcMar>
              <w:top w:w="48" w:type="dxa"/>
              <w:bottom w:w="48" w:type="dxa"/>
              <w:left w:w="75" w:type="dxa"/>
              <w:right w:w="75" w:type="dxa"/>
            </w:tcMar>
            <w:shd w:fill="FFFFFF"/>
          </w:tcPr>
          <w:p>
            <w:pPr>
              <w:spacing w:after="0" w:line="240" w:lineRule="auto"/>
              <w:jc w:val="center"/>
            </w:pPr>
            <w:r>
              <w:rPr>
                <w:b w:val="0"/>
                <w:color w:val="000000"/>
                <w:sz w:val="18"/>
              </w:rPr>
              <w:t>+4.27</w:t>
            </w:r>
          </w:p>
        </w:tc>
        <w:tc>
          <w:tcPr>
            <w:tcW w:type="dxa" w:w="1944"/>
            <w:vAlign w:val="center"/>
            <w:tcMar>
              <w:top w:w="48" w:type="dxa"/>
              <w:bottom w:w="48" w:type="dxa"/>
              <w:left w:w="75" w:type="dxa"/>
              <w:right w:w="75" w:type="dxa"/>
            </w:tcMar>
            <w:shd w:fill="FFFFFF"/>
          </w:tcPr>
          <w:p>
            <w:pPr>
              <w:spacing w:after="0" w:line="240" w:lineRule="auto"/>
              <w:jc w:val="center"/>
            </w:pPr>
            <w:r>
              <w:rPr>
                <w:b w:val="0"/>
                <w:color w:val="000000"/>
                <w:sz w:val="18"/>
              </w:rPr>
              <w:t>+5.19</w:t>
            </w:r>
          </w:p>
        </w:tc>
        <w:tc>
          <w:tcPr>
            <w:tcW w:type="dxa" w:w="1944"/>
            <w:vAlign w:val="center"/>
            <w:tcMar>
              <w:top w:w="48" w:type="dxa"/>
              <w:bottom w:w="48" w:type="dxa"/>
              <w:left w:w="75" w:type="dxa"/>
              <w:right w:w="75" w:type="dxa"/>
            </w:tcMar>
            <w:shd w:fill="FFFFFF"/>
          </w:tcPr>
          <w:p>
            <w:pPr>
              <w:spacing w:after="0" w:line="240" w:lineRule="auto"/>
              <w:jc w:val="center"/>
            </w:pPr>
            <w:r>
              <w:rPr>
                <w:b w:val="0"/>
                <w:color w:val="000000"/>
                <w:sz w:val="18"/>
              </w:rPr>
              <w:t>-14.95</w:t>
            </w:r>
          </w:p>
        </w:tc>
      </w:tr>
      <w:tr>
        <w:trPr>
          <w:cantSplit/>
        </w:trPr>
        <w:tc>
          <w:tcPr>
            <w:tcW w:type="dxa" w:w="2304"/>
            <w:vAlign w:val="center"/>
            <w:tcMar>
              <w:top w:w="48" w:type="dxa"/>
              <w:bottom w:w="48" w:type="dxa"/>
              <w:left w:w="75" w:type="dxa"/>
              <w:right w:w="75" w:type="dxa"/>
            </w:tcMar>
            <w:shd w:fill="F2F5F7"/>
          </w:tcPr>
          <w:p>
            <w:pPr>
              <w:spacing w:after="0" w:line="240" w:lineRule="auto"/>
              <w:jc w:val="left"/>
            </w:pPr>
            <w:r>
              <w:rPr>
                <w:b w:val="0"/>
                <w:color w:val="000000"/>
                <w:sz w:val="18"/>
              </w:rPr>
              <w:t>4 / 249 kΩ</w:t>
            </w:r>
          </w:p>
        </w:tc>
        <w:tc>
          <w:tcPr>
            <w:tcW w:type="dxa" w:w="1944"/>
            <w:vAlign w:val="center"/>
            <w:tcMar>
              <w:top w:w="48" w:type="dxa"/>
              <w:bottom w:w="48" w:type="dxa"/>
              <w:left w:w="75" w:type="dxa"/>
              <w:right w:w="75" w:type="dxa"/>
            </w:tcMar>
            <w:shd w:fill="F2F5F7"/>
          </w:tcPr>
          <w:p>
            <w:pPr>
              <w:spacing w:after="0" w:line="240" w:lineRule="auto"/>
              <w:jc w:val="center"/>
            </w:pPr>
            <w:r>
              <w:rPr>
                <w:b w:val="0"/>
                <w:color w:val="000000"/>
                <w:sz w:val="18"/>
              </w:rPr>
              <w:t>-12.82</w:t>
            </w:r>
          </w:p>
        </w:tc>
        <w:tc>
          <w:tcPr>
            <w:tcW w:type="dxa" w:w="1944"/>
            <w:vAlign w:val="center"/>
            <w:tcMar>
              <w:top w:w="48" w:type="dxa"/>
              <w:bottom w:w="48" w:type="dxa"/>
              <w:left w:w="75" w:type="dxa"/>
              <w:right w:w="75" w:type="dxa"/>
            </w:tcMar>
            <w:shd w:fill="F2F5F7"/>
          </w:tcPr>
          <w:p>
            <w:pPr>
              <w:spacing w:after="0" w:line="240" w:lineRule="auto"/>
              <w:jc w:val="center"/>
            </w:pPr>
            <w:r>
              <w:rPr>
                <w:b w:val="0"/>
                <w:color w:val="000000"/>
                <w:sz w:val="18"/>
              </w:rPr>
              <w:t>-28.08</w:t>
            </w:r>
          </w:p>
        </w:tc>
        <w:tc>
          <w:tcPr>
            <w:tcW w:type="dxa" w:w="1944"/>
            <w:vAlign w:val="center"/>
            <w:tcMar>
              <w:top w:w="48" w:type="dxa"/>
              <w:bottom w:w="48" w:type="dxa"/>
              <w:left w:w="75" w:type="dxa"/>
              <w:right w:w="75" w:type="dxa"/>
            </w:tcMar>
            <w:shd w:fill="F2F5F7"/>
          </w:tcPr>
          <w:p>
            <w:pPr>
              <w:spacing w:after="0" w:line="240" w:lineRule="auto"/>
              <w:jc w:val="center"/>
            </w:pPr>
            <w:r>
              <w:rPr>
                <w:b w:val="0"/>
                <w:color w:val="000000"/>
                <w:sz w:val="18"/>
              </w:rPr>
              <w:t>-41.81</w:t>
            </w:r>
          </w:p>
        </w:tc>
        <w:tc>
          <w:tcPr>
            <w:tcW w:type="dxa" w:w="1944"/>
            <w:vAlign w:val="center"/>
            <w:tcMar>
              <w:top w:w="48" w:type="dxa"/>
              <w:bottom w:w="48" w:type="dxa"/>
              <w:left w:w="75" w:type="dxa"/>
              <w:right w:w="75" w:type="dxa"/>
            </w:tcMar>
            <w:shd w:fill="F2F5F7"/>
          </w:tcPr>
          <w:p>
            <w:pPr>
              <w:spacing w:after="0" w:line="240" w:lineRule="auto"/>
              <w:jc w:val="center"/>
            </w:pPr>
            <w:r>
              <w:rPr>
                <w:b w:val="0"/>
                <w:color w:val="000000"/>
                <w:sz w:val="18"/>
              </w:rPr>
              <w:t>-40.89</w:t>
            </w:r>
          </w:p>
        </w:tc>
      </w:tr>
    </w:tbl>
    <w:p>
      <w:pPr>
        <w:spacing w:after="0"/>
      </w:pPr>
    </w:p>
    <w:p>
      <w:r>
        <w:rPr>
          <w:b w:val="0"/>
          <w:sz w:val="18"/>
        </w:rPr>
        <w:t>All table entries are differences in mV, not absolute baselines. ADC1/3 instead have a lower channel 12 in the unused 10-14 region. The measured channel-15 reference is 1248.78-1249.39 mV across the reference captures, close to nominal 1250 mV.</w:t>
      </w:r>
    </w:p>
    <w:p>
      <w:r>
        <w:rPr>
          <w:b w:val="0"/>
          <w:sz w:val="18"/>
        </w:rPr>
        <w:t>All 40 captures passed independent wire/value checks: 39,615,388 received sweeps and 90,768,414 retained values. The end-of-matrix drift check changed channel medians by at most 0.61 mV. Firmware reported 3,638 whole-frame USB discards (0.0092% of acquired sweeps), zero ADC/SPI/USB-write errors and zero sampling periods above 1 ms.</w:t>
      </w:r>
    </w:p>
    <w:p>
      <w:r>
        <w:rPr>
          <w:b/>
          <w:sz w:val="18"/>
        </w:rPr>
        <w:t>The reviewed firmware has no channel-11-specific timing or arithmetic. The results support a dynamic analog settling / charge-history explanation, but do not establish the exact mechanism. Floating-input baselines are not a measurement of sensor accuracy.</w:t>
      </w:r>
    </w:p>
    <w:p>
      <w:pPr>
        <w:pStyle w:val="Heading1"/>
        <w:pageBreakBefore/>
      </w:pPr>
      <w:r>
        <w:t>Channel 11 full scanning versus continuous selection</w:t>
      </w:r>
    </w:p>
    <w:p>
      <w:r>
        <w:rPr>
          <w:b w:val="0"/>
          <w:sz w:val="18"/>
        </w:rPr>
        <w:t>Full scan: all four ADCs scan channels 0-14; the graph shows only channel 11. Hold: one ADC alone repeatedly selects channel 11. With Vmid on, the hold repeats 11 → 15 → 15 and retains only channel 11. At 10 MHz, full-scan results arrive about every 159 µs off or 415 µs on; either hold mode gives one retained result about every 8 µs. Scan versus hold therefore changes both selection history and cadence.</w:t>
      </w:r>
    </w:p>
    <w:p>
      <w:pPr>
        <w:keepNext/>
        <w:spacing w:after="40"/>
      </w:pPr>
      <w:r>
        <w:drawing>
          <wp:inline xmlns:a="http://schemas.openxmlformats.org/drawingml/2006/main" xmlns:pic="http://schemas.openxmlformats.org/drawingml/2006/picture">
            <wp:extent cx="6126480" cy="4241409"/>
            <wp:docPr id="6" name="Picture 6"/>
            <wp:cNvGraphicFramePr>
              <a:graphicFrameLocks noChangeAspect="1"/>
            </wp:cNvGraphicFramePr>
            <a:graphic>
              <a:graphicData uri="http://schemas.openxmlformats.org/drawingml/2006/picture">
                <pic:pic>
                  <pic:nvPicPr>
                    <pic:cNvPr id="0" name="channel11_scan_vs_hold.png"/>
                    <pic:cNvPicPr/>
                  </pic:nvPicPr>
                  <pic:blipFill>
                    <a:blip r:embed="rId16"/>
                    <a:stretch>
                      <a:fillRect/>
                    </a:stretch>
                  </pic:blipFill>
                  <pic:spPr>
                    <a:xfrm>
                      <a:off x="0" y="0"/>
                      <a:ext cx="6126480" cy="4241409"/>
                    </a:xfrm>
                    <a:prstGeom prst="rect"/>
                  </pic:spPr>
                </pic:pic>
              </a:graphicData>
            </a:graphic>
          </wp:inline>
        </w:drawing>
      </w:r>
    </w:p>
    <w:p>
      <w:pPr>
        <w:pStyle w:val="Caption"/>
      </w:pPr>
      <w:r>
        <w:t>Figure 6  Channel-11 median baseline, all ADCs and clocks, in mV. Vmid insertion lowers the baseline in every single-ADC hold pair.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48" w:type="dxa"/>
              <w:bottom w:w="48" w:type="dxa"/>
              <w:left w:w="75" w:type="dxa"/>
              <w:right w:w="75" w:type="dxa"/>
            </w:tcMar>
            <w:shd w:fill="244A63"/>
          </w:tcPr>
          <w:p>
            <w:pPr>
              <w:spacing w:after="0" w:line="240" w:lineRule="auto"/>
              <w:jc w:val="left"/>
            </w:pPr>
            <w:r>
              <w:rPr>
                <w:b/>
                <w:color w:val="FFFFFF"/>
                <w:sz w:val="18"/>
              </w:rPr>
              <w:t>10 MHz ADC</w:t>
            </w:r>
          </w:p>
        </w:tc>
        <w:tc>
          <w:tcPr>
            <w:tcW w:type="dxa" w:w="2016"/>
            <w:vAlign w:val="center"/>
            <w:tcMar>
              <w:top w:w="48" w:type="dxa"/>
              <w:bottom w:w="48" w:type="dxa"/>
              <w:left w:w="75" w:type="dxa"/>
              <w:right w:w="75" w:type="dxa"/>
            </w:tcMar>
            <w:shd w:fill="244A63"/>
          </w:tcPr>
          <w:p>
            <w:pPr>
              <w:spacing w:after="0" w:line="240" w:lineRule="auto"/>
              <w:jc w:val="center"/>
            </w:pPr>
            <w:r>
              <w:rPr>
                <w:b/>
                <w:color w:val="FFFFFF"/>
                <w:sz w:val="18"/>
              </w:rPr>
              <w:t>Scan off mV</w:t>
            </w:r>
          </w:p>
        </w:tc>
        <w:tc>
          <w:tcPr>
            <w:tcW w:type="dxa" w:w="2016"/>
            <w:vAlign w:val="center"/>
            <w:tcMar>
              <w:top w:w="48" w:type="dxa"/>
              <w:bottom w:w="48" w:type="dxa"/>
              <w:left w:w="75" w:type="dxa"/>
              <w:right w:w="75" w:type="dxa"/>
            </w:tcMar>
            <w:shd w:fill="244A63"/>
          </w:tcPr>
          <w:p>
            <w:pPr>
              <w:spacing w:after="0" w:line="240" w:lineRule="auto"/>
              <w:jc w:val="center"/>
            </w:pPr>
            <w:r>
              <w:rPr>
                <w:b/>
                <w:color w:val="FFFFFF"/>
                <w:sz w:val="18"/>
              </w:rPr>
              <w:t>Scan on mV</w:t>
            </w:r>
          </w:p>
        </w:tc>
        <w:tc>
          <w:tcPr>
            <w:tcW w:type="dxa" w:w="2016"/>
            <w:vAlign w:val="center"/>
            <w:tcMar>
              <w:top w:w="48" w:type="dxa"/>
              <w:bottom w:w="48" w:type="dxa"/>
              <w:left w:w="75" w:type="dxa"/>
              <w:right w:w="75" w:type="dxa"/>
            </w:tcMar>
            <w:shd w:fill="244A63"/>
          </w:tcPr>
          <w:p>
            <w:pPr>
              <w:spacing w:after="0" w:line="240" w:lineRule="auto"/>
              <w:jc w:val="center"/>
            </w:pPr>
            <w:r>
              <w:rPr>
                <w:b/>
                <w:color w:val="FFFFFF"/>
                <w:sz w:val="18"/>
              </w:rPr>
              <w:t>Hold off mV</w:t>
            </w:r>
          </w:p>
        </w:tc>
        <w:tc>
          <w:tcPr>
            <w:tcW w:type="dxa" w:w="2016"/>
            <w:vAlign w:val="center"/>
            <w:tcMar>
              <w:top w:w="48" w:type="dxa"/>
              <w:bottom w:w="48" w:type="dxa"/>
              <w:left w:w="75" w:type="dxa"/>
              <w:right w:w="75" w:type="dxa"/>
            </w:tcMar>
            <w:shd w:fill="244A63"/>
          </w:tcPr>
          <w:p>
            <w:pPr>
              <w:spacing w:after="0" w:line="240" w:lineRule="auto"/>
              <w:jc w:val="center"/>
            </w:pPr>
            <w:r>
              <w:rPr>
                <w:b/>
                <w:color w:val="FFFFFF"/>
                <w:sz w:val="18"/>
              </w:rPr>
              <w:t>Hold on mV</w:t>
            </w:r>
          </w:p>
        </w:tc>
      </w:tr>
      <w:tr>
        <w:trPr>
          <w:cantSplit/>
        </w:trPr>
        <w:tc>
          <w:tcPr>
            <w:tcW w:type="dxa" w:w="2016"/>
            <w:vAlign w:val="center"/>
            <w:tcMar>
              <w:top w:w="48" w:type="dxa"/>
              <w:bottom w:w="48" w:type="dxa"/>
              <w:left w:w="75" w:type="dxa"/>
              <w:right w:w="75" w:type="dxa"/>
            </w:tcMar>
            <w:shd w:fill="FFFFFF"/>
          </w:tcPr>
          <w:p>
            <w:pPr>
              <w:spacing w:after="0" w:line="240" w:lineRule="auto"/>
              <w:jc w:val="left"/>
            </w:pPr>
            <w:r>
              <w:rPr>
                <w:b w:val="0"/>
                <w:color w:val="000000"/>
                <w:sz w:val="18"/>
              </w:rPr>
              <w:t>1</w:t>
            </w:r>
          </w:p>
        </w:tc>
        <w:tc>
          <w:tcPr>
            <w:tcW w:type="dxa" w:w="2016"/>
            <w:vAlign w:val="center"/>
            <w:tcMar>
              <w:top w:w="48" w:type="dxa"/>
              <w:bottom w:w="48" w:type="dxa"/>
              <w:left w:w="75" w:type="dxa"/>
              <w:right w:w="75" w:type="dxa"/>
            </w:tcMar>
            <w:shd w:fill="FFFFFF"/>
          </w:tcPr>
          <w:p>
            <w:pPr>
              <w:spacing w:after="0" w:line="240" w:lineRule="auto"/>
              <w:jc w:val="center"/>
            </w:pPr>
            <w:r>
              <w:rPr>
                <w:b w:val="0"/>
                <w:color w:val="000000"/>
                <w:sz w:val="18"/>
              </w:rPr>
              <w:t>1179.81</w:t>
            </w:r>
          </w:p>
        </w:tc>
        <w:tc>
          <w:tcPr>
            <w:tcW w:type="dxa" w:w="2016"/>
            <w:vAlign w:val="center"/>
            <w:tcMar>
              <w:top w:w="48" w:type="dxa"/>
              <w:bottom w:w="48" w:type="dxa"/>
              <w:left w:w="75" w:type="dxa"/>
              <w:right w:w="75" w:type="dxa"/>
            </w:tcMar>
            <w:shd w:fill="FFFFFF"/>
          </w:tcPr>
          <w:p>
            <w:pPr>
              <w:spacing w:after="0" w:line="240" w:lineRule="auto"/>
              <w:jc w:val="center"/>
            </w:pPr>
            <w:r>
              <w:rPr>
                <w:b w:val="0"/>
                <w:color w:val="000000"/>
                <w:sz w:val="18"/>
              </w:rPr>
              <w:t>1103.52</w:t>
            </w:r>
          </w:p>
        </w:tc>
        <w:tc>
          <w:tcPr>
            <w:tcW w:type="dxa" w:w="2016"/>
            <w:vAlign w:val="center"/>
            <w:tcMar>
              <w:top w:w="48" w:type="dxa"/>
              <w:bottom w:w="48" w:type="dxa"/>
              <w:left w:w="75" w:type="dxa"/>
              <w:right w:w="75" w:type="dxa"/>
            </w:tcMar>
            <w:shd w:fill="FFFFFF"/>
          </w:tcPr>
          <w:p>
            <w:pPr>
              <w:spacing w:after="0" w:line="240" w:lineRule="auto"/>
              <w:jc w:val="center"/>
            </w:pPr>
            <w:r>
              <w:rPr>
                <w:b w:val="0"/>
                <w:color w:val="000000"/>
                <w:sz w:val="18"/>
              </w:rPr>
              <w:t>1166.99</w:t>
            </w:r>
          </w:p>
        </w:tc>
        <w:tc>
          <w:tcPr>
            <w:tcW w:type="dxa" w:w="2016"/>
            <w:vAlign w:val="center"/>
            <w:tcMar>
              <w:top w:w="48" w:type="dxa"/>
              <w:bottom w:w="48" w:type="dxa"/>
              <w:left w:w="75" w:type="dxa"/>
              <w:right w:w="75" w:type="dxa"/>
            </w:tcMar>
            <w:shd w:fill="FFFFFF"/>
          </w:tcPr>
          <w:p>
            <w:pPr>
              <w:spacing w:after="0" w:line="240" w:lineRule="auto"/>
              <w:jc w:val="center"/>
            </w:pPr>
            <w:r>
              <w:rPr>
                <w:b w:val="0"/>
                <w:color w:val="000000"/>
                <w:sz w:val="18"/>
              </w:rPr>
              <w:t>1049.80</w:t>
            </w:r>
          </w:p>
        </w:tc>
      </w:tr>
      <w:tr>
        <w:trPr>
          <w:cantSplit/>
        </w:trPr>
        <w:tc>
          <w:tcPr>
            <w:tcW w:type="dxa" w:w="2016"/>
            <w:vAlign w:val="center"/>
            <w:tcMar>
              <w:top w:w="48" w:type="dxa"/>
              <w:bottom w:w="48" w:type="dxa"/>
              <w:left w:w="75" w:type="dxa"/>
              <w:right w:w="75" w:type="dxa"/>
            </w:tcMar>
            <w:shd w:fill="F2F5F7"/>
          </w:tcPr>
          <w:p>
            <w:pPr>
              <w:spacing w:after="0" w:line="240" w:lineRule="auto"/>
              <w:jc w:val="left"/>
            </w:pPr>
            <w:r>
              <w:rPr>
                <w:b w:val="0"/>
                <w:color w:val="000000"/>
                <w:sz w:val="18"/>
              </w:rPr>
              <w:t>2</w:t>
            </w:r>
          </w:p>
        </w:tc>
        <w:tc>
          <w:tcPr>
            <w:tcW w:type="dxa" w:w="2016"/>
            <w:vAlign w:val="center"/>
            <w:tcMar>
              <w:top w:w="48" w:type="dxa"/>
              <w:bottom w:w="48" w:type="dxa"/>
              <w:left w:w="75" w:type="dxa"/>
              <w:right w:w="75" w:type="dxa"/>
            </w:tcMar>
            <w:shd w:fill="F2F5F7"/>
          </w:tcPr>
          <w:p>
            <w:pPr>
              <w:spacing w:after="0" w:line="240" w:lineRule="auto"/>
              <w:jc w:val="center"/>
            </w:pPr>
            <w:r>
              <w:rPr>
                <w:b w:val="0"/>
                <w:color w:val="000000"/>
                <w:sz w:val="18"/>
              </w:rPr>
              <w:t>1193.24</w:t>
            </w:r>
          </w:p>
        </w:tc>
        <w:tc>
          <w:tcPr>
            <w:tcW w:type="dxa" w:w="2016"/>
            <w:vAlign w:val="center"/>
            <w:tcMar>
              <w:top w:w="48" w:type="dxa"/>
              <w:bottom w:w="48" w:type="dxa"/>
              <w:left w:w="75" w:type="dxa"/>
              <w:right w:w="75" w:type="dxa"/>
            </w:tcMar>
            <w:shd w:fill="F2F5F7"/>
          </w:tcPr>
          <w:p>
            <w:pPr>
              <w:spacing w:after="0" w:line="240" w:lineRule="auto"/>
              <w:jc w:val="center"/>
            </w:pPr>
            <w:r>
              <w:rPr>
                <w:b w:val="0"/>
                <w:color w:val="000000"/>
                <w:sz w:val="18"/>
              </w:rPr>
              <w:t>1161.50</w:t>
            </w:r>
          </w:p>
        </w:tc>
        <w:tc>
          <w:tcPr>
            <w:tcW w:type="dxa" w:w="2016"/>
            <w:vAlign w:val="center"/>
            <w:tcMar>
              <w:top w:w="48" w:type="dxa"/>
              <w:bottom w:w="48" w:type="dxa"/>
              <w:left w:w="75" w:type="dxa"/>
              <w:right w:w="75" w:type="dxa"/>
            </w:tcMar>
            <w:shd w:fill="F2F5F7"/>
          </w:tcPr>
          <w:p>
            <w:pPr>
              <w:spacing w:after="0" w:line="240" w:lineRule="auto"/>
              <w:jc w:val="center"/>
            </w:pPr>
            <w:r>
              <w:rPr>
                <w:b w:val="0"/>
                <w:color w:val="000000"/>
                <w:sz w:val="18"/>
              </w:rPr>
              <w:t>1220.70</w:t>
            </w:r>
          </w:p>
        </w:tc>
        <w:tc>
          <w:tcPr>
            <w:tcW w:type="dxa" w:w="2016"/>
            <w:vAlign w:val="center"/>
            <w:tcMar>
              <w:top w:w="48" w:type="dxa"/>
              <w:bottom w:w="48" w:type="dxa"/>
              <w:left w:w="75" w:type="dxa"/>
              <w:right w:w="75" w:type="dxa"/>
            </w:tcMar>
            <w:shd w:fill="F2F5F7"/>
          </w:tcPr>
          <w:p>
            <w:pPr>
              <w:spacing w:after="0" w:line="240" w:lineRule="auto"/>
              <w:jc w:val="center"/>
            </w:pPr>
            <w:r>
              <w:rPr>
                <w:b w:val="0"/>
                <w:color w:val="000000"/>
                <w:sz w:val="18"/>
              </w:rPr>
              <w:t>1118.16</w:t>
            </w:r>
          </w:p>
        </w:tc>
      </w:tr>
      <w:tr>
        <w:trPr>
          <w:cantSplit/>
        </w:trPr>
        <w:tc>
          <w:tcPr>
            <w:tcW w:type="dxa" w:w="2016"/>
            <w:vAlign w:val="center"/>
            <w:tcMar>
              <w:top w:w="48" w:type="dxa"/>
              <w:bottom w:w="48" w:type="dxa"/>
              <w:left w:w="75" w:type="dxa"/>
              <w:right w:w="75" w:type="dxa"/>
            </w:tcMar>
            <w:shd w:fill="FFFFFF"/>
          </w:tcPr>
          <w:p>
            <w:pPr>
              <w:spacing w:after="0" w:line="240" w:lineRule="auto"/>
              <w:jc w:val="left"/>
            </w:pPr>
            <w:r>
              <w:rPr>
                <w:b w:val="0"/>
                <w:color w:val="000000"/>
                <w:sz w:val="18"/>
              </w:rPr>
              <w:t>3</w:t>
            </w:r>
          </w:p>
        </w:tc>
        <w:tc>
          <w:tcPr>
            <w:tcW w:type="dxa" w:w="2016"/>
            <w:vAlign w:val="center"/>
            <w:tcMar>
              <w:top w:w="48" w:type="dxa"/>
              <w:bottom w:w="48" w:type="dxa"/>
              <w:left w:w="75" w:type="dxa"/>
              <w:right w:w="75" w:type="dxa"/>
            </w:tcMar>
            <w:shd w:fill="FFFFFF"/>
          </w:tcPr>
          <w:p>
            <w:pPr>
              <w:spacing w:after="0" w:line="240" w:lineRule="auto"/>
              <w:jc w:val="center"/>
            </w:pPr>
            <w:r>
              <w:rPr>
                <w:b w:val="0"/>
                <w:color w:val="000000"/>
                <w:sz w:val="18"/>
              </w:rPr>
              <w:t>1218.87</w:t>
            </w:r>
          </w:p>
        </w:tc>
        <w:tc>
          <w:tcPr>
            <w:tcW w:type="dxa" w:w="2016"/>
            <w:vAlign w:val="center"/>
            <w:tcMar>
              <w:top w:w="48" w:type="dxa"/>
              <w:bottom w:w="48" w:type="dxa"/>
              <w:left w:w="75" w:type="dxa"/>
              <w:right w:w="75" w:type="dxa"/>
            </w:tcMar>
            <w:shd w:fill="FFFFFF"/>
          </w:tcPr>
          <w:p>
            <w:pPr>
              <w:spacing w:after="0" w:line="240" w:lineRule="auto"/>
              <w:jc w:val="center"/>
            </w:pPr>
            <w:r>
              <w:rPr>
                <w:b w:val="0"/>
                <w:color w:val="000000"/>
                <w:sz w:val="18"/>
              </w:rPr>
              <w:t>1185.91</w:t>
            </w:r>
          </w:p>
        </w:tc>
        <w:tc>
          <w:tcPr>
            <w:tcW w:type="dxa" w:w="2016"/>
            <w:vAlign w:val="center"/>
            <w:tcMar>
              <w:top w:w="48" w:type="dxa"/>
              <w:bottom w:w="48" w:type="dxa"/>
              <w:left w:w="75" w:type="dxa"/>
              <w:right w:w="75" w:type="dxa"/>
            </w:tcMar>
            <w:shd w:fill="FFFFFF"/>
          </w:tcPr>
          <w:p>
            <w:pPr>
              <w:spacing w:after="0" w:line="240" w:lineRule="auto"/>
              <w:jc w:val="center"/>
            </w:pPr>
            <w:r>
              <w:rPr>
                <w:b w:val="0"/>
                <w:color w:val="000000"/>
                <w:sz w:val="18"/>
              </w:rPr>
              <w:t>1206.05</w:t>
            </w:r>
          </w:p>
        </w:tc>
        <w:tc>
          <w:tcPr>
            <w:tcW w:type="dxa" w:w="2016"/>
            <w:vAlign w:val="center"/>
            <w:tcMar>
              <w:top w:w="48" w:type="dxa"/>
              <w:bottom w:w="48" w:type="dxa"/>
              <w:left w:w="75" w:type="dxa"/>
              <w:right w:w="75" w:type="dxa"/>
            </w:tcMar>
            <w:shd w:fill="FFFFFF"/>
          </w:tcPr>
          <w:p>
            <w:pPr>
              <w:spacing w:after="0" w:line="240" w:lineRule="auto"/>
              <w:jc w:val="center"/>
            </w:pPr>
            <w:r>
              <w:rPr>
                <w:b w:val="0"/>
                <w:color w:val="000000"/>
                <w:sz w:val="18"/>
              </w:rPr>
              <w:t>1149.90</w:t>
            </w:r>
          </w:p>
        </w:tc>
      </w:tr>
      <w:tr>
        <w:trPr>
          <w:cantSplit/>
        </w:trPr>
        <w:tc>
          <w:tcPr>
            <w:tcW w:type="dxa" w:w="2016"/>
            <w:vAlign w:val="center"/>
            <w:tcMar>
              <w:top w:w="48" w:type="dxa"/>
              <w:bottom w:w="48" w:type="dxa"/>
              <w:left w:w="75" w:type="dxa"/>
              <w:right w:w="75" w:type="dxa"/>
            </w:tcMar>
            <w:shd w:fill="F2F5F7"/>
          </w:tcPr>
          <w:p>
            <w:pPr>
              <w:spacing w:after="0" w:line="240" w:lineRule="auto"/>
              <w:jc w:val="left"/>
            </w:pPr>
            <w:r>
              <w:rPr>
                <w:b w:val="0"/>
                <w:color w:val="000000"/>
                <w:sz w:val="18"/>
              </w:rPr>
              <w:t>4</w:t>
            </w:r>
          </w:p>
        </w:tc>
        <w:tc>
          <w:tcPr>
            <w:tcW w:type="dxa" w:w="2016"/>
            <w:vAlign w:val="center"/>
            <w:tcMar>
              <w:top w:w="48" w:type="dxa"/>
              <w:bottom w:w="48" w:type="dxa"/>
              <w:left w:w="75" w:type="dxa"/>
              <w:right w:w="75" w:type="dxa"/>
            </w:tcMar>
            <w:shd w:fill="F2F5F7"/>
          </w:tcPr>
          <w:p>
            <w:pPr>
              <w:spacing w:after="0" w:line="240" w:lineRule="auto"/>
              <w:jc w:val="center"/>
            </w:pPr>
            <w:r>
              <w:rPr>
                <w:b w:val="0"/>
                <w:color w:val="000000"/>
                <w:sz w:val="18"/>
              </w:rPr>
              <w:t>1212.16</w:t>
            </w:r>
          </w:p>
        </w:tc>
        <w:tc>
          <w:tcPr>
            <w:tcW w:type="dxa" w:w="2016"/>
            <w:vAlign w:val="center"/>
            <w:tcMar>
              <w:top w:w="48" w:type="dxa"/>
              <w:bottom w:w="48" w:type="dxa"/>
              <w:left w:w="75" w:type="dxa"/>
              <w:right w:w="75" w:type="dxa"/>
            </w:tcMar>
            <w:shd w:fill="F2F5F7"/>
          </w:tcPr>
          <w:p>
            <w:pPr>
              <w:spacing w:after="0" w:line="240" w:lineRule="auto"/>
              <w:jc w:val="center"/>
            </w:pPr>
            <w:r>
              <w:rPr>
                <w:b w:val="0"/>
                <w:color w:val="000000"/>
                <w:sz w:val="18"/>
              </w:rPr>
              <w:t>1203.61</w:t>
            </w:r>
          </w:p>
        </w:tc>
        <w:tc>
          <w:tcPr>
            <w:tcW w:type="dxa" w:w="2016"/>
            <w:vAlign w:val="center"/>
            <w:tcMar>
              <w:top w:w="48" w:type="dxa"/>
              <w:bottom w:w="48" w:type="dxa"/>
              <w:left w:w="75" w:type="dxa"/>
              <w:right w:w="75" w:type="dxa"/>
            </w:tcMar>
            <w:shd w:fill="F2F5F7"/>
          </w:tcPr>
          <w:p>
            <w:pPr>
              <w:spacing w:after="0" w:line="240" w:lineRule="auto"/>
              <w:jc w:val="center"/>
            </w:pPr>
            <w:r>
              <w:rPr>
                <w:b w:val="0"/>
                <w:color w:val="000000"/>
                <w:sz w:val="18"/>
              </w:rPr>
              <w:t>1229.25</w:t>
            </w:r>
          </w:p>
        </w:tc>
        <w:tc>
          <w:tcPr>
            <w:tcW w:type="dxa" w:w="2016"/>
            <w:vAlign w:val="center"/>
            <w:tcMar>
              <w:top w:w="48" w:type="dxa"/>
              <w:bottom w:w="48" w:type="dxa"/>
              <w:left w:w="75" w:type="dxa"/>
              <w:right w:w="75" w:type="dxa"/>
            </w:tcMar>
            <w:shd w:fill="F2F5F7"/>
          </w:tcPr>
          <w:p>
            <w:pPr>
              <w:spacing w:after="0" w:line="240" w:lineRule="auto"/>
              <w:jc w:val="center"/>
            </w:pPr>
            <w:r>
              <w:rPr>
                <w:b w:val="0"/>
                <w:color w:val="000000"/>
                <w:sz w:val="18"/>
              </w:rPr>
              <w:t>1161.50</w:t>
            </w:r>
          </w:p>
        </w:tc>
      </w:tr>
    </w:tbl>
    <w:p>
      <w:pPr>
        <w:spacing w:after="0"/>
      </w:pPr>
    </w:p>
    <w:p>
      <w:pPr>
        <w:pStyle w:val="Heading2"/>
      </w:pPr>
      <w:r>
        <w:t>Vmid with sensors attached</w:t>
      </w:r>
    </w:p>
    <w:p>
      <w:r>
        <w:rPr>
          <w:b w:val="0"/>
          <w:sz w:val="18"/>
        </w:rPr>
        <w:t>The earlier attached-strip off/on/off test remains consistent with Vmid not fixing channel 11: ADC2 falls by 3.05 mV and returns exactly; its peer-channel deficit stays about 58.9 mV. ADC4 rises slightly but does not reverse after disabling Vmid. ADC2 channel 12 improves reversibly by 13.43 mV. At 10 MHz blocking, Vmid insertion reduces the measured attached-strip rate by about 61%.</w:t>
      </w:r>
    </w:p>
    <w:p>
      <w:r>
        <w:rPr>
          <w:b w:val="0"/>
          <w:sz w:val="18"/>
        </w:rPr>
        <w:t>Nominal voltage conversion is raw code × 2500/4096 mV. The temporary reference-route diagnostic build was removed; production firmware was restored and verified. Production still discards inserted Vmid conversions.</w:t>
      </w:r>
    </w:p>
    <w:p>
      <w:pPr>
        <w:pStyle w:val="Heading1"/>
        <w:pageBreakBefore/>
      </w:pPr>
      <w:r>
        <w:t>Manual sensor pressing and ghosting</w:t>
      </w:r>
    </w:p>
    <w:p>
      <w:r>
        <w:rPr>
          <w:b w:val="0"/>
          <w:sz w:val="18"/>
        </w:rPr>
        <w:t>Press each TOP sensor and observe the next sensor’s BOTTOM and LEFT channels in MUX order. The table covers six routes at 5/10/20 MHz; percentages are the tester’s visual estimates, not calibrated transfer ratios. Vmid insertion was off. Repeat, scan-order and engine settings were not recorded in these notes.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520"/>
        <w:gridCol w:w="2520"/>
        <w:gridCol w:w="2592"/>
      </w:tblGrid>
      <w:tr>
        <w:trPr>
          <w:cantSplit/>
          <w:tblHeader/>
        </w:trPr>
        <w:tc>
          <w:tcPr>
            <w:tcW w:type="dxa" w:w="2448"/>
            <w:vAlign w:val="center"/>
            <w:tcMar>
              <w:top w:w="48" w:type="dxa"/>
              <w:bottom w:w="48" w:type="dxa"/>
              <w:left w:w="75" w:type="dxa"/>
              <w:right w:w="75" w:type="dxa"/>
            </w:tcMar>
            <w:shd w:fill="244A63"/>
          </w:tcPr>
          <w:p>
            <w:pPr>
              <w:spacing w:after="0" w:line="240" w:lineRule="auto"/>
              <w:jc w:val="left"/>
            </w:pPr>
            <w:r>
              <w:rPr>
                <w:b/>
                <w:color w:val="FFFFFF"/>
                <w:sz w:val="18"/>
              </w:rPr>
              <w:t>Press → observe / bias</w:t>
            </w:r>
          </w:p>
        </w:tc>
        <w:tc>
          <w:tcPr>
            <w:tcW w:type="dxa" w:w="2520"/>
            <w:vAlign w:val="center"/>
            <w:tcMar>
              <w:top w:w="48" w:type="dxa"/>
              <w:bottom w:w="48" w:type="dxa"/>
              <w:left w:w="75" w:type="dxa"/>
              <w:right w:w="75" w:type="dxa"/>
            </w:tcMar>
            <w:shd w:fill="244A63"/>
          </w:tcPr>
          <w:p>
            <w:pPr>
              <w:spacing w:after="0" w:line="240" w:lineRule="auto"/>
              <w:jc w:val="center"/>
            </w:pPr>
            <w:r>
              <w:rPr>
                <w:b/>
                <w:color w:val="FFFFFF"/>
                <w:sz w:val="18"/>
              </w:rPr>
              <w:t>5 MHz</w:t>
            </w:r>
          </w:p>
        </w:tc>
        <w:tc>
          <w:tcPr>
            <w:tcW w:type="dxa" w:w="2520"/>
            <w:vAlign w:val="center"/>
            <w:tcMar>
              <w:top w:w="48" w:type="dxa"/>
              <w:bottom w:w="48" w:type="dxa"/>
              <w:left w:w="75" w:type="dxa"/>
              <w:right w:w="75" w:type="dxa"/>
            </w:tcMar>
            <w:shd w:fill="244A63"/>
          </w:tcPr>
          <w:p>
            <w:pPr>
              <w:spacing w:after="0" w:line="240" w:lineRule="auto"/>
              <w:jc w:val="center"/>
            </w:pPr>
            <w:r>
              <w:rPr>
                <w:b/>
                <w:color w:val="FFFFFF"/>
                <w:sz w:val="18"/>
              </w:rPr>
              <w:t>10 MHz</w:t>
            </w:r>
          </w:p>
        </w:tc>
        <w:tc>
          <w:tcPr>
            <w:tcW w:type="dxa" w:w="2592"/>
            <w:vAlign w:val="center"/>
            <w:tcMar>
              <w:top w:w="48" w:type="dxa"/>
              <w:bottom w:w="48" w:type="dxa"/>
              <w:left w:w="75" w:type="dxa"/>
              <w:right w:w="75" w:type="dxa"/>
            </w:tcMar>
            <w:shd w:fill="244A63"/>
          </w:tcPr>
          <w:p>
            <w:pPr>
              <w:spacing w:after="0" w:line="240" w:lineRule="auto"/>
              <w:jc w:val="center"/>
            </w:pPr>
            <w:r>
              <w:rPr>
                <w:b/>
                <w:color w:val="FFFFFF"/>
                <w:sz w:val="18"/>
              </w:rPr>
              <w:t>20 MHz</w:t>
            </w:r>
          </w:p>
        </w:tc>
      </w:tr>
      <w:tr>
        <w:trPr>
          <w:cantSplit/>
        </w:trPr>
        <w:tc>
          <w:tcPr>
            <w:tcW w:type="dxa" w:w="2448"/>
            <w:vAlign w:val="center"/>
            <w:tcMar>
              <w:top w:w="48" w:type="dxa"/>
              <w:bottom w:w="48" w:type="dxa"/>
              <w:left w:w="75" w:type="dxa"/>
              <w:right w:w="75" w:type="dxa"/>
            </w:tcMar>
            <w:shd w:fill="FFFFFF"/>
          </w:tcPr>
          <w:p>
            <w:pPr>
              <w:spacing w:after="0" w:line="240" w:lineRule="auto"/>
              <w:jc w:val="left"/>
            </w:pPr>
            <w:r>
              <w:rPr>
                <w:b w:val="0"/>
                <w:color w:val="000000"/>
                <w:sz w:val="18"/>
              </w:rPr>
              <w:t>A1 / ADC1</w:t>
              <w:br/>
              <w:t>1 MΩ</w:t>
              <w:br/>
              <w:t>6_T → 7_B, 7_L</w:t>
            </w:r>
          </w:p>
        </w:tc>
        <w:tc>
          <w:tcPr>
            <w:tcW w:type="dxa" w:w="2520"/>
            <w:vAlign w:val="center"/>
            <w:tcMar>
              <w:top w:w="48" w:type="dxa"/>
              <w:bottom w:w="48" w:type="dxa"/>
              <w:left w:w="75" w:type="dxa"/>
              <w:right w:w="75" w:type="dxa"/>
            </w:tcMar>
            <w:shd w:fill="FFFFFF"/>
          </w:tcPr>
          <w:p>
            <w:pPr>
              <w:spacing w:after="0" w:line="240" w:lineRule="auto"/>
              <w:jc w:val="center"/>
            </w:pPr>
            <w:r>
              <w:rPr>
                <w:b w:val="0"/>
                <w:color w:val="000000"/>
                <w:sz w:val="18"/>
              </w:rPr>
              <w:t>~30% at B; also at L</w:t>
            </w:r>
          </w:p>
        </w:tc>
        <w:tc>
          <w:tcPr>
            <w:tcW w:type="dxa" w:w="2520"/>
            <w:vAlign w:val="center"/>
            <w:tcMar>
              <w:top w:w="48" w:type="dxa"/>
              <w:bottom w:w="48" w:type="dxa"/>
              <w:left w:w="75" w:type="dxa"/>
              <w:right w:w="75" w:type="dxa"/>
            </w:tcMar>
            <w:shd w:fill="FFFFFF"/>
          </w:tcPr>
          <w:p>
            <w:pPr>
              <w:spacing w:after="0" w:line="240" w:lineRule="auto"/>
              <w:jc w:val="center"/>
            </w:pPr>
            <w:r>
              <w:rPr>
                <w:b w:val="0"/>
                <w:color w:val="000000"/>
                <w:sz w:val="18"/>
              </w:rPr>
              <w:t>Almost 50% at B; also at L</w:t>
            </w:r>
          </w:p>
        </w:tc>
        <w:tc>
          <w:tcPr>
            <w:tcW w:type="dxa" w:w="2592"/>
            <w:vAlign w:val="center"/>
            <w:tcMar>
              <w:top w:w="48" w:type="dxa"/>
              <w:bottom w:w="48" w:type="dxa"/>
              <w:left w:w="75" w:type="dxa"/>
              <w:right w:w="75" w:type="dxa"/>
            </w:tcMar>
            <w:shd w:fill="FFFFFF"/>
          </w:tcPr>
          <w:p>
            <w:pPr>
              <w:spacing w:after="0" w:line="240" w:lineRule="auto"/>
              <w:jc w:val="center"/>
            </w:pPr>
            <w:r>
              <w:rPr>
                <w:b w:val="0"/>
                <w:color w:val="000000"/>
                <w:sz w:val="18"/>
              </w:rPr>
              <w:t>&gt;50% at B; also at L</w:t>
            </w:r>
          </w:p>
        </w:tc>
      </w:tr>
      <w:tr>
        <w:trPr>
          <w:cantSplit/>
        </w:trPr>
        <w:tc>
          <w:tcPr>
            <w:tcW w:type="dxa" w:w="2448"/>
            <w:vAlign w:val="center"/>
            <w:tcMar>
              <w:top w:w="48" w:type="dxa"/>
              <w:bottom w:w="48" w:type="dxa"/>
              <w:left w:w="75" w:type="dxa"/>
              <w:right w:w="75" w:type="dxa"/>
            </w:tcMar>
            <w:shd w:fill="F2F5F7"/>
          </w:tcPr>
          <w:p>
            <w:pPr>
              <w:spacing w:after="0" w:line="240" w:lineRule="auto"/>
              <w:jc w:val="left"/>
            </w:pPr>
            <w:r>
              <w:rPr>
                <w:b w:val="0"/>
                <w:color w:val="000000"/>
                <w:sz w:val="18"/>
              </w:rPr>
              <w:t>A1 / ADC2</w:t>
              <w:br/>
              <w:t>470 kΩ</w:t>
              <w:br/>
              <w:t>1_T → 3_B, 3_L</w:t>
            </w:r>
          </w:p>
        </w:tc>
        <w:tc>
          <w:tcPr>
            <w:tcW w:type="dxa" w:w="2520"/>
            <w:vAlign w:val="center"/>
            <w:tcMar>
              <w:top w:w="48" w:type="dxa"/>
              <w:bottom w:w="48" w:type="dxa"/>
              <w:left w:w="75" w:type="dxa"/>
              <w:right w:w="75" w:type="dxa"/>
            </w:tcMar>
            <w:shd w:fill="F2F5F7"/>
          </w:tcPr>
          <w:p>
            <w:pPr>
              <w:spacing w:after="0" w:line="240" w:lineRule="auto"/>
              <w:jc w:val="center"/>
            </w:pPr>
            <w:r>
              <w:rPr>
                <w:b w:val="0"/>
                <w:color w:val="000000"/>
                <w:sz w:val="18"/>
              </w:rPr>
              <w:t>&lt;20% at B; none at L</w:t>
            </w:r>
          </w:p>
        </w:tc>
        <w:tc>
          <w:tcPr>
            <w:tcW w:type="dxa" w:w="2520"/>
            <w:vAlign w:val="center"/>
            <w:tcMar>
              <w:top w:w="48" w:type="dxa"/>
              <w:bottom w:w="48" w:type="dxa"/>
              <w:left w:w="75" w:type="dxa"/>
              <w:right w:w="75" w:type="dxa"/>
            </w:tcMar>
            <w:shd w:fill="F2F5F7"/>
          </w:tcPr>
          <w:p>
            <w:pPr>
              <w:spacing w:after="0" w:line="240" w:lineRule="auto"/>
              <w:jc w:val="center"/>
            </w:pPr>
            <w:r>
              <w:rPr>
                <w:b w:val="0"/>
                <w:color w:val="000000"/>
                <w:sz w:val="18"/>
              </w:rPr>
              <w:t>~40% at B; also at L</w:t>
            </w:r>
          </w:p>
        </w:tc>
        <w:tc>
          <w:tcPr>
            <w:tcW w:type="dxa" w:w="2592"/>
            <w:vAlign w:val="center"/>
            <w:tcMar>
              <w:top w:w="48" w:type="dxa"/>
              <w:bottom w:w="48" w:type="dxa"/>
              <w:left w:w="75" w:type="dxa"/>
              <w:right w:w="75" w:type="dxa"/>
            </w:tcMar>
            <w:shd w:fill="F2F5F7"/>
          </w:tcPr>
          <w:p>
            <w:pPr>
              <w:spacing w:after="0" w:line="240" w:lineRule="auto"/>
              <w:jc w:val="center"/>
            </w:pPr>
            <w:r>
              <w:rPr>
                <w:b w:val="0"/>
                <w:color w:val="000000"/>
                <w:sz w:val="18"/>
              </w:rPr>
              <w:t>~40% at B; also at L</w:t>
            </w:r>
          </w:p>
        </w:tc>
      </w:tr>
      <w:tr>
        <w:trPr>
          <w:cantSplit/>
        </w:trPr>
        <w:tc>
          <w:tcPr>
            <w:tcW w:type="dxa" w:w="2448"/>
            <w:vAlign w:val="center"/>
            <w:tcMar>
              <w:top w:w="48" w:type="dxa"/>
              <w:bottom w:w="48" w:type="dxa"/>
              <w:left w:w="75" w:type="dxa"/>
              <w:right w:w="75" w:type="dxa"/>
            </w:tcMar>
            <w:shd w:fill="FFFFFF"/>
          </w:tcPr>
          <w:p>
            <w:pPr>
              <w:spacing w:after="0" w:line="240" w:lineRule="auto"/>
              <w:jc w:val="left"/>
            </w:pPr>
            <w:r>
              <w:rPr>
                <w:b w:val="0"/>
                <w:color w:val="000000"/>
                <w:sz w:val="18"/>
              </w:rPr>
              <w:t>A1 / ADC2</w:t>
              <w:br/>
              <w:t>470 kΩ</w:t>
              <w:br/>
              <w:t>3_T → 5_B, 5_L</w:t>
            </w:r>
          </w:p>
        </w:tc>
        <w:tc>
          <w:tcPr>
            <w:tcW w:type="dxa" w:w="2520"/>
            <w:vAlign w:val="center"/>
            <w:tcMar>
              <w:top w:w="48" w:type="dxa"/>
              <w:bottom w:w="48" w:type="dxa"/>
              <w:left w:w="75" w:type="dxa"/>
              <w:right w:w="75" w:type="dxa"/>
            </w:tcMar>
            <w:shd w:fill="FFFFFF"/>
          </w:tcPr>
          <w:p>
            <w:pPr>
              <w:spacing w:after="0" w:line="240" w:lineRule="auto"/>
              <w:jc w:val="center"/>
            </w:pPr>
            <w:r>
              <w:rPr>
                <w:b w:val="0"/>
                <w:color w:val="000000"/>
                <w:sz w:val="18"/>
              </w:rPr>
              <w:t>~20% at B; small at L</w:t>
            </w:r>
          </w:p>
        </w:tc>
        <w:tc>
          <w:tcPr>
            <w:tcW w:type="dxa" w:w="2520"/>
            <w:vAlign w:val="center"/>
            <w:tcMar>
              <w:top w:w="48" w:type="dxa"/>
              <w:bottom w:w="48" w:type="dxa"/>
              <w:left w:w="75" w:type="dxa"/>
              <w:right w:w="75" w:type="dxa"/>
            </w:tcMar>
            <w:shd w:fill="FFFFFF"/>
          </w:tcPr>
          <w:p>
            <w:pPr>
              <w:spacing w:after="0" w:line="240" w:lineRule="auto"/>
              <w:jc w:val="center"/>
            </w:pPr>
            <w:r>
              <w:rPr>
                <w:b w:val="0"/>
                <w:color w:val="000000"/>
                <w:sz w:val="18"/>
              </w:rPr>
              <w:t>~30% at B; also at L</w:t>
            </w:r>
          </w:p>
        </w:tc>
        <w:tc>
          <w:tcPr>
            <w:tcW w:type="dxa" w:w="2592"/>
            <w:vAlign w:val="center"/>
            <w:tcMar>
              <w:top w:w="48" w:type="dxa"/>
              <w:bottom w:w="48" w:type="dxa"/>
              <w:left w:w="75" w:type="dxa"/>
              <w:right w:w="75" w:type="dxa"/>
            </w:tcMar>
            <w:shd w:fill="FFFFFF"/>
          </w:tcPr>
          <w:p>
            <w:pPr>
              <w:spacing w:after="0" w:line="240" w:lineRule="auto"/>
              <w:jc w:val="center"/>
            </w:pPr>
            <w:r>
              <w:rPr>
                <w:b w:val="0"/>
                <w:color w:val="000000"/>
                <w:sz w:val="18"/>
              </w:rPr>
              <w:t>&gt;50% at B; also at L</w:t>
            </w:r>
          </w:p>
        </w:tc>
      </w:tr>
      <w:tr>
        <w:trPr>
          <w:cantSplit/>
        </w:trPr>
        <w:tc>
          <w:tcPr>
            <w:tcW w:type="dxa" w:w="2448"/>
            <w:vAlign w:val="center"/>
            <w:tcMar>
              <w:top w:w="48" w:type="dxa"/>
              <w:bottom w:w="48" w:type="dxa"/>
              <w:left w:w="75" w:type="dxa"/>
              <w:right w:w="75" w:type="dxa"/>
            </w:tcMar>
            <w:shd w:fill="F2F5F7"/>
          </w:tcPr>
          <w:p>
            <w:pPr>
              <w:spacing w:after="0" w:line="240" w:lineRule="auto"/>
              <w:jc w:val="left"/>
            </w:pPr>
            <w:r>
              <w:rPr>
                <w:b w:val="0"/>
                <w:color w:val="000000"/>
                <w:sz w:val="18"/>
              </w:rPr>
              <w:t>A2 / ADC3</w:t>
              <w:br/>
              <w:t>470 kΩ</w:t>
              <w:br/>
              <w:t>6_T → 7_B, 7_L</w:t>
            </w:r>
          </w:p>
        </w:tc>
        <w:tc>
          <w:tcPr>
            <w:tcW w:type="dxa" w:w="2520"/>
            <w:vAlign w:val="center"/>
            <w:tcMar>
              <w:top w:w="48" w:type="dxa"/>
              <w:bottom w:w="48" w:type="dxa"/>
              <w:left w:w="75" w:type="dxa"/>
              <w:right w:w="75" w:type="dxa"/>
            </w:tcMar>
            <w:shd w:fill="F2F5F7"/>
          </w:tcPr>
          <w:p>
            <w:pPr>
              <w:spacing w:after="0" w:line="240" w:lineRule="auto"/>
              <w:jc w:val="center"/>
            </w:pPr>
            <w:r>
              <w:rPr>
                <w:b w:val="0"/>
                <w:color w:val="000000"/>
                <w:sz w:val="18"/>
              </w:rPr>
              <w:t>Some at B; small at L</w:t>
            </w:r>
          </w:p>
        </w:tc>
        <w:tc>
          <w:tcPr>
            <w:tcW w:type="dxa" w:w="2520"/>
            <w:vAlign w:val="center"/>
            <w:tcMar>
              <w:top w:w="48" w:type="dxa"/>
              <w:bottom w:w="48" w:type="dxa"/>
              <w:left w:w="75" w:type="dxa"/>
              <w:right w:w="75" w:type="dxa"/>
            </w:tcMar>
            <w:shd w:fill="F2F5F7"/>
          </w:tcPr>
          <w:p>
            <w:pPr>
              <w:spacing w:after="0" w:line="240" w:lineRule="auto"/>
              <w:jc w:val="center"/>
            </w:pPr>
            <w:r>
              <w:rPr>
                <w:b w:val="0"/>
                <w:color w:val="000000"/>
                <w:sz w:val="18"/>
              </w:rPr>
              <w:t>~40% at B; also at L</w:t>
            </w:r>
          </w:p>
        </w:tc>
        <w:tc>
          <w:tcPr>
            <w:tcW w:type="dxa" w:w="2592"/>
            <w:vAlign w:val="center"/>
            <w:tcMar>
              <w:top w:w="48" w:type="dxa"/>
              <w:bottom w:w="48" w:type="dxa"/>
              <w:left w:w="75" w:type="dxa"/>
              <w:right w:w="75" w:type="dxa"/>
            </w:tcMar>
            <w:shd w:fill="F2F5F7"/>
          </w:tcPr>
          <w:p>
            <w:pPr>
              <w:spacing w:after="0" w:line="240" w:lineRule="auto"/>
              <w:jc w:val="center"/>
            </w:pPr>
            <w:r>
              <w:rPr>
                <w:b w:val="0"/>
                <w:color w:val="000000"/>
                <w:sz w:val="18"/>
              </w:rPr>
              <w:t>&gt;50% at B; also at L</w:t>
            </w:r>
          </w:p>
        </w:tc>
      </w:tr>
      <w:tr>
        <w:trPr>
          <w:cantSplit/>
        </w:trPr>
        <w:tc>
          <w:tcPr>
            <w:tcW w:type="dxa" w:w="2448"/>
            <w:vAlign w:val="center"/>
            <w:tcMar>
              <w:top w:w="48" w:type="dxa"/>
              <w:bottom w:w="48" w:type="dxa"/>
              <w:left w:w="75" w:type="dxa"/>
              <w:right w:w="75" w:type="dxa"/>
            </w:tcMar>
            <w:shd w:fill="FFFFFF"/>
          </w:tcPr>
          <w:p>
            <w:pPr>
              <w:spacing w:after="0" w:line="240" w:lineRule="auto"/>
              <w:jc w:val="left"/>
            </w:pPr>
            <w:r>
              <w:rPr>
                <w:b w:val="0"/>
                <w:color w:val="000000"/>
                <w:sz w:val="18"/>
              </w:rPr>
              <w:t>A2 / ADC4</w:t>
              <w:br/>
              <w:t>249 kΩ</w:t>
              <w:br/>
              <w:t>1_T → 3_B, 3_L</w:t>
            </w:r>
          </w:p>
        </w:tc>
        <w:tc>
          <w:tcPr>
            <w:tcW w:type="dxa" w:w="2520"/>
            <w:vAlign w:val="center"/>
            <w:tcMar>
              <w:top w:w="48" w:type="dxa"/>
              <w:bottom w:w="48" w:type="dxa"/>
              <w:left w:w="75" w:type="dxa"/>
              <w:right w:w="75" w:type="dxa"/>
            </w:tcMar>
            <w:shd w:fill="FFFFFF"/>
          </w:tcPr>
          <w:p>
            <w:pPr>
              <w:spacing w:after="0" w:line="240" w:lineRule="auto"/>
              <w:jc w:val="center"/>
            </w:pPr>
            <w:r>
              <w:rPr>
                <w:b w:val="0"/>
                <w:color w:val="000000"/>
                <w:sz w:val="18"/>
              </w:rPr>
              <w:t>Very small at B; none at L</w:t>
            </w:r>
          </w:p>
        </w:tc>
        <w:tc>
          <w:tcPr>
            <w:tcW w:type="dxa" w:w="2520"/>
            <w:vAlign w:val="center"/>
            <w:tcMar>
              <w:top w:w="48" w:type="dxa"/>
              <w:bottom w:w="48" w:type="dxa"/>
              <w:left w:w="75" w:type="dxa"/>
              <w:right w:w="75" w:type="dxa"/>
            </w:tcMar>
            <w:shd w:fill="FFFFFF"/>
          </w:tcPr>
          <w:p>
            <w:pPr>
              <w:spacing w:after="0" w:line="240" w:lineRule="auto"/>
              <w:jc w:val="center"/>
            </w:pPr>
            <w:r>
              <w:rPr>
                <w:b w:val="0"/>
                <w:color w:val="000000"/>
                <w:sz w:val="18"/>
              </w:rPr>
              <w:t>Small; more than at 5 MHz; barely at L</w:t>
            </w:r>
          </w:p>
        </w:tc>
        <w:tc>
          <w:tcPr>
            <w:tcW w:type="dxa" w:w="2592"/>
            <w:vAlign w:val="center"/>
            <w:tcMar>
              <w:top w:w="48" w:type="dxa"/>
              <w:bottom w:w="48" w:type="dxa"/>
              <w:left w:w="75" w:type="dxa"/>
              <w:right w:w="75" w:type="dxa"/>
            </w:tcMar>
            <w:shd w:fill="FFFFFF"/>
          </w:tcPr>
          <w:p>
            <w:pPr>
              <w:spacing w:after="0" w:line="240" w:lineRule="auto"/>
              <w:jc w:val="center"/>
            </w:pPr>
            <w:r>
              <w:rPr>
                <w:b w:val="0"/>
                <w:color w:val="000000"/>
                <w:sz w:val="18"/>
              </w:rPr>
              <w:t>More than at 10 MHz; below 470 kΩ / 1 MΩ; very small at L</w:t>
            </w:r>
          </w:p>
        </w:tc>
      </w:tr>
      <w:tr>
        <w:trPr>
          <w:cantSplit/>
        </w:trPr>
        <w:tc>
          <w:tcPr>
            <w:tcW w:type="dxa" w:w="2448"/>
            <w:vAlign w:val="center"/>
            <w:tcMar>
              <w:top w:w="48" w:type="dxa"/>
              <w:bottom w:w="48" w:type="dxa"/>
              <w:left w:w="75" w:type="dxa"/>
              <w:right w:w="75" w:type="dxa"/>
            </w:tcMar>
            <w:shd w:fill="F2F5F7"/>
          </w:tcPr>
          <w:p>
            <w:pPr>
              <w:spacing w:after="0" w:line="240" w:lineRule="auto"/>
              <w:jc w:val="left"/>
            </w:pPr>
            <w:r>
              <w:rPr>
                <w:b w:val="0"/>
                <w:color w:val="000000"/>
                <w:sz w:val="18"/>
              </w:rPr>
              <w:t>A2 / ADC4</w:t>
              <w:br/>
              <w:t>249 kΩ</w:t>
              <w:br/>
              <w:t>3_T → 5_B, 5_L</w:t>
            </w:r>
          </w:p>
        </w:tc>
        <w:tc>
          <w:tcPr>
            <w:tcW w:type="dxa" w:w="2520"/>
            <w:vAlign w:val="center"/>
            <w:tcMar>
              <w:top w:w="48" w:type="dxa"/>
              <w:bottom w:w="48" w:type="dxa"/>
              <w:left w:w="75" w:type="dxa"/>
              <w:right w:w="75" w:type="dxa"/>
            </w:tcMar>
            <w:shd w:fill="F2F5F7"/>
          </w:tcPr>
          <w:p>
            <w:pPr>
              <w:spacing w:after="0" w:line="240" w:lineRule="auto"/>
              <w:jc w:val="center"/>
            </w:pPr>
            <w:r>
              <w:rPr>
                <w:b w:val="0"/>
                <w:color w:val="000000"/>
                <w:sz w:val="18"/>
              </w:rPr>
              <w:t>Very small at B; none at L</w:t>
            </w:r>
          </w:p>
        </w:tc>
        <w:tc>
          <w:tcPr>
            <w:tcW w:type="dxa" w:w="2520"/>
            <w:vAlign w:val="center"/>
            <w:tcMar>
              <w:top w:w="48" w:type="dxa"/>
              <w:bottom w:w="48" w:type="dxa"/>
              <w:left w:w="75" w:type="dxa"/>
              <w:right w:w="75" w:type="dxa"/>
            </w:tcMar>
            <w:shd w:fill="F2F5F7"/>
          </w:tcPr>
          <w:p>
            <w:pPr>
              <w:spacing w:after="0" w:line="240" w:lineRule="auto"/>
              <w:jc w:val="center"/>
            </w:pPr>
            <w:r>
              <w:rPr>
                <w:b w:val="0"/>
                <w:color w:val="000000"/>
                <w:sz w:val="18"/>
              </w:rPr>
              <w:t>Small; more than at 5 MHz; barely at L</w:t>
            </w:r>
          </w:p>
        </w:tc>
        <w:tc>
          <w:tcPr>
            <w:tcW w:type="dxa" w:w="2592"/>
            <w:vAlign w:val="center"/>
            <w:tcMar>
              <w:top w:w="48" w:type="dxa"/>
              <w:bottom w:w="48" w:type="dxa"/>
              <w:left w:w="75" w:type="dxa"/>
              <w:right w:w="75" w:type="dxa"/>
            </w:tcMar>
            <w:shd w:fill="F2F5F7"/>
          </w:tcPr>
          <w:p>
            <w:pPr>
              <w:spacing w:after="0" w:line="240" w:lineRule="auto"/>
              <w:jc w:val="center"/>
            </w:pPr>
            <w:r>
              <w:rPr>
                <w:b w:val="0"/>
                <w:color w:val="000000"/>
                <w:sz w:val="18"/>
              </w:rPr>
              <w:t>More than at 10 MHz; below 470 kΩ / 1 MΩ; very small at L</w:t>
            </w:r>
          </w:p>
        </w:tc>
      </w:tr>
    </w:tbl>
    <w:p>
      <w:pPr>
        <w:spacing w:after="0"/>
      </w:pPr>
    </w:p>
    <w:p>
      <w:r>
        <w:rPr>
          <w:b w:val="0"/>
          <w:sz w:val="18"/>
        </w:rPr>
        <w:t>Route key: 6_T / 1_T = ch4; 7_B / 3_B = ch5; 7_L / 3_L = ch6; 3_T = ch9; 5_B = ch10; 5_L = ch11. Array 2 uses global ADC3/4. The first Array-2 5 MHz note’s next-channel label is interpreted as PZT7_L, matching the stated route.</w:t>
      </w:r>
    </w:p>
    <w:p>
      <w:pPr>
        <w:keepNext/>
        <w:spacing w:after="40"/>
      </w:pPr>
      <w:r>
        <w:drawing>
          <wp:inline xmlns:a="http://schemas.openxmlformats.org/drawingml/2006/main" xmlns:pic="http://schemas.openxmlformats.org/drawingml/2006/picture">
            <wp:extent cx="6126480" cy="1515498"/>
            <wp:docPr id="7" name="Picture 7"/>
            <wp:cNvGraphicFramePr>
              <a:graphicFrameLocks noChangeAspect="1"/>
            </wp:cNvGraphicFramePr>
            <a:graphic>
              <a:graphicData uri="http://schemas.openxmlformats.org/drawingml/2006/picture">
                <pic:pic>
                  <pic:nvPicPr>
                    <pic:cNvPr id="0" name="manual_ghosting.png"/>
                    <pic:cNvPicPr/>
                  </pic:nvPicPr>
                  <pic:blipFill>
                    <a:blip r:embed="rId17"/>
                    <a:stretch>
                      <a:fillRect/>
                    </a:stretch>
                  </pic:blipFill>
                  <pic:spPr>
                    <a:xfrm>
                      <a:off x="0" y="0"/>
                      <a:ext cx="6126480" cy="1515498"/>
                    </a:xfrm>
                    <a:prstGeom prst="rect"/>
                  </pic:spPr>
                </pic:pic>
              </a:graphicData>
            </a:graphic>
          </wp:inline>
        </w:drawing>
      </w:r>
    </w:p>
    <w:p>
      <w:pPr>
        <w:pStyle w:val="Caption"/>
      </w:pPr>
      <w:r>
        <w:t>Figure 7  Only the three Array-1 routes with numerical estimates at every speed are plotted. Triangles and labels show upper/lower bounds; no percentage is invented for qualitative Array-2 results.</w:t>
      </w:r>
    </w:p>
    <w:p>
      <w:r>
        <w:rPr>
          <w:b/>
          <w:sz w:val="18"/>
        </w:rPr>
        <w:t>No ghosting was noticed on earlier channels or across different ADC/MUXs. Within one sensor, manual pressing cannot reliably separate electrical ghosting from physical coupling. Increasing SPI speed worsens forward carryover; the lower-resistance path shows less carryover. This is consistent with shared-node recovery / settling, but resistor value is confounded with ADC and routing.</w:t>
      </w:r>
    </w:p>
    <w:p>
      <w:pPr>
        <w:pStyle w:val="Heading1"/>
        <w:pageBreakBefore/>
      </w:pPr>
      <w:r>
        <w:t>Manual ghosting with Vmid on at 20 MHz</w:t>
      </w:r>
    </w:p>
    <w:p>
      <w:r>
        <w:rPr>
          <w:b w:val="0"/>
          <w:sz w:val="18"/>
        </w:rPr>
        <w:t>The same six pressing routes were repeated with Vmid insertion on at 20 MHz. The improvement was sufficient that the tester did not repeat the lower clocks. Results remain manual visual observations; engine, scan order and channel repeat were not supplied.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600"/>
      </w:tblGrid>
      <w:tr>
        <w:trPr>
          <w:cantSplit/>
          <w:tblHeader/>
        </w:trPr>
        <w:tc>
          <w:tcPr>
            <w:tcW w:type="dxa" w:w="2880"/>
            <w:vAlign w:val="center"/>
            <w:tcMar>
              <w:top w:w="48" w:type="dxa"/>
              <w:bottom w:w="48" w:type="dxa"/>
              <w:left w:w="75" w:type="dxa"/>
              <w:right w:w="75" w:type="dxa"/>
            </w:tcMar>
            <w:shd w:fill="244A63"/>
          </w:tcPr>
          <w:p>
            <w:pPr>
              <w:spacing w:after="0" w:line="240" w:lineRule="auto"/>
              <w:jc w:val="left"/>
            </w:pPr>
            <w:r>
              <w:rPr>
                <w:b/>
                <w:color w:val="FFFFFF"/>
                <w:sz w:val="18"/>
              </w:rPr>
              <w:t>Route / shared bias</w:t>
            </w:r>
          </w:p>
        </w:tc>
        <w:tc>
          <w:tcPr>
            <w:tcW w:type="dxa" w:w="3600"/>
            <w:vAlign w:val="center"/>
            <w:tcMar>
              <w:top w:w="48" w:type="dxa"/>
              <w:bottom w:w="48" w:type="dxa"/>
              <w:left w:w="75" w:type="dxa"/>
              <w:right w:w="75" w:type="dxa"/>
            </w:tcMar>
            <w:shd w:fill="244A63"/>
          </w:tcPr>
          <w:p>
            <w:pPr>
              <w:spacing w:after="0" w:line="240" w:lineRule="auto"/>
              <w:jc w:val="center"/>
            </w:pPr>
            <w:r>
              <w:rPr>
                <w:b/>
                <w:color w:val="FFFFFF"/>
                <w:sz w:val="18"/>
              </w:rPr>
              <w:t>20 MHz Vmid off</w:t>
            </w:r>
          </w:p>
        </w:tc>
        <w:tc>
          <w:tcPr>
            <w:tcW w:type="dxa" w:w="3600"/>
            <w:vAlign w:val="center"/>
            <w:tcMar>
              <w:top w:w="48" w:type="dxa"/>
              <w:bottom w:w="48" w:type="dxa"/>
              <w:left w:w="75" w:type="dxa"/>
              <w:right w:w="75" w:type="dxa"/>
            </w:tcMar>
            <w:shd w:fill="244A63"/>
          </w:tcPr>
          <w:p>
            <w:pPr>
              <w:spacing w:after="0" w:line="240" w:lineRule="auto"/>
              <w:jc w:val="center"/>
            </w:pPr>
            <w:r>
              <w:rPr>
                <w:b/>
                <w:color w:val="FFFFFF"/>
                <w:sz w:val="18"/>
              </w:rPr>
              <w:t>20 MHz Vmid on</w:t>
            </w:r>
          </w:p>
        </w:tc>
      </w:tr>
      <w:tr>
        <w:trPr>
          <w:cantSplit/>
        </w:trPr>
        <w:tc>
          <w:tcPr>
            <w:tcW w:type="dxa" w:w="2880"/>
            <w:vAlign w:val="center"/>
            <w:tcMar>
              <w:top w:w="48" w:type="dxa"/>
              <w:bottom w:w="48" w:type="dxa"/>
              <w:left w:w="75" w:type="dxa"/>
              <w:right w:w="75" w:type="dxa"/>
            </w:tcMar>
            <w:shd w:fill="FFFFFF"/>
          </w:tcPr>
          <w:p>
            <w:pPr>
              <w:spacing w:after="0" w:line="240" w:lineRule="auto"/>
              <w:jc w:val="left"/>
            </w:pPr>
            <w:r>
              <w:rPr>
                <w:b w:val="0"/>
                <w:color w:val="000000"/>
                <w:sz w:val="18"/>
              </w:rPr>
              <w:t>A1 ADC1 / 1 MΩ</w:t>
              <w:br/>
              <w:t>6_T → 7_B</w:t>
            </w:r>
          </w:p>
        </w:tc>
        <w:tc>
          <w:tcPr>
            <w:tcW w:type="dxa" w:w="3600"/>
            <w:vAlign w:val="center"/>
            <w:tcMar>
              <w:top w:w="48" w:type="dxa"/>
              <w:bottom w:w="48" w:type="dxa"/>
              <w:left w:w="75" w:type="dxa"/>
              <w:right w:w="75" w:type="dxa"/>
            </w:tcMar>
            <w:shd w:fill="FFFFFF"/>
          </w:tcPr>
          <w:p>
            <w:pPr>
              <w:spacing w:after="0" w:line="240" w:lineRule="auto"/>
              <w:jc w:val="center"/>
            </w:pPr>
            <w:r>
              <w:rPr>
                <w:b w:val="0"/>
                <w:color w:val="000000"/>
                <w:sz w:val="18"/>
              </w:rPr>
              <w:t>&gt;50%; also follows to 7_L</w:t>
            </w:r>
          </w:p>
        </w:tc>
        <w:tc>
          <w:tcPr>
            <w:tcW w:type="dxa" w:w="3600"/>
            <w:vAlign w:val="center"/>
            <w:tcMar>
              <w:top w:w="48" w:type="dxa"/>
              <w:bottom w:w="48" w:type="dxa"/>
              <w:left w:w="75" w:type="dxa"/>
              <w:right w:w="75" w:type="dxa"/>
            </w:tcMar>
            <w:shd w:fill="FFFFFF"/>
          </w:tcPr>
          <w:p>
            <w:pPr>
              <w:spacing w:after="0" w:line="240" w:lineRule="auto"/>
              <w:jc w:val="center"/>
            </w:pPr>
            <w:r>
              <w:rPr>
                <w:b w:val="0"/>
                <w:color w:val="000000"/>
                <w:sz w:val="18"/>
              </w:rPr>
              <w:t>&lt;20% at 7_B; none follows to 7_L</w:t>
            </w:r>
          </w:p>
        </w:tc>
      </w:tr>
      <w:tr>
        <w:trPr>
          <w:cantSplit/>
        </w:trPr>
        <w:tc>
          <w:tcPr>
            <w:tcW w:type="dxa" w:w="2880"/>
            <w:vAlign w:val="center"/>
            <w:tcMar>
              <w:top w:w="48" w:type="dxa"/>
              <w:bottom w:w="48" w:type="dxa"/>
              <w:left w:w="75" w:type="dxa"/>
              <w:right w:w="75" w:type="dxa"/>
            </w:tcMar>
            <w:shd w:fill="F2F5F7"/>
          </w:tcPr>
          <w:p>
            <w:pPr>
              <w:spacing w:after="0" w:line="240" w:lineRule="auto"/>
              <w:jc w:val="left"/>
            </w:pPr>
            <w:r>
              <w:rPr>
                <w:b w:val="0"/>
                <w:color w:val="000000"/>
                <w:sz w:val="18"/>
              </w:rPr>
              <w:t>A1 ADC2 / 470 kΩ</w:t>
              <w:br/>
              <w:t>1_T → 3_B</w:t>
            </w:r>
          </w:p>
        </w:tc>
        <w:tc>
          <w:tcPr>
            <w:tcW w:type="dxa" w:w="3600"/>
            <w:vAlign w:val="center"/>
            <w:tcMar>
              <w:top w:w="48" w:type="dxa"/>
              <w:bottom w:w="48" w:type="dxa"/>
              <w:left w:w="75" w:type="dxa"/>
              <w:right w:w="75" w:type="dxa"/>
            </w:tcMar>
            <w:shd w:fill="F2F5F7"/>
          </w:tcPr>
          <w:p>
            <w:pPr>
              <w:spacing w:after="0" w:line="240" w:lineRule="auto"/>
              <w:jc w:val="center"/>
            </w:pPr>
            <w:r>
              <w:rPr>
                <w:b w:val="0"/>
                <w:color w:val="000000"/>
                <w:sz w:val="18"/>
              </w:rPr>
              <w:t>~40%; also follows to 3_L</w:t>
            </w:r>
          </w:p>
        </w:tc>
        <w:tc>
          <w:tcPr>
            <w:tcW w:type="dxa" w:w="3600"/>
            <w:vAlign w:val="center"/>
            <w:tcMar>
              <w:top w:w="48" w:type="dxa"/>
              <w:bottom w:w="48" w:type="dxa"/>
              <w:left w:w="75" w:type="dxa"/>
              <w:right w:w="75" w:type="dxa"/>
            </w:tcMar>
            <w:shd w:fill="F2F5F7"/>
          </w:tcPr>
          <w:p>
            <w:pPr>
              <w:spacing w:after="0" w:line="240" w:lineRule="auto"/>
              <w:jc w:val="center"/>
            </w:pPr>
            <w:r>
              <w:rPr>
                <w:b w:val="0"/>
                <w:color w:val="000000"/>
                <w:sz w:val="18"/>
              </w:rPr>
              <w:t>No ghosting observed at 3_B</w:t>
            </w:r>
          </w:p>
        </w:tc>
      </w:tr>
      <w:tr>
        <w:trPr>
          <w:cantSplit/>
        </w:trPr>
        <w:tc>
          <w:tcPr>
            <w:tcW w:type="dxa" w:w="2880"/>
            <w:vAlign w:val="center"/>
            <w:tcMar>
              <w:top w:w="48" w:type="dxa"/>
              <w:bottom w:w="48" w:type="dxa"/>
              <w:left w:w="75" w:type="dxa"/>
              <w:right w:w="75" w:type="dxa"/>
            </w:tcMar>
            <w:shd w:fill="FFFFFF"/>
          </w:tcPr>
          <w:p>
            <w:pPr>
              <w:spacing w:after="0" w:line="240" w:lineRule="auto"/>
              <w:jc w:val="left"/>
            </w:pPr>
            <w:r>
              <w:rPr>
                <w:b w:val="0"/>
                <w:color w:val="000000"/>
                <w:sz w:val="18"/>
              </w:rPr>
              <w:t>A1 ADC2 / 470 kΩ</w:t>
              <w:br/>
              <w:t>3_T → 5_B</w:t>
            </w:r>
          </w:p>
        </w:tc>
        <w:tc>
          <w:tcPr>
            <w:tcW w:type="dxa" w:w="3600"/>
            <w:vAlign w:val="center"/>
            <w:tcMar>
              <w:top w:w="48" w:type="dxa"/>
              <w:bottom w:w="48" w:type="dxa"/>
              <w:left w:w="75" w:type="dxa"/>
              <w:right w:w="75" w:type="dxa"/>
            </w:tcMar>
            <w:shd w:fill="FFFFFF"/>
          </w:tcPr>
          <w:p>
            <w:pPr>
              <w:spacing w:after="0" w:line="240" w:lineRule="auto"/>
              <w:jc w:val="center"/>
            </w:pPr>
            <w:r>
              <w:rPr>
                <w:b w:val="0"/>
                <w:color w:val="000000"/>
                <w:sz w:val="18"/>
              </w:rPr>
              <w:t>&gt;50%; also follows to 5_L</w:t>
            </w:r>
          </w:p>
        </w:tc>
        <w:tc>
          <w:tcPr>
            <w:tcW w:type="dxa" w:w="3600"/>
            <w:vAlign w:val="center"/>
            <w:tcMar>
              <w:top w:w="48" w:type="dxa"/>
              <w:bottom w:w="48" w:type="dxa"/>
              <w:left w:w="75" w:type="dxa"/>
              <w:right w:w="75" w:type="dxa"/>
            </w:tcMar>
            <w:shd w:fill="FFFFFF"/>
          </w:tcPr>
          <w:p>
            <w:pPr>
              <w:spacing w:after="0" w:line="240" w:lineRule="auto"/>
              <w:jc w:val="center"/>
            </w:pPr>
            <w:r>
              <w:rPr>
                <w:b w:val="0"/>
                <w:color w:val="000000"/>
                <w:sz w:val="18"/>
              </w:rPr>
              <w:t>No ghosting observed at 5_B</w:t>
            </w:r>
          </w:p>
        </w:tc>
      </w:tr>
      <w:tr>
        <w:trPr>
          <w:cantSplit/>
        </w:trPr>
        <w:tc>
          <w:tcPr>
            <w:tcW w:type="dxa" w:w="2880"/>
            <w:vAlign w:val="center"/>
            <w:tcMar>
              <w:top w:w="48" w:type="dxa"/>
              <w:bottom w:w="48" w:type="dxa"/>
              <w:left w:w="75" w:type="dxa"/>
              <w:right w:w="75" w:type="dxa"/>
            </w:tcMar>
            <w:shd w:fill="F2F5F7"/>
          </w:tcPr>
          <w:p>
            <w:pPr>
              <w:spacing w:after="0" w:line="240" w:lineRule="auto"/>
              <w:jc w:val="left"/>
            </w:pPr>
            <w:r>
              <w:rPr>
                <w:b w:val="0"/>
                <w:color w:val="000000"/>
                <w:sz w:val="18"/>
              </w:rPr>
              <w:t>A2 ADC3 / 470 kΩ</w:t>
              <w:br/>
              <w:t>6_T → 7_B</w:t>
            </w:r>
          </w:p>
        </w:tc>
        <w:tc>
          <w:tcPr>
            <w:tcW w:type="dxa" w:w="3600"/>
            <w:vAlign w:val="center"/>
            <w:tcMar>
              <w:top w:w="48" w:type="dxa"/>
              <w:bottom w:w="48" w:type="dxa"/>
              <w:left w:w="75" w:type="dxa"/>
              <w:right w:w="75" w:type="dxa"/>
            </w:tcMar>
            <w:shd w:fill="F2F5F7"/>
          </w:tcPr>
          <w:p>
            <w:pPr>
              <w:spacing w:after="0" w:line="240" w:lineRule="auto"/>
              <w:jc w:val="center"/>
            </w:pPr>
            <w:r>
              <w:rPr>
                <w:b w:val="0"/>
                <w:color w:val="000000"/>
                <w:sz w:val="18"/>
              </w:rPr>
              <w:t>&gt;50%; also follows to 7_L</w:t>
            </w:r>
          </w:p>
        </w:tc>
        <w:tc>
          <w:tcPr>
            <w:tcW w:type="dxa" w:w="3600"/>
            <w:vAlign w:val="center"/>
            <w:tcMar>
              <w:top w:w="48" w:type="dxa"/>
              <w:bottom w:w="48" w:type="dxa"/>
              <w:left w:w="75" w:type="dxa"/>
              <w:right w:w="75" w:type="dxa"/>
            </w:tcMar>
            <w:shd w:fill="F2F5F7"/>
          </w:tcPr>
          <w:p>
            <w:pPr>
              <w:spacing w:after="0" w:line="240" w:lineRule="auto"/>
              <w:jc w:val="center"/>
            </w:pPr>
            <w:r>
              <w:rPr>
                <w:b w:val="0"/>
                <w:color w:val="000000"/>
                <w:sz w:val="18"/>
              </w:rPr>
              <w:t>Almost none: ~5% at 7_B</w:t>
            </w:r>
          </w:p>
        </w:tc>
      </w:tr>
      <w:tr>
        <w:trPr>
          <w:cantSplit/>
        </w:trPr>
        <w:tc>
          <w:tcPr>
            <w:tcW w:type="dxa" w:w="2880"/>
            <w:vAlign w:val="center"/>
            <w:tcMar>
              <w:top w:w="48" w:type="dxa"/>
              <w:bottom w:w="48" w:type="dxa"/>
              <w:left w:w="75" w:type="dxa"/>
              <w:right w:w="75" w:type="dxa"/>
            </w:tcMar>
            <w:shd w:fill="FFFFFF"/>
          </w:tcPr>
          <w:p>
            <w:pPr>
              <w:spacing w:after="0" w:line="240" w:lineRule="auto"/>
              <w:jc w:val="left"/>
            </w:pPr>
            <w:r>
              <w:rPr>
                <w:b w:val="0"/>
                <w:color w:val="000000"/>
                <w:sz w:val="18"/>
              </w:rPr>
              <w:t>A2 ADC4 / 249 kΩ</w:t>
              <w:br/>
              <w:t>1_T → 3_B</w:t>
            </w:r>
          </w:p>
        </w:tc>
        <w:tc>
          <w:tcPr>
            <w:tcW w:type="dxa" w:w="3600"/>
            <w:vAlign w:val="center"/>
            <w:tcMar>
              <w:top w:w="48" w:type="dxa"/>
              <w:bottom w:w="48" w:type="dxa"/>
              <w:left w:w="75" w:type="dxa"/>
              <w:right w:w="75" w:type="dxa"/>
            </w:tcMar>
            <w:shd w:fill="FFFFFF"/>
          </w:tcPr>
          <w:p>
            <w:pPr>
              <w:spacing w:after="0" w:line="240" w:lineRule="auto"/>
              <w:jc w:val="center"/>
            </w:pPr>
            <w:r>
              <w:rPr>
                <w:b w:val="0"/>
                <w:color w:val="000000"/>
                <w:sz w:val="18"/>
              </w:rPr>
              <w:t>More than at 10 MHz; very small at 3_L</w:t>
            </w:r>
          </w:p>
        </w:tc>
        <w:tc>
          <w:tcPr>
            <w:tcW w:type="dxa" w:w="3600"/>
            <w:vAlign w:val="center"/>
            <w:tcMar>
              <w:top w:w="48" w:type="dxa"/>
              <w:bottom w:w="48" w:type="dxa"/>
              <w:left w:w="75" w:type="dxa"/>
              <w:right w:w="75" w:type="dxa"/>
            </w:tcMar>
            <w:shd w:fill="FFFFFF"/>
          </w:tcPr>
          <w:p>
            <w:pPr>
              <w:spacing w:after="0" w:line="240" w:lineRule="auto"/>
              <w:jc w:val="center"/>
            </w:pPr>
            <w:r>
              <w:rPr>
                <w:b w:val="0"/>
                <w:color w:val="000000"/>
                <w:sz w:val="18"/>
              </w:rPr>
              <w:t>No ghosting observed at 3_B</w:t>
            </w:r>
          </w:p>
        </w:tc>
      </w:tr>
      <w:tr>
        <w:trPr>
          <w:cantSplit/>
        </w:trPr>
        <w:tc>
          <w:tcPr>
            <w:tcW w:type="dxa" w:w="2880"/>
            <w:vAlign w:val="center"/>
            <w:tcMar>
              <w:top w:w="48" w:type="dxa"/>
              <w:bottom w:w="48" w:type="dxa"/>
              <w:left w:w="75" w:type="dxa"/>
              <w:right w:w="75" w:type="dxa"/>
            </w:tcMar>
            <w:shd w:fill="F2F5F7"/>
          </w:tcPr>
          <w:p>
            <w:pPr>
              <w:spacing w:after="0" w:line="240" w:lineRule="auto"/>
              <w:jc w:val="left"/>
            </w:pPr>
            <w:r>
              <w:rPr>
                <w:b w:val="0"/>
                <w:color w:val="000000"/>
                <w:sz w:val="18"/>
              </w:rPr>
              <w:t>A2 ADC4 / 249 kΩ</w:t>
              <w:br/>
              <w:t>3_T → 5_B</w:t>
            </w:r>
          </w:p>
        </w:tc>
        <w:tc>
          <w:tcPr>
            <w:tcW w:type="dxa" w:w="3600"/>
            <w:vAlign w:val="center"/>
            <w:tcMar>
              <w:top w:w="48" w:type="dxa"/>
              <w:bottom w:w="48" w:type="dxa"/>
              <w:left w:w="75" w:type="dxa"/>
              <w:right w:w="75" w:type="dxa"/>
            </w:tcMar>
            <w:shd w:fill="F2F5F7"/>
          </w:tcPr>
          <w:p>
            <w:pPr>
              <w:spacing w:after="0" w:line="240" w:lineRule="auto"/>
              <w:jc w:val="center"/>
            </w:pPr>
            <w:r>
              <w:rPr>
                <w:b w:val="0"/>
                <w:color w:val="000000"/>
                <w:sz w:val="18"/>
              </w:rPr>
              <w:t>More than at 10 MHz; very small at 5_L</w:t>
            </w:r>
          </w:p>
        </w:tc>
        <w:tc>
          <w:tcPr>
            <w:tcW w:type="dxa" w:w="3600"/>
            <w:vAlign w:val="center"/>
            <w:tcMar>
              <w:top w:w="48" w:type="dxa"/>
              <w:bottom w:w="48" w:type="dxa"/>
              <w:left w:w="75" w:type="dxa"/>
              <w:right w:w="75" w:type="dxa"/>
            </w:tcMar>
            <w:shd w:fill="F2F5F7"/>
          </w:tcPr>
          <w:p>
            <w:pPr>
              <w:spacing w:after="0" w:line="240" w:lineRule="auto"/>
              <w:jc w:val="center"/>
            </w:pPr>
            <w:r>
              <w:rPr>
                <w:b w:val="0"/>
                <w:color w:val="000000"/>
                <w:sz w:val="18"/>
              </w:rPr>
              <w:t>No ghosting observed at 5_B</w:t>
            </w:r>
          </w:p>
        </w:tc>
      </w:tr>
    </w:tbl>
    <w:p>
      <w:pPr>
        <w:spacing w:after="0"/>
      </w:pPr>
    </w:p>
    <w:p>
      <w:pPr>
        <w:keepNext/>
        <w:spacing w:after="40"/>
      </w:pPr>
      <w:r>
        <w:drawing>
          <wp:inline xmlns:a="http://schemas.openxmlformats.org/drawingml/2006/main" xmlns:pic="http://schemas.openxmlformats.org/drawingml/2006/picture">
            <wp:extent cx="6126480" cy="1708965"/>
            <wp:docPr id="8" name="Picture 8"/>
            <wp:cNvGraphicFramePr>
              <a:graphicFrameLocks noChangeAspect="1"/>
            </wp:cNvGraphicFramePr>
            <a:graphic>
              <a:graphicData uri="http://schemas.openxmlformats.org/drawingml/2006/picture">
                <pic:pic>
                  <pic:nvPicPr>
                    <pic:cNvPr id="0" name="manual_ghosting_vmid_20mhz.png"/>
                    <pic:cNvPicPr/>
                  </pic:nvPicPr>
                  <pic:blipFill>
                    <a:blip r:embed="rId18"/>
                    <a:stretch>
                      <a:fillRect/>
                    </a:stretch>
                  </pic:blipFill>
                  <pic:spPr>
                    <a:xfrm>
                      <a:off x="0" y="0"/>
                      <a:ext cx="6126480" cy="1708965"/>
                    </a:xfrm>
                    <a:prstGeom prst="rect"/>
                  </pic:spPr>
                </pic:pic>
              </a:graphicData>
            </a:graphic>
          </wp:inline>
        </w:drawing>
      </w:r>
    </w:p>
    <w:p>
      <w:pPr>
        <w:pStyle w:val="Caption"/>
      </w:pPr>
      <w:r>
        <w:t>Figure 8  Vmid off/on at 20 MHz for routes with numerical Vmid-off estimates. Arrows represent reported bounds. “No ghosting observed” is a qualitative result, not a measured zero. The ADC4 routes are kept qualitative in the table. Percentages are visual estimates of the BOTTOM response.</w:t>
      </w:r>
    </w:p>
    <w:p>
      <w:r>
        <w:rPr>
          <w:b w:val="0"/>
          <w:sz w:val="18"/>
        </w:rPr>
        <w:t>Vmid on suppresses the forward response substantially on all six routes. Residual ghosting remains on the 1 MΩ path (&lt;20%) and the Array-2 470 kΩ path (~5%). No following LEFT response was reported for ADC1; LEFT-channel outcomes were not specified for the other Vmid-on routes.</w:t>
      </w:r>
    </w:p>
    <w:p>
      <w:r>
        <w:rPr>
          <w:b/>
          <w:sz w:val="18"/>
        </w:rPr>
        <w:t>This supports Vmid insertion as a practical mitigation for the observed ghosting at 20 MHz, while leaving the channel-11 baseline problem separate. Quantify residual responses with raw traces and a repeatable input before defining acceptance limits. The measured rate cost of Vmid must be included when choosing operating settings.</w:t>
      </w:r>
    </w:p>
    <w:p>
      <w:pPr>
        <w:pStyle w:val="Heading1"/>
        <w:pageBreakBefore/>
      </w:pPr>
      <w:r>
        <w:t>Conclusions and next work</w:t>
      </w:r>
    </w:p>
    <w:p>
      <w:pPr>
        <w:pStyle w:val="ListBullet"/>
        <w:spacing w:after="100"/>
      </w:pPr>
      <w:r>
        <w:t>Use manual LPSPI at 20 MHz as the validated speed baseline: 16.9 kHz per channel for both arrays and about 24 kHz for one array. Faster requested SPI gives diminishing gains; 30 MHz remains experimental.</w:t>
      </w:r>
    </w:p>
    <w:p>
      <w:pPr>
        <w:pStyle w:val="ListBullet"/>
        <w:spacing w:after="100"/>
      </w:pPr>
      <w:r>
        <w:t>Firmware USB changes keep sampling continuous under backpressure by omitting complete transmissions when necessary. Received gaps must stay visible. The GUI repair separates capture from display work and preserves raw archives; it does not repair missing transmissions.</w:t>
      </w:r>
    </w:p>
    <w:p>
      <w:pPr>
        <w:pStyle w:val="ListBullet"/>
        <w:spacing w:after="100"/>
      </w:pPr>
      <w:r>
        <w:t>USB power conditions change the common noise pattern. Regulate ADC analog and buffer supplies in the next revision, as already done on the second board design. The channel 11 DC offset requires separate investigation.</w:t>
      </w:r>
    </w:p>
    <w:p>
      <w:pPr>
        <w:pStyle w:val="ListBullet"/>
        <w:spacing w:after="100"/>
      </w:pPr>
      <w:r>
        <w:t>Vmid insertion changes baseline and scan history but does not correct channel 11. With attached strips it reduces the tested 10 MHz blocking output rate by approximately 61%.</w:t>
      </w:r>
    </w:p>
    <w:p>
      <w:pPr>
        <w:pStyle w:val="ListBullet"/>
        <w:spacing w:after="100"/>
      </w:pPr>
      <w:r>
        <w:t>At 20 MHz, Vmid on greatly reduces manual ghosting: none observed on four routes, &lt;20% on ADC1 and ~5% on ADC3. Use Vmid insertion when low ghosting is required, subject to measured rate and residual-response acceptance.</w:t>
      </w:r>
    </w:p>
    <w:p>
      <w:pPr>
        <w:pStyle w:val="Heading2"/>
      </w:pPr>
      <w:r>
        <w:t>Remaining tests</w:t>
      </w:r>
    </w:p>
    <w:p>
      <w:pPr>
        <w:pStyle w:val="ListBullet"/>
        <w:spacing w:after="100"/>
      </w:pPr>
      <w:r>
        <w:t>The Vmid-on manual comparison is complete at 20 MHz; lower-clock repeats are not planned because the observed result was satisfactory. Quantify residual ghosting, especially the 1 MΩ path, using raw traces and a repeatable input. Document engine, scan order and repeat; separate electrical carryover from physical coupling.</w:t>
      </w:r>
    </w:p>
    <w:p>
      <w:pPr>
        <w:pStyle w:val="ListBullet"/>
        <w:spacing w:after="100"/>
      </w:pPr>
      <w:r>
        <w:t>Channel 11 isolation: scan a known low-impedance Vmid input on channel 11 and compare channels 10 and 12; observe CS together with MXO or the buffer output to separate voltage and timing effects.</w:t>
      </w:r>
    </w:p>
    <w:p>
      <w:pPr>
        <w:pStyle w:val="ListBullet"/>
        <w:spacing w:after="100"/>
      </w:pPr>
      <w:r>
        <w:t>Complete analog acceptance at 20 MHz. If 30 MHz is pursued, compare 20 → 30 → 20 MHz with repeatable pressed or driven inputs, settling checks and longer captures. Repeat one-array and two-array Vmid-on timing on the latest firmware before adopting historical rates as current targets.</w:t>
      </w:r>
    </w:p>
    <w:p>
      <w:pPr>
        <w:pStyle w:val="Heading2"/>
      </w:pPr>
      <w:r>
        <w:t>Remaining firmware and GUI development</w:t>
      </w:r>
    </w:p>
    <w:p>
      <w:r>
        <w:rPr>
          <w:b w:val="0"/>
        </w:rPr>
        <w:t>Add configurable sweep repetition with per-channel median transmission. Acquire N complete sweeps, calculate each channel’s median across those N values, and transmit one result frame. Preserve a selectable raw mode; expose N and raw or median mode in the GUI. This differs from the existing channel repeat setting, which retains the last conversion rather than computing a median.</w:t>
      </w:r>
    </w:p>
    <w:p>
      <w:r>
        <w:rPr>
          <w:b w:val="0"/>
        </w:rPr>
        <w:t>At an unchanged acquisition rate, N sweeps per frame would reduce transmitted values and display updates to approximately 1/N. Expected random-noise reduction must be measured; median reduction does not inherently remove a DC offset or coherent supply disturbance. Validate processing overhead, ghosting, peak retention and the added latency before selecting defaults. Coordinate firmware, parser and archive metadata so timestamps describe the aggregation interval and downstream analysis knows the effective output rate.</w:t>
      </w:r>
    </w:p>
    <w:p>
      <w:pPr>
        <w:pStyle w:val="Heading2"/>
      </w:pPr>
      <w:r>
        <w:t>Evidence and measurement notes</w:t>
      </w:r>
    </w:p>
    <w:p>
      <w:r>
        <w:rPr>
          <w:b w:val="0"/>
          <w:sz w:val="18"/>
        </w:rPr>
        <w:t>Source captures are retained in the TestBoard_7953 benchmarks directory. Timing tables were independently recalculated from selected raw frames. The production and 30 MHz matrices were previously independently checked in full. Baseline controls validate all 150 medians per off on off experiment against benchmark channel CSVs. Digital PASS is not analog accuracy sign off.</w:t>
      </w:r>
    </w:p>
    <w:p>
      <w:r>
        <w:rPr>
          <w:b w:val="0"/>
          <w:sz w:val="18"/>
        </w:rPr>
        <w:t>Timing sources: live_usb_production_adc_10_20 and live_usb_production_manual_lpspi_adc30, 7 October; historical Vmid-on source: 20261001T164158Z, 1 October. Noise sources: noise_engine_topology_20261008, noise_laptop_battery_20261008 and noise_charger_reconnected_20261008. Manual ghosting: board designer observations supplied 9 October; Vmid off at 5/10/20 MHz and on at 20 MHz, visual estimates; other acquisition modifiers unrecorded. Latest baseline source: channel11_four_adc, 9 October. Earlier baseline sources: channel order, continuous-selection and both Vmid control sessions, 8 October. Supporting scope photos were supplied by the board designer.</w:t>
      </w:r>
    </w:p>
    <w:p>
      <w:r>
        <w:rPr>
          <w:b w:val="0"/>
          <w:sz w:val="18"/>
        </w:rPr>
        <w:t xml:space="preserve">[1] Texas Instruments ADS7953 datasheet SLAS605C, SPI limit and timing requirements. </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9 October 2026   |   Page </w:t>
    </w:r>
    <w:r>
      <w:rPr>
        <w:sz w:val="16"/>
      </w:rPr>
    </w:r>
    <w:fldSimple w:instr="PAGE"/>
    <w:r>
      <w:rPr>
        <w:sz w:val="16"/>
      </w:rPr>
      <w:t xml:space="preserve"> of </w:t>
    </w:r>
    <w:r>
      <w:rPr>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7"/>
      </w:rPr>
      <w:t>TestBoard 7953   Engineering test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Calibri" w:hAnsi="Calibri"/>
      <w:color w:val="000000"/>
    </w:rPr>
  </w:style>
  <w:style w:type="paragraph" w:styleId="BodyText">
    <w:name w:val="Body Text"/>
    <w:basedOn w:val="Normal"/>
    <w:link w:val="BodyTextChar"/>
    <w:uiPriority w:val="99"/>
    <w:unhideWhenUsed/>
    <w:rsid w:val="00AA1D8D"/>
    <w:pPr>
      <w:widowControl/>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rPr>
      <w:rFonts w:ascii="Calibri" w:hAnsi="Calibri"/>
      <w:color w:val="000000"/>
    </w:rPr>
  </w:style>
  <w:style w:type="paragraph" w:styleId="List2">
    <w:name w:val="List 2"/>
    <w:basedOn w:val="Normal"/>
    <w:uiPriority w:val="99"/>
    <w:unhideWhenUsed/>
    <w:rsid w:val="00326F90"/>
    <w:pPr>
      <w:widowControl/>
      <w:ind w:left="720" w:hanging="360"/>
      <w:contextualSpacing/>
    </w:pPr>
    <w:rPr>
      <w:rFonts w:ascii="Calibri" w:hAnsi="Calibri"/>
      <w:color w:val="000000"/>
    </w:rPr>
  </w:style>
  <w:style w:type="paragraph" w:styleId="List3">
    <w:name w:val="List 3"/>
    <w:basedOn w:val="Normal"/>
    <w:uiPriority w:val="99"/>
    <w:unhideWhenUsed/>
    <w:rsid w:val="00326F90"/>
    <w:pPr>
      <w:widowControl/>
      <w:ind w:left="1080" w:hanging="360"/>
      <w:contextualSpacing/>
    </w:pPr>
    <w:rPr>
      <w:rFonts w:ascii="Calibri" w:hAnsi="Calibri"/>
      <w:color w:val="000000"/>
    </w:r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widowControl/>
      <w:numPr>
        <w:numId w:val="2"/>
      </w:numPr>
      <w:contextualSpacing/>
    </w:pPr>
    <w:rPr>
      <w:rFonts w:ascii="Calibri" w:hAnsi="Calibri"/>
      <w:color w:val="000000"/>
    </w:rPr>
  </w:style>
  <w:style w:type="paragraph" w:styleId="ListBullet3">
    <w:name w:val="List Bullet 3"/>
    <w:basedOn w:val="Normal"/>
    <w:uiPriority w:val="99"/>
    <w:unhideWhenUsed/>
    <w:rsid w:val="00326F90"/>
    <w:pPr>
      <w:widowControl/>
      <w:numPr>
        <w:numId w:val="3"/>
      </w:numPr>
      <w:contextualSpacing/>
    </w:pPr>
    <w:rPr>
      <w:rFonts w:ascii="Calibri" w:hAnsi="Calibri"/>
      <w:color w:val="000000"/>
    </w:r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widowControl/>
      <w:numPr>
        <w:numId w:val="6"/>
      </w:numPr>
      <w:contextualSpacing/>
    </w:pPr>
    <w:rPr>
      <w:rFonts w:ascii="Calibri" w:hAnsi="Calibri"/>
      <w:color w:val="000000"/>
    </w:rPr>
  </w:style>
  <w:style w:type="paragraph" w:styleId="ListNumber3">
    <w:name w:val="List Number 3"/>
    <w:basedOn w:val="Normal"/>
    <w:uiPriority w:val="99"/>
    <w:unhideWhenUsed/>
    <w:rsid w:val="0029639D"/>
    <w:pPr>
      <w:widowControl/>
      <w:numPr>
        <w:numId w:val="7"/>
      </w:numPr>
      <w:contextualSpacing/>
    </w:pPr>
    <w:rPr>
      <w:rFonts w:ascii="Calibri" w:hAnsi="Calibri"/>
      <w:color w:val="000000"/>
    </w:rPr>
  </w:style>
  <w:style w:type="paragraph" w:styleId="ListContinue">
    <w:name w:val="List Continue"/>
    <w:basedOn w:val="Normal"/>
    <w:uiPriority w:val="99"/>
    <w:unhideWhenUsed/>
    <w:rsid w:val="0029639D"/>
    <w:pPr>
      <w:widowControl/>
      <w:spacing w:after="120"/>
      <w:ind w:left="360"/>
      <w:contextualSpacing/>
    </w:pPr>
    <w:rPr>
      <w:rFonts w:ascii="Calibri" w:hAnsi="Calibri"/>
      <w:color w:val="000000"/>
    </w:rPr>
  </w:style>
  <w:style w:type="paragraph" w:styleId="ListContinue2">
    <w:name w:val="List Continue 2"/>
    <w:basedOn w:val="Normal"/>
    <w:uiPriority w:val="99"/>
    <w:unhideWhenUsed/>
    <w:rsid w:val="0029639D"/>
    <w:pPr>
      <w:widowControl/>
      <w:spacing w:after="120"/>
      <w:ind w:left="720"/>
      <w:contextualSpacing/>
    </w:pPr>
    <w:rPr>
      <w:rFonts w:ascii="Calibri" w:hAnsi="Calibri"/>
      <w:color w:val="000000"/>
    </w:rPr>
  </w:style>
  <w:style w:type="paragraph" w:styleId="ListContinue3">
    <w:name w:val="List Continue 3"/>
    <w:basedOn w:val="Normal"/>
    <w:uiPriority w:val="99"/>
    <w:unhideWhenUsed/>
    <w:rsid w:val="0029639D"/>
    <w:pPr>
      <w:widowControl/>
      <w:spacing w:after="120"/>
      <w:ind w:left="1080"/>
      <w:contextualSpacing/>
    </w:pPr>
    <w:rPr>
      <w:rFonts w:ascii="Calibri" w:hAnsi="Calibri"/>
      <w:color w:val="000000"/>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40"/>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TestBoard 7953 Test Summary</dc:title>
  <dc:subject>Sampling performance noise baseline and development priorities</dc:subject>
  <dc:creator/>
  <cp:keywords>TestBoard_7953, ADS7953, benchmark, noise, Vmid</cp:keywords>
  <dc:description>generated by python-docx</dc:description>
  <cp:lastModifiedBy/>
  <cp:revision>1</cp:revision>
  <dcterms:created xsi:type="dcterms:W3CDTF">2013-12-23T23:15:00Z</dcterms:created>
  <dcterms:modified xsi:type="dcterms:W3CDTF">2013-12-23T23:15:00Z</dcterms:modified>
  <cp:category/>
</cp:coreProperties>
</file>