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TestBoard 7953 Test Summary</w:t>
      </w:r>
    </w:p>
    <w:p>
      <w:pPr>
        <w:pStyle w:val="Subtitle"/>
      </w:pPr>
      <w:r>
        <w:t>Management report   30 September to 8 October 2026</w:t>
      </w:r>
    </w:p>
    <w:p>
      <w:r>
        <w:rPr>
          <w:b/>
        </w:rPr>
        <w:t>The board now delivers 16.9 kHz per channel across two full arrays at 20 MHz SPI. Experimental 30 MHz reaches 19.4 kHz. USB sampling continuity and GUI capture have improved; power tests support regulated analog supplies in the next revision. The channel 11 baseline offset and pressed-sensor ghosting remain to be validated.</w:t>
      </w:r>
    </w:p>
    <w:p>
      <w:pPr>
        <w:pStyle w:val="Heading2"/>
      </w:pPr>
      <w:r>
        <w:t>Board description</w:t>
      </w:r>
    </w:p>
    <w:p>
      <w:r>
        <w:rPr>
          <w:b w:val="0"/>
        </w:rPr>
        <w:t>TestBoard_7953 uses a Teensy 4.1 and four 16-channel, 12-bit ADS7953 ADCs on two SPI buses. The tested configuration reads 50 sensor channels, 25 per array. OPA365 unity buffers drive the ADC inputs. REF2025 provides 2.5 V Vref and 1.25 V Vmid; ADC analog supplies and buffers use USB 5 V through ferrite beads and capacitors. Each ADC has one shared MXO bias resistor: 1 MΩ, 470 kΩ, 470 kΩ and 249 kΩ for ADC1–4.</w:t>
      </w:r>
    </w:p>
    <w:p>
      <w:pPr>
        <w:pStyle w:val="Heading2"/>
      </w:pPr>
      <w:r>
        <w:t>Tests performed</w:t>
      </w:r>
    </w:p>
    <w:p>
      <w:pPr>
        <w:pStyle w:val="ListBullet"/>
        <w:spacing w:after="100"/>
      </w:pPr>
      <w:r>
        <w:t>Sampling and timing: blocking, DMA and direct LPSPI; manual and Auto 1 sequences; full arrays, single ADCs and sparse selections; SPI clocks from 5 to 30 MHz; channel repeat and Vmid controls.</w:t>
      </w:r>
    </w:p>
    <w:p>
      <w:pPr>
        <w:pStyle w:val="ListBullet"/>
        <w:spacing w:after="100"/>
      </w:pPr>
      <w:r>
        <w:t>Stream robustness: production matrix of 252 captures, 21 captures at 30 MHz, forced 500 ms reader stalls, raw-frame checks, archive and GUI replay validation.</w:t>
      </w:r>
    </w:p>
    <w:p>
      <w:pPr>
        <w:pStyle w:val="ListBullet"/>
        <w:spacing w:after="100"/>
      </w:pPr>
      <w:r>
        <w:t>Signal quality: 21 engine and topology controls; both strips attached, one unplugged and both unplugged; charger removal and return; scope rail measurements; channel order swaps, reversals and continuous selection; Vmid off on off controls.</w:t>
      </w:r>
    </w:p>
    <w:p>
      <w:pPr>
        <w:pStyle w:val="Heading2"/>
      </w:pPr>
      <w:r>
        <w:t>Performance overview</w:t>
      </w:r>
    </w:p>
    <w:p>
      <w:pPr>
        <w:keepNext/>
        <w:spacing w:after="40"/>
      </w:pPr>
      <w:r>
        <w:drawing>
          <wp:inline xmlns:a="http://schemas.openxmlformats.org/drawingml/2006/main" xmlns:pic="http://schemas.openxmlformats.org/drawingml/2006/picture">
            <wp:extent cx="6400800" cy="2080260"/>
            <wp:docPr id="1" name="Picture 1"/>
            <wp:cNvGraphicFramePr>
              <a:graphicFrameLocks noChangeAspect="1"/>
            </wp:cNvGraphicFramePr>
            <a:graphic>
              <a:graphicData uri="http://schemas.openxmlformats.org/drawingml/2006/picture">
                <pic:pic>
                  <pic:nvPicPr>
                    <pic:cNvPr id="0" name="performance.png"/>
                    <pic:cNvPicPr/>
                  </pic:nvPicPr>
                  <pic:blipFill>
                    <a:blip r:embed="rId11"/>
                    <a:stretch>
                      <a:fillRect/>
                    </a:stretch>
                  </pic:blipFill>
                  <pic:spPr>
                    <a:xfrm>
                      <a:off x="0" y="0"/>
                      <a:ext cx="6400800" cy="2080260"/>
                    </a:xfrm>
                    <a:prstGeom prst="rect"/>
                  </pic:spPr>
                </pic:pic>
              </a:graphicData>
            </a:graphic>
          </wp:inline>
        </w:drawing>
      </w:r>
    </w:p>
    <w:p>
      <w:pPr>
        <w:pStyle w:val="Caption"/>
      </w:pPr>
      <w:r>
        <w:t>Figure 1  Latest manual acquisition results with optional Vmid insertion off. Each point is the median sustained received rate from three captures. A full sweep contains one value per selected channel.</w:t>
      </w:r>
    </w:p>
    <w:p>
      <w:r>
        <w:rPr>
          <w:b w:val="0"/>
          <w:sz w:val="18"/>
        </w:rPr>
        <w:t>Manual LPSPI is the fastest tested full-array path. At 20 MHz it is 60.5% faster than the original firmware (10.5 → 16.9 kHz per channel). The latest 252-capture matrix passed digital integrity checks; 0.011% of sweeps were intentionally omitted when USB was busy, while all three both-array 20 MHz manual LPSPI captures omitted none.</w:t>
      </w:r>
    </w:p>
    <w:p>
      <w:pPr>
        <w:pStyle w:val="Heading1"/>
        <w:pageBreakBefore/>
      </w:pPr>
      <w:r>
        <w:t>Sampling rates and timing</w:t>
      </w:r>
    </w:p>
    <w:p>
      <w:r>
        <w:rPr>
          <w:b w:val="0"/>
          <w:sz w:val="18"/>
        </w:rPr>
        <w:t>Rate is sustained received sweeps per second, equal to samples per second per channel. Sweep is mean ADC acquisition time; Total is device elapsed time per received sweep, including overhead and any omitted transmissions. Overhead = Total − Sweep. These are device timings, not PC export time. Table values are medians of three repetitions.</w:t>
      </w:r>
    </w:p>
    <w:p>
      <w:pPr>
        <w:pStyle w:val="Heading2"/>
      </w:pPr>
      <w:r>
        <w:t>Latest firmware with Vmid insertion off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06"/>
        <w:gridCol w:w="1411"/>
        <w:gridCol w:w="1454"/>
        <w:gridCol w:w="1454"/>
        <w:gridCol w:w="1670"/>
        <w:gridCol w:w="1627"/>
      </w:tblGrid>
      <w:tr>
        <w:trPr>
          <w:cantSplit/>
          <w:tblHeader/>
        </w:trPr>
        <w:tc>
          <w:tcPr>
            <w:tcW w:type="dxa" w:w="1656"/>
            <w:vAlign w:val="center"/>
            <w:tcMar>
              <w:top w:w="48" w:type="dxa"/>
              <w:bottom w:w="48" w:type="dxa"/>
              <w:left w:w="75" w:type="dxa"/>
              <w:right w:w="75" w:type="dxa"/>
            </w:tcMar>
            <w:shd w:fill="244A63"/>
          </w:tcPr>
          <w:p>
            <w:pPr>
              <w:spacing w:after="0" w:line="240" w:lineRule="auto"/>
              <w:jc w:val="left"/>
            </w:pPr>
            <w:r>
              <w:rPr>
                <w:b/>
                <w:color w:val="FFFFFF"/>
                <w:sz w:val="18"/>
              </w:rPr>
              <w:t>Selection</w:t>
            </w:r>
          </w:p>
        </w:tc>
        <w:tc>
          <w:tcPr>
            <w:tcW w:type="dxa" w:w="806"/>
            <w:vAlign w:val="center"/>
            <w:tcMar>
              <w:top w:w="48" w:type="dxa"/>
              <w:bottom w:w="48" w:type="dxa"/>
              <w:left w:w="75" w:type="dxa"/>
              <w:right w:w="75" w:type="dxa"/>
            </w:tcMar>
            <w:shd w:fill="244A63"/>
          </w:tcPr>
          <w:p>
            <w:pPr>
              <w:spacing w:after="0" w:line="240" w:lineRule="auto"/>
              <w:jc w:val="center"/>
            </w:pPr>
            <w:r>
              <w:rPr>
                <w:b/>
                <w:color w:val="FFFFFF"/>
                <w:sz w:val="18"/>
              </w:rPr>
              <w:t>SPI</w:t>
              <w:br/>
              <w:t>MHz</w:t>
            </w:r>
          </w:p>
        </w:tc>
        <w:tc>
          <w:tcPr>
            <w:tcW w:type="dxa" w:w="1411"/>
            <w:vAlign w:val="center"/>
            <w:tcMar>
              <w:top w:w="48" w:type="dxa"/>
              <w:bottom w:w="48" w:type="dxa"/>
              <w:left w:w="75" w:type="dxa"/>
              <w:right w:w="75" w:type="dxa"/>
            </w:tcMar>
            <w:shd w:fill="244A63"/>
          </w:tcPr>
          <w:p>
            <w:pPr>
              <w:spacing w:after="0" w:line="240" w:lineRule="auto"/>
              <w:jc w:val="center"/>
            </w:pPr>
            <w:r>
              <w:rPr>
                <w:b/>
                <w:color w:val="FFFFFF"/>
                <w:sz w:val="18"/>
              </w:rPr>
              <w:t>Rate</w:t>
              <w:br/>
              <w:t>kHz per ch</w:t>
            </w:r>
          </w:p>
        </w:tc>
        <w:tc>
          <w:tcPr>
            <w:tcW w:type="dxa" w:w="1454"/>
            <w:vAlign w:val="center"/>
            <w:tcMar>
              <w:top w:w="48" w:type="dxa"/>
              <w:bottom w:w="48" w:type="dxa"/>
              <w:left w:w="75" w:type="dxa"/>
              <w:right w:w="75" w:type="dxa"/>
            </w:tcMar>
            <w:shd w:fill="244A63"/>
          </w:tcPr>
          <w:p>
            <w:pPr>
              <w:spacing w:after="0" w:line="240" w:lineRule="auto"/>
              <w:jc w:val="center"/>
            </w:pPr>
            <w:r>
              <w:rPr>
                <w:b/>
                <w:color w:val="FFFFFF"/>
                <w:sz w:val="18"/>
              </w:rPr>
              <w:t>Sweep</w:t>
              <w:br/>
              <w:t>µs</w:t>
            </w:r>
          </w:p>
        </w:tc>
        <w:tc>
          <w:tcPr>
            <w:tcW w:type="dxa" w:w="1454"/>
            <w:vAlign w:val="center"/>
            <w:tcMar>
              <w:top w:w="48" w:type="dxa"/>
              <w:bottom w:w="48" w:type="dxa"/>
              <w:left w:w="75" w:type="dxa"/>
              <w:right w:w="75" w:type="dxa"/>
            </w:tcMar>
            <w:shd w:fill="244A63"/>
          </w:tcPr>
          <w:p>
            <w:pPr>
              <w:spacing w:after="0" w:line="240" w:lineRule="auto"/>
              <w:jc w:val="center"/>
            </w:pPr>
            <w:r>
              <w:rPr>
                <w:b/>
                <w:color w:val="FFFFFF"/>
                <w:sz w:val="18"/>
              </w:rPr>
              <w:t>Total</w:t>
              <w:br/>
              <w:t>µs</w:t>
            </w:r>
          </w:p>
        </w:tc>
        <w:tc>
          <w:tcPr>
            <w:tcW w:type="dxa" w:w="1670"/>
            <w:vAlign w:val="center"/>
            <w:tcMar>
              <w:top w:w="48" w:type="dxa"/>
              <w:bottom w:w="48" w:type="dxa"/>
              <w:left w:w="75" w:type="dxa"/>
              <w:right w:w="75" w:type="dxa"/>
            </w:tcMar>
            <w:shd w:fill="244A63"/>
          </w:tcPr>
          <w:p>
            <w:pPr>
              <w:spacing w:after="0" w:line="240" w:lineRule="auto"/>
              <w:jc w:val="center"/>
            </w:pPr>
            <w:r>
              <w:rPr>
                <w:b/>
                <w:color w:val="FFFFFF"/>
                <w:sz w:val="18"/>
              </w:rPr>
              <w:t>Overhead</w:t>
              <w:br/>
              <w:t>µs</w:t>
            </w:r>
          </w:p>
        </w:tc>
        <w:tc>
          <w:tcPr>
            <w:tcW w:type="dxa" w:w="1627"/>
            <w:vAlign w:val="center"/>
            <w:tcMar>
              <w:top w:w="48" w:type="dxa"/>
              <w:bottom w:w="48" w:type="dxa"/>
              <w:left w:w="75" w:type="dxa"/>
              <w:right w:w="75" w:type="dxa"/>
            </w:tcMar>
            <w:shd w:fill="244A63"/>
          </w:tcPr>
          <w:p>
            <w:pPr>
              <w:spacing w:after="0" w:line="240" w:lineRule="auto"/>
              <w:jc w:val="center"/>
            </w:pPr>
            <w:r>
              <w:rPr>
                <w:b/>
                <w:color w:val="FFFFFF"/>
                <w:sz w:val="18"/>
              </w:rPr>
              <w:t>Clock gain</w:t>
            </w:r>
          </w:p>
        </w:tc>
      </w:tr>
      <w:tr>
        <w:trPr>
          <w:cantSplit/>
        </w:trPr>
        <w:tc>
          <w:tcPr>
            <w:tcW w:type="dxa" w:w="1656"/>
            <w:vAlign w:val="center"/>
            <w:tcMar>
              <w:top w:w="48" w:type="dxa"/>
              <w:bottom w:w="48" w:type="dxa"/>
              <w:left w:w="75" w:type="dxa"/>
              <w:right w:w="75" w:type="dxa"/>
            </w:tcMar>
            <w:shd w:fill="FFFFFF"/>
          </w:tcPr>
          <w:p>
            <w:pPr>
              <w:spacing w:after="0" w:line="240" w:lineRule="auto"/>
              <w:jc w:val="left"/>
            </w:pPr>
            <w:r>
              <w:rPr>
                <w:b w:val="0"/>
                <w:color w:val="000000"/>
                <w:sz w:val="18"/>
              </w:rPr>
              <w:t>Both arrays</w:t>
            </w:r>
          </w:p>
        </w:tc>
        <w:tc>
          <w:tcPr>
            <w:tcW w:type="dxa" w:w="806"/>
            <w:vAlign w:val="center"/>
            <w:tcMar>
              <w:top w:w="48" w:type="dxa"/>
              <w:bottom w:w="48" w:type="dxa"/>
              <w:left w:w="75" w:type="dxa"/>
              <w:right w:w="75" w:type="dxa"/>
            </w:tcMar>
            <w:shd w:fill="FFFFFF"/>
          </w:tcPr>
          <w:p>
            <w:pPr>
              <w:spacing w:after="0" w:line="240" w:lineRule="auto"/>
              <w:jc w:val="center"/>
            </w:pPr>
            <w:r>
              <w:rPr>
                <w:b w:val="0"/>
                <w:color w:val="000000"/>
                <w:sz w:val="18"/>
              </w:rPr>
              <w:t>10</w:t>
            </w:r>
          </w:p>
        </w:tc>
        <w:tc>
          <w:tcPr>
            <w:tcW w:type="dxa" w:w="1411"/>
            <w:vAlign w:val="center"/>
            <w:tcMar>
              <w:top w:w="48" w:type="dxa"/>
              <w:bottom w:w="48" w:type="dxa"/>
              <w:left w:w="75" w:type="dxa"/>
              <w:right w:w="75" w:type="dxa"/>
            </w:tcMar>
            <w:shd w:fill="FFFFFF"/>
          </w:tcPr>
          <w:p>
            <w:pPr>
              <w:spacing w:after="0" w:line="240" w:lineRule="auto"/>
              <w:jc w:val="center"/>
            </w:pPr>
            <w:r>
              <w:rPr>
                <w:b w:val="0"/>
                <w:color w:val="000000"/>
                <w:sz w:val="18"/>
              </w:rPr>
              <w:t>12.12</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81.0</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82.5</w:t>
            </w:r>
          </w:p>
        </w:tc>
        <w:tc>
          <w:tcPr>
            <w:tcW w:type="dxa" w:w="1670"/>
            <w:vAlign w:val="center"/>
            <w:tcMar>
              <w:top w:w="48" w:type="dxa"/>
              <w:bottom w:w="48" w:type="dxa"/>
              <w:left w:w="75" w:type="dxa"/>
              <w:right w:w="75" w:type="dxa"/>
            </w:tcMar>
            <w:shd w:fill="FFFFFF"/>
          </w:tcPr>
          <w:p>
            <w:pPr>
              <w:spacing w:after="0" w:line="240" w:lineRule="auto"/>
              <w:jc w:val="center"/>
            </w:pPr>
            <w:r>
              <w:rPr>
                <w:b w:val="0"/>
                <w:color w:val="000000"/>
                <w:sz w:val="18"/>
              </w:rPr>
              <w:t>1.5</w:t>
            </w:r>
          </w:p>
        </w:tc>
        <w:tc>
          <w:tcPr>
            <w:tcW w:type="dxa" w:w="1627"/>
            <w:vAlign w:val="center"/>
            <w:tcMar>
              <w:top w:w="48" w:type="dxa"/>
              <w:bottom w:w="48" w:type="dxa"/>
              <w:left w:w="75" w:type="dxa"/>
              <w:right w:w="75" w:type="dxa"/>
            </w:tcMar>
            <w:shd w:fill="FFFFFF"/>
          </w:tcPr>
          <w:p>
            <w:pPr>
              <w:spacing w:after="0" w:line="240" w:lineRule="auto"/>
              <w:jc w:val="center"/>
            </w:pPr>
            <w:r>
              <w:rPr>
                <w:b w:val="0"/>
                <w:color w:val="000000"/>
                <w:sz w:val="18"/>
              </w:rPr>
              <w:t>—</w:t>
            </w:r>
          </w:p>
        </w:tc>
      </w:tr>
      <w:tr>
        <w:trPr>
          <w:cantSplit/>
        </w:trPr>
        <w:tc>
          <w:tcPr>
            <w:tcW w:type="dxa" w:w="1656"/>
            <w:vAlign w:val="center"/>
            <w:tcMar>
              <w:top w:w="48" w:type="dxa"/>
              <w:bottom w:w="48" w:type="dxa"/>
              <w:left w:w="75" w:type="dxa"/>
              <w:right w:w="75" w:type="dxa"/>
            </w:tcMar>
            <w:shd w:fill="F2F5F7"/>
          </w:tcPr>
          <w:p>
            <w:pPr>
              <w:spacing w:after="0" w:line="240" w:lineRule="auto"/>
              <w:jc w:val="left"/>
            </w:pPr>
            <w:r>
              <w:rPr>
                <w:b w:val="0"/>
                <w:color w:val="000000"/>
                <w:sz w:val="18"/>
              </w:rPr>
              <w:t>Both arrays</w:t>
            </w:r>
          </w:p>
        </w:tc>
        <w:tc>
          <w:tcPr>
            <w:tcW w:type="dxa" w:w="806"/>
            <w:vAlign w:val="center"/>
            <w:tcMar>
              <w:top w:w="48" w:type="dxa"/>
              <w:bottom w:w="48" w:type="dxa"/>
              <w:left w:w="75" w:type="dxa"/>
              <w:right w:w="75" w:type="dxa"/>
            </w:tcMar>
            <w:shd w:fill="F2F5F7"/>
          </w:tcPr>
          <w:p>
            <w:pPr>
              <w:spacing w:after="0" w:line="240" w:lineRule="auto"/>
              <w:jc w:val="center"/>
            </w:pPr>
            <w:r>
              <w:rPr>
                <w:b w:val="0"/>
                <w:color w:val="000000"/>
                <w:sz w:val="18"/>
              </w:rPr>
              <w:t>20</w:t>
            </w:r>
          </w:p>
        </w:tc>
        <w:tc>
          <w:tcPr>
            <w:tcW w:type="dxa" w:w="1411"/>
            <w:vAlign w:val="center"/>
            <w:tcMar>
              <w:top w:w="48" w:type="dxa"/>
              <w:bottom w:w="48" w:type="dxa"/>
              <w:left w:w="75" w:type="dxa"/>
              <w:right w:w="75" w:type="dxa"/>
            </w:tcMar>
            <w:shd w:fill="F2F5F7"/>
          </w:tcPr>
          <w:p>
            <w:pPr>
              <w:spacing w:after="0" w:line="240" w:lineRule="auto"/>
              <w:jc w:val="center"/>
            </w:pPr>
            <w:r>
              <w:rPr>
                <w:b w:val="0"/>
                <w:color w:val="000000"/>
                <w:sz w:val="18"/>
              </w:rPr>
              <w:t>16.89</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57.7</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59.2</w:t>
            </w:r>
          </w:p>
        </w:tc>
        <w:tc>
          <w:tcPr>
            <w:tcW w:type="dxa" w:w="1670"/>
            <w:vAlign w:val="center"/>
            <w:tcMar>
              <w:top w:w="48" w:type="dxa"/>
              <w:bottom w:w="48" w:type="dxa"/>
              <w:left w:w="75" w:type="dxa"/>
              <w:right w:w="75" w:type="dxa"/>
            </w:tcMar>
            <w:shd w:fill="F2F5F7"/>
          </w:tcPr>
          <w:p>
            <w:pPr>
              <w:spacing w:after="0" w:line="240" w:lineRule="auto"/>
              <w:jc w:val="center"/>
            </w:pPr>
            <w:r>
              <w:rPr>
                <w:b w:val="0"/>
                <w:color w:val="000000"/>
                <w:sz w:val="18"/>
              </w:rPr>
              <w:t>1.6</w:t>
            </w:r>
          </w:p>
        </w:tc>
        <w:tc>
          <w:tcPr>
            <w:tcW w:type="dxa" w:w="1627"/>
            <w:vAlign w:val="center"/>
            <w:tcMar>
              <w:top w:w="48" w:type="dxa"/>
              <w:bottom w:w="48" w:type="dxa"/>
              <w:left w:w="75" w:type="dxa"/>
              <w:right w:w="75" w:type="dxa"/>
            </w:tcMar>
            <w:shd w:fill="F2F5F7"/>
          </w:tcPr>
          <w:p>
            <w:pPr>
              <w:spacing w:after="0" w:line="240" w:lineRule="auto"/>
              <w:jc w:val="center"/>
            </w:pPr>
            <w:r>
              <w:rPr>
                <w:b w:val="0"/>
                <w:color w:val="000000"/>
                <w:sz w:val="18"/>
              </w:rPr>
              <w:t>+39.3%</w:t>
            </w:r>
          </w:p>
        </w:tc>
      </w:tr>
      <w:tr>
        <w:trPr>
          <w:cantSplit/>
        </w:trPr>
        <w:tc>
          <w:tcPr>
            <w:tcW w:type="dxa" w:w="1656"/>
            <w:vAlign w:val="center"/>
            <w:tcMar>
              <w:top w:w="48" w:type="dxa"/>
              <w:bottom w:w="48" w:type="dxa"/>
              <w:left w:w="75" w:type="dxa"/>
              <w:right w:w="75" w:type="dxa"/>
            </w:tcMar>
            <w:shd w:fill="FFFFFF"/>
          </w:tcPr>
          <w:p>
            <w:pPr>
              <w:spacing w:after="0" w:line="240" w:lineRule="auto"/>
              <w:jc w:val="left"/>
            </w:pPr>
            <w:r>
              <w:rPr>
                <w:b w:val="0"/>
                <w:color w:val="000000"/>
                <w:sz w:val="18"/>
              </w:rPr>
              <w:t>Both arrays</w:t>
            </w:r>
          </w:p>
        </w:tc>
        <w:tc>
          <w:tcPr>
            <w:tcW w:type="dxa" w:w="806"/>
            <w:vAlign w:val="center"/>
            <w:tcMar>
              <w:top w:w="48" w:type="dxa"/>
              <w:bottom w:w="48" w:type="dxa"/>
              <w:left w:w="75" w:type="dxa"/>
              <w:right w:w="75" w:type="dxa"/>
            </w:tcMar>
            <w:shd w:fill="FFFFFF"/>
          </w:tcPr>
          <w:p>
            <w:pPr>
              <w:spacing w:after="0" w:line="240" w:lineRule="auto"/>
              <w:jc w:val="center"/>
            </w:pPr>
            <w:r>
              <w:rPr>
                <w:b w:val="0"/>
                <w:color w:val="000000"/>
                <w:sz w:val="18"/>
              </w:rPr>
              <w:t>30</w:t>
            </w:r>
          </w:p>
        </w:tc>
        <w:tc>
          <w:tcPr>
            <w:tcW w:type="dxa" w:w="1411"/>
            <w:vAlign w:val="center"/>
            <w:tcMar>
              <w:top w:w="48" w:type="dxa"/>
              <w:bottom w:w="48" w:type="dxa"/>
              <w:left w:w="75" w:type="dxa"/>
              <w:right w:w="75" w:type="dxa"/>
            </w:tcMar>
            <w:shd w:fill="FFFFFF"/>
          </w:tcPr>
          <w:p>
            <w:pPr>
              <w:spacing w:after="0" w:line="240" w:lineRule="auto"/>
              <w:jc w:val="center"/>
            </w:pPr>
            <w:r>
              <w:rPr>
                <w:b w:val="0"/>
                <w:color w:val="000000"/>
                <w:sz w:val="18"/>
              </w:rPr>
              <w:t>19.39</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50.0</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51.6</w:t>
            </w:r>
          </w:p>
        </w:tc>
        <w:tc>
          <w:tcPr>
            <w:tcW w:type="dxa" w:w="1670"/>
            <w:vAlign w:val="center"/>
            <w:tcMar>
              <w:top w:w="48" w:type="dxa"/>
              <w:bottom w:w="48" w:type="dxa"/>
              <w:left w:w="75" w:type="dxa"/>
              <w:right w:w="75" w:type="dxa"/>
            </w:tcMar>
            <w:shd w:fill="FFFFFF"/>
          </w:tcPr>
          <w:p>
            <w:pPr>
              <w:spacing w:after="0" w:line="240" w:lineRule="auto"/>
              <w:jc w:val="center"/>
            </w:pPr>
            <w:r>
              <w:rPr>
                <w:b w:val="0"/>
                <w:color w:val="000000"/>
                <w:sz w:val="18"/>
              </w:rPr>
              <w:t>1.6</w:t>
            </w:r>
          </w:p>
        </w:tc>
        <w:tc>
          <w:tcPr>
            <w:tcW w:type="dxa" w:w="1627"/>
            <w:vAlign w:val="center"/>
            <w:tcMar>
              <w:top w:w="48" w:type="dxa"/>
              <w:bottom w:w="48" w:type="dxa"/>
              <w:left w:w="75" w:type="dxa"/>
              <w:right w:w="75" w:type="dxa"/>
            </w:tcMar>
            <w:shd w:fill="FFFFFF"/>
          </w:tcPr>
          <w:p>
            <w:pPr>
              <w:spacing w:after="0" w:line="240" w:lineRule="auto"/>
              <w:jc w:val="center"/>
            </w:pPr>
            <w:r>
              <w:rPr>
                <w:b w:val="0"/>
                <w:color w:val="000000"/>
                <w:sz w:val="18"/>
              </w:rPr>
              <w:t>+14.8%</w:t>
            </w:r>
          </w:p>
        </w:tc>
      </w:tr>
      <w:tr>
        <w:trPr>
          <w:cantSplit/>
        </w:trPr>
        <w:tc>
          <w:tcPr>
            <w:tcW w:type="dxa" w:w="1656"/>
            <w:vAlign w:val="center"/>
            <w:tcMar>
              <w:top w:w="48" w:type="dxa"/>
              <w:bottom w:w="48" w:type="dxa"/>
              <w:left w:w="75" w:type="dxa"/>
              <w:right w:w="75" w:type="dxa"/>
            </w:tcMar>
            <w:shd w:fill="F2F5F7"/>
          </w:tcPr>
          <w:p>
            <w:pPr>
              <w:spacing w:after="0" w:line="240" w:lineRule="auto"/>
              <w:jc w:val="left"/>
            </w:pPr>
            <w:r>
              <w:rPr>
                <w:b w:val="0"/>
                <w:color w:val="000000"/>
                <w:sz w:val="18"/>
              </w:rPr>
              <w:t>Array 1</w:t>
            </w:r>
          </w:p>
        </w:tc>
        <w:tc>
          <w:tcPr>
            <w:tcW w:type="dxa" w:w="806"/>
            <w:vAlign w:val="center"/>
            <w:tcMar>
              <w:top w:w="48" w:type="dxa"/>
              <w:bottom w:w="48" w:type="dxa"/>
              <w:left w:w="75" w:type="dxa"/>
              <w:right w:w="75" w:type="dxa"/>
            </w:tcMar>
            <w:shd w:fill="F2F5F7"/>
          </w:tcPr>
          <w:p>
            <w:pPr>
              <w:spacing w:after="0" w:line="240" w:lineRule="auto"/>
              <w:jc w:val="center"/>
            </w:pPr>
            <w:r>
              <w:rPr>
                <w:b w:val="0"/>
                <w:color w:val="000000"/>
                <w:sz w:val="18"/>
              </w:rPr>
              <w:t>10</w:t>
            </w:r>
          </w:p>
        </w:tc>
        <w:tc>
          <w:tcPr>
            <w:tcW w:type="dxa" w:w="1411"/>
            <w:vAlign w:val="center"/>
            <w:tcMar>
              <w:top w:w="48" w:type="dxa"/>
              <w:bottom w:w="48" w:type="dxa"/>
              <w:left w:w="75" w:type="dxa"/>
              <w:right w:w="75" w:type="dxa"/>
            </w:tcMar>
            <w:shd w:fill="F2F5F7"/>
          </w:tcPr>
          <w:p>
            <w:pPr>
              <w:spacing w:after="0" w:line="240" w:lineRule="auto"/>
              <w:jc w:val="center"/>
            </w:pPr>
            <w:r>
              <w:rPr>
                <w:b w:val="0"/>
                <w:color w:val="000000"/>
                <w:sz w:val="18"/>
              </w:rPr>
              <w:t>15.43</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63.5</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64.8</w:t>
            </w:r>
          </w:p>
        </w:tc>
        <w:tc>
          <w:tcPr>
            <w:tcW w:type="dxa" w:w="1670"/>
            <w:vAlign w:val="center"/>
            <w:tcMar>
              <w:top w:w="48" w:type="dxa"/>
              <w:bottom w:w="48" w:type="dxa"/>
              <w:left w:w="75" w:type="dxa"/>
              <w:right w:w="75" w:type="dxa"/>
            </w:tcMar>
            <w:shd w:fill="F2F5F7"/>
          </w:tcPr>
          <w:p>
            <w:pPr>
              <w:spacing w:after="0" w:line="240" w:lineRule="auto"/>
              <w:jc w:val="center"/>
            </w:pPr>
            <w:r>
              <w:rPr>
                <w:b w:val="0"/>
                <w:color w:val="000000"/>
                <w:sz w:val="18"/>
              </w:rPr>
              <w:t>1.3</w:t>
            </w:r>
          </w:p>
        </w:tc>
        <w:tc>
          <w:tcPr>
            <w:tcW w:type="dxa" w:w="1627"/>
            <w:vAlign w:val="center"/>
            <w:tcMar>
              <w:top w:w="48" w:type="dxa"/>
              <w:bottom w:w="48" w:type="dxa"/>
              <w:left w:w="75" w:type="dxa"/>
              <w:right w:w="75" w:type="dxa"/>
            </w:tcMar>
            <w:shd w:fill="F2F5F7"/>
          </w:tcPr>
          <w:p>
            <w:pPr>
              <w:spacing w:after="0" w:line="240" w:lineRule="auto"/>
              <w:jc w:val="center"/>
            </w:pPr>
            <w:r>
              <w:rPr>
                <w:b w:val="0"/>
                <w:color w:val="000000"/>
                <w:sz w:val="18"/>
              </w:rPr>
              <w:t>—</w:t>
            </w:r>
          </w:p>
        </w:tc>
      </w:tr>
      <w:tr>
        <w:trPr>
          <w:cantSplit/>
        </w:trPr>
        <w:tc>
          <w:tcPr>
            <w:tcW w:type="dxa" w:w="1656"/>
            <w:vAlign w:val="center"/>
            <w:tcMar>
              <w:top w:w="48" w:type="dxa"/>
              <w:bottom w:w="48" w:type="dxa"/>
              <w:left w:w="75" w:type="dxa"/>
              <w:right w:w="75" w:type="dxa"/>
            </w:tcMar>
            <w:shd w:fill="FFFFFF"/>
          </w:tcPr>
          <w:p>
            <w:pPr>
              <w:spacing w:after="0" w:line="240" w:lineRule="auto"/>
              <w:jc w:val="left"/>
            </w:pPr>
            <w:r>
              <w:rPr>
                <w:b w:val="0"/>
                <w:color w:val="000000"/>
                <w:sz w:val="18"/>
              </w:rPr>
              <w:t>Array 1</w:t>
            </w:r>
          </w:p>
        </w:tc>
        <w:tc>
          <w:tcPr>
            <w:tcW w:type="dxa" w:w="806"/>
            <w:vAlign w:val="center"/>
            <w:tcMar>
              <w:top w:w="48" w:type="dxa"/>
              <w:bottom w:w="48" w:type="dxa"/>
              <w:left w:w="75" w:type="dxa"/>
              <w:right w:w="75" w:type="dxa"/>
            </w:tcMar>
            <w:shd w:fill="FFFFFF"/>
          </w:tcPr>
          <w:p>
            <w:pPr>
              <w:spacing w:after="0" w:line="240" w:lineRule="auto"/>
              <w:jc w:val="center"/>
            </w:pPr>
            <w:r>
              <w:rPr>
                <w:b w:val="0"/>
                <w:color w:val="000000"/>
                <w:sz w:val="18"/>
              </w:rPr>
              <w:t>20</w:t>
            </w:r>
          </w:p>
        </w:tc>
        <w:tc>
          <w:tcPr>
            <w:tcW w:type="dxa" w:w="1411"/>
            <w:vAlign w:val="center"/>
            <w:tcMar>
              <w:top w:w="48" w:type="dxa"/>
              <w:bottom w:w="48" w:type="dxa"/>
              <w:left w:w="75" w:type="dxa"/>
              <w:right w:w="75" w:type="dxa"/>
            </w:tcMar>
            <w:shd w:fill="FFFFFF"/>
          </w:tcPr>
          <w:p>
            <w:pPr>
              <w:spacing w:after="0" w:line="240" w:lineRule="auto"/>
              <w:jc w:val="center"/>
            </w:pPr>
            <w:r>
              <w:rPr>
                <w:b w:val="0"/>
                <w:color w:val="000000"/>
                <w:sz w:val="18"/>
              </w:rPr>
              <w:t>24.04</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40.3</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41.6</w:t>
            </w:r>
          </w:p>
        </w:tc>
        <w:tc>
          <w:tcPr>
            <w:tcW w:type="dxa" w:w="1670"/>
            <w:vAlign w:val="center"/>
            <w:tcMar>
              <w:top w:w="48" w:type="dxa"/>
              <w:bottom w:w="48" w:type="dxa"/>
              <w:left w:w="75" w:type="dxa"/>
              <w:right w:w="75" w:type="dxa"/>
            </w:tcMar>
            <w:shd w:fill="FFFFFF"/>
          </w:tcPr>
          <w:p>
            <w:pPr>
              <w:spacing w:after="0" w:line="240" w:lineRule="auto"/>
              <w:jc w:val="center"/>
            </w:pPr>
            <w:r>
              <w:rPr>
                <w:b w:val="0"/>
                <w:color w:val="000000"/>
                <w:sz w:val="18"/>
              </w:rPr>
              <w:t>1.3</w:t>
            </w:r>
          </w:p>
        </w:tc>
        <w:tc>
          <w:tcPr>
            <w:tcW w:type="dxa" w:w="1627"/>
            <w:vAlign w:val="center"/>
            <w:tcMar>
              <w:top w:w="48" w:type="dxa"/>
              <w:bottom w:w="48" w:type="dxa"/>
              <w:left w:w="75" w:type="dxa"/>
              <w:right w:w="75" w:type="dxa"/>
            </w:tcMar>
            <w:shd w:fill="FFFFFF"/>
          </w:tcPr>
          <w:p>
            <w:pPr>
              <w:spacing w:after="0" w:line="240" w:lineRule="auto"/>
              <w:jc w:val="center"/>
            </w:pPr>
            <w:r>
              <w:rPr>
                <w:b w:val="0"/>
                <w:color w:val="000000"/>
                <w:sz w:val="18"/>
              </w:rPr>
              <w:t>+55.8%</w:t>
            </w:r>
          </w:p>
        </w:tc>
      </w:tr>
      <w:tr>
        <w:trPr>
          <w:cantSplit/>
        </w:trPr>
        <w:tc>
          <w:tcPr>
            <w:tcW w:type="dxa" w:w="1656"/>
            <w:vAlign w:val="center"/>
            <w:tcMar>
              <w:top w:w="48" w:type="dxa"/>
              <w:bottom w:w="48" w:type="dxa"/>
              <w:left w:w="75" w:type="dxa"/>
              <w:right w:w="75" w:type="dxa"/>
            </w:tcMar>
            <w:shd w:fill="F2F5F7"/>
          </w:tcPr>
          <w:p>
            <w:pPr>
              <w:spacing w:after="0" w:line="240" w:lineRule="auto"/>
              <w:jc w:val="left"/>
            </w:pPr>
            <w:r>
              <w:rPr>
                <w:b w:val="0"/>
                <w:color w:val="000000"/>
                <w:sz w:val="18"/>
              </w:rPr>
              <w:t>Array 1</w:t>
            </w:r>
          </w:p>
        </w:tc>
        <w:tc>
          <w:tcPr>
            <w:tcW w:type="dxa" w:w="806"/>
            <w:vAlign w:val="center"/>
            <w:tcMar>
              <w:top w:w="48" w:type="dxa"/>
              <w:bottom w:w="48" w:type="dxa"/>
              <w:left w:w="75" w:type="dxa"/>
              <w:right w:w="75" w:type="dxa"/>
            </w:tcMar>
            <w:shd w:fill="F2F5F7"/>
          </w:tcPr>
          <w:p>
            <w:pPr>
              <w:spacing w:after="0" w:line="240" w:lineRule="auto"/>
              <w:jc w:val="center"/>
            </w:pPr>
            <w:r>
              <w:rPr>
                <w:b w:val="0"/>
                <w:color w:val="000000"/>
                <w:sz w:val="18"/>
              </w:rPr>
              <w:t>30</w:t>
            </w:r>
          </w:p>
        </w:tc>
        <w:tc>
          <w:tcPr>
            <w:tcW w:type="dxa" w:w="1411"/>
            <w:vAlign w:val="center"/>
            <w:tcMar>
              <w:top w:w="48" w:type="dxa"/>
              <w:bottom w:w="48" w:type="dxa"/>
              <w:left w:w="75" w:type="dxa"/>
              <w:right w:w="75" w:type="dxa"/>
            </w:tcMar>
            <w:shd w:fill="F2F5F7"/>
          </w:tcPr>
          <w:p>
            <w:pPr>
              <w:spacing w:after="0" w:line="240" w:lineRule="auto"/>
              <w:jc w:val="center"/>
            </w:pPr>
            <w:r>
              <w:rPr>
                <w:b w:val="0"/>
                <w:color w:val="000000"/>
                <w:sz w:val="18"/>
              </w:rPr>
              <w:t>29.53</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32.6</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33.9</w:t>
            </w:r>
          </w:p>
        </w:tc>
        <w:tc>
          <w:tcPr>
            <w:tcW w:type="dxa" w:w="1670"/>
            <w:vAlign w:val="center"/>
            <w:tcMar>
              <w:top w:w="48" w:type="dxa"/>
              <w:bottom w:w="48" w:type="dxa"/>
              <w:left w:w="75" w:type="dxa"/>
              <w:right w:w="75" w:type="dxa"/>
            </w:tcMar>
            <w:shd w:fill="F2F5F7"/>
          </w:tcPr>
          <w:p>
            <w:pPr>
              <w:spacing w:after="0" w:line="240" w:lineRule="auto"/>
              <w:jc w:val="center"/>
            </w:pPr>
            <w:r>
              <w:rPr>
                <w:b w:val="0"/>
                <w:color w:val="000000"/>
                <w:sz w:val="18"/>
              </w:rPr>
              <w:t>1.3</w:t>
            </w:r>
          </w:p>
        </w:tc>
        <w:tc>
          <w:tcPr>
            <w:tcW w:type="dxa" w:w="1627"/>
            <w:vAlign w:val="center"/>
            <w:tcMar>
              <w:top w:w="48" w:type="dxa"/>
              <w:bottom w:w="48" w:type="dxa"/>
              <w:left w:w="75" w:type="dxa"/>
              <w:right w:w="75" w:type="dxa"/>
            </w:tcMar>
            <w:shd w:fill="F2F5F7"/>
          </w:tcPr>
          <w:p>
            <w:pPr>
              <w:spacing w:after="0" w:line="240" w:lineRule="auto"/>
              <w:jc w:val="center"/>
            </w:pPr>
            <w:r>
              <w:rPr>
                <w:b w:val="0"/>
                <w:color w:val="000000"/>
                <w:sz w:val="18"/>
              </w:rPr>
              <w:t>+22.8%</w:t>
            </w:r>
          </w:p>
        </w:tc>
      </w:tr>
      <w:tr>
        <w:trPr>
          <w:cantSplit/>
        </w:trPr>
        <w:tc>
          <w:tcPr>
            <w:tcW w:type="dxa" w:w="1656"/>
            <w:vAlign w:val="center"/>
            <w:tcMar>
              <w:top w:w="48" w:type="dxa"/>
              <w:bottom w:w="48" w:type="dxa"/>
              <w:left w:w="75" w:type="dxa"/>
              <w:right w:w="75" w:type="dxa"/>
            </w:tcMar>
            <w:shd w:fill="FFFFFF"/>
          </w:tcPr>
          <w:p>
            <w:pPr>
              <w:spacing w:after="0" w:line="240" w:lineRule="auto"/>
              <w:jc w:val="left"/>
            </w:pPr>
            <w:r>
              <w:rPr>
                <w:b w:val="0"/>
                <w:color w:val="000000"/>
                <w:sz w:val="18"/>
              </w:rPr>
              <w:t>Array 2</w:t>
            </w:r>
          </w:p>
        </w:tc>
        <w:tc>
          <w:tcPr>
            <w:tcW w:type="dxa" w:w="806"/>
            <w:vAlign w:val="center"/>
            <w:tcMar>
              <w:top w:w="48" w:type="dxa"/>
              <w:bottom w:w="48" w:type="dxa"/>
              <w:left w:w="75" w:type="dxa"/>
              <w:right w:w="75" w:type="dxa"/>
            </w:tcMar>
            <w:shd w:fill="FFFFFF"/>
          </w:tcPr>
          <w:p>
            <w:pPr>
              <w:spacing w:after="0" w:line="240" w:lineRule="auto"/>
              <w:jc w:val="center"/>
            </w:pPr>
            <w:r>
              <w:rPr>
                <w:b w:val="0"/>
                <w:color w:val="000000"/>
                <w:sz w:val="18"/>
              </w:rPr>
              <w:t>10</w:t>
            </w:r>
          </w:p>
        </w:tc>
        <w:tc>
          <w:tcPr>
            <w:tcW w:type="dxa" w:w="1411"/>
            <w:vAlign w:val="center"/>
            <w:tcMar>
              <w:top w:w="48" w:type="dxa"/>
              <w:bottom w:w="48" w:type="dxa"/>
              <w:left w:w="75" w:type="dxa"/>
              <w:right w:w="75" w:type="dxa"/>
            </w:tcMar>
            <w:shd w:fill="FFFFFF"/>
          </w:tcPr>
          <w:p>
            <w:pPr>
              <w:spacing w:after="0" w:line="240" w:lineRule="auto"/>
              <w:jc w:val="center"/>
            </w:pPr>
            <w:r>
              <w:rPr>
                <w:b w:val="0"/>
                <w:color w:val="000000"/>
                <w:sz w:val="18"/>
              </w:rPr>
              <w:t>15.36</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63.8</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65.1</w:t>
            </w:r>
          </w:p>
        </w:tc>
        <w:tc>
          <w:tcPr>
            <w:tcW w:type="dxa" w:w="1670"/>
            <w:vAlign w:val="center"/>
            <w:tcMar>
              <w:top w:w="48" w:type="dxa"/>
              <w:bottom w:w="48" w:type="dxa"/>
              <w:left w:w="75" w:type="dxa"/>
              <w:right w:w="75" w:type="dxa"/>
            </w:tcMar>
            <w:shd w:fill="FFFFFF"/>
          </w:tcPr>
          <w:p>
            <w:pPr>
              <w:spacing w:after="0" w:line="240" w:lineRule="auto"/>
              <w:jc w:val="center"/>
            </w:pPr>
            <w:r>
              <w:rPr>
                <w:b w:val="0"/>
                <w:color w:val="000000"/>
                <w:sz w:val="18"/>
              </w:rPr>
              <w:t>1.3</w:t>
            </w:r>
          </w:p>
        </w:tc>
        <w:tc>
          <w:tcPr>
            <w:tcW w:type="dxa" w:w="1627"/>
            <w:vAlign w:val="center"/>
            <w:tcMar>
              <w:top w:w="48" w:type="dxa"/>
              <w:bottom w:w="48" w:type="dxa"/>
              <w:left w:w="75" w:type="dxa"/>
              <w:right w:w="75" w:type="dxa"/>
            </w:tcMar>
            <w:shd w:fill="FFFFFF"/>
          </w:tcPr>
          <w:p>
            <w:pPr>
              <w:spacing w:after="0" w:line="240" w:lineRule="auto"/>
              <w:jc w:val="center"/>
            </w:pPr>
            <w:r>
              <w:rPr>
                <w:b w:val="0"/>
                <w:color w:val="000000"/>
                <w:sz w:val="18"/>
              </w:rPr>
              <w:t>—</w:t>
            </w:r>
          </w:p>
        </w:tc>
      </w:tr>
      <w:tr>
        <w:trPr>
          <w:cantSplit/>
        </w:trPr>
        <w:tc>
          <w:tcPr>
            <w:tcW w:type="dxa" w:w="1656"/>
            <w:vAlign w:val="center"/>
            <w:tcMar>
              <w:top w:w="48" w:type="dxa"/>
              <w:bottom w:w="48" w:type="dxa"/>
              <w:left w:w="75" w:type="dxa"/>
              <w:right w:w="75" w:type="dxa"/>
            </w:tcMar>
            <w:shd w:fill="F2F5F7"/>
          </w:tcPr>
          <w:p>
            <w:pPr>
              <w:spacing w:after="0" w:line="240" w:lineRule="auto"/>
              <w:jc w:val="left"/>
            </w:pPr>
            <w:r>
              <w:rPr>
                <w:b w:val="0"/>
                <w:color w:val="000000"/>
                <w:sz w:val="18"/>
              </w:rPr>
              <w:t>Array 2</w:t>
            </w:r>
          </w:p>
        </w:tc>
        <w:tc>
          <w:tcPr>
            <w:tcW w:type="dxa" w:w="806"/>
            <w:vAlign w:val="center"/>
            <w:tcMar>
              <w:top w:w="48" w:type="dxa"/>
              <w:bottom w:w="48" w:type="dxa"/>
              <w:left w:w="75" w:type="dxa"/>
              <w:right w:w="75" w:type="dxa"/>
            </w:tcMar>
            <w:shd w:fill="F2F5F7"/>
          </w:tcPr>
          <w:p>
            <w:pPr>
              <w:spacing w:after="0" w:line="240" w:lineRule="auto"/>
              <w:jc w:val="center"/>
            </w:pPr>
            <w:r>
              <w:rPr>
                <w:b w:val="0"/>
                <w:color w:val="000000"/>
                <w:sz w:val="18"/>
              </w:rPr>
              <w:t>20</w:t>
            </w:r>
          </w:p>
        </w:tc>
        <w:tc>
          <w:tcPr>
            <w:tcW w:type="dxa" w:w="1411"/>
            <w:vAlign w:val="center"/>
            <w:tcMar>
              <w:top w:w="48" w:type="dxa"/>
              <w:bottom w:w="48" w:type="dxa"/>
              <w:left w:w="75" w:type="dxa"/>
              <w:right w:w="75" w:type="dxa"/>
            </w:tcMar>
            <w:shd w:fill="F2F5F7"/>
          </w:tcPr>
          <w:p>
            <w:pPr>
              <w:spacing w:after="0" w:line="240" w:lineRule="auto"/>
              <w:jc w:val="center"/>
            </w:pPr>
            <w:r>
              <w:rPr>
                <w:b w:val="0"/>
                <w:color w:val="000000"/>
                <w:sz w:val="18"/>
              </w:rPr>
              <w:t>23.87</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40.6</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41.9</w:t>
            </w:r>
          </w:p>
        </w:tc>
        <w:tc>
          <w:tcPr>
            <w:tcW w:type="dxa" w:w="1670"/>
            <w:vAlign w:val="center"/>
            <w:tcMar>
              <w:top w:w="48" w:type="dxa"/>
              <w:bottom w:w="48" w:type="dxa"/>
              <w:left w:w="75" w:type="dxa"/>
              <w:right w:w="75" w:type="dxa"/>
            </w:tcMar>
            <w:shd w:fill="F2F5F7"/>
          </w:tcPr>
          <w:p>
            <w:pPr>
              <w:spacing w:after="0" w:line="240" w:lineRule="auto"/>
              <w:jc w:val="center"/>
            </w:pPr>
            <w:r>
              <w:rPr>
                <w:b w:val="0"/>
                <w:color w:val="000000"/>
                <w:sz w:val="18"/>
              </w:rPr>
              <w:t>1.3</w:t>
            </w:r>
          </w:p>
        </w:tc>
        <w:tc>
          <w:tcPr>
            <w:tcW w:type="dxa" w:w="1627"/>
            <w:vAlign w:val="center"/>
            <w:tcMar>
              <w:top w:w="48" w:type="dxa"/>
              <w:bottom w:w="48" w:type="dxa"/>
              <w:left w:w="75" w:type="dxa"/>
              <w:right w:w="75" w:type="dxa"/>
            </w:tcMar>
            <w:shd w:fill="F2F5F7"/>
          </w:tcPr>
          <w:p>
            <w:pPr>
              <w:spacing w:after="0" w:line="240" w:lineRule="auto"/>
              <w:jc w:val="center"/>
            </w:pPr>
            <w:r>
              <w:rPr>
                <w:b w:val="0"/>
                <w:color w:val="000000"/>
                <w:sz w:val="18"/>
              </w:rPr>
              <w:t>+55.4%</w:t>
            </w:r>
          </w:p>
        </w:tc>
      </w:tr>
      <w:tr>
        <w:trPr>
          <w:cantSplit/>
        </w:trPr>
        <w:tc>
          <w:tcPr>
            <w:tcW w:type="dxa" w:w="1656"/>
            <w:vAlign w:val="center"/>
            <w:tcMar>
              <w:top w:w="48" w:type="dxa"/>
              <w:bottom w:w="48" w:type="dxa"/>
              <w:left w:w="75" w:type="dxa"/>
              <w:right w:w="75" w:type="dxa"/>
            </w:tcMar>
            <w:shd w:fill="FFFFFF"/>
          </w:tcPr>
          <w:p>
            <w:pPr>
              <w:spacing w:after="0" w:line="240" w:lineRule="auto"/>
              <w:jc w:val="left"/>
            </w:pPr>
            <w:r>
              <w:rPr>
                <w:b w:val="0"/>
                <w:color w:val="000000"/>
                <w:sz w:val="18"/>
              </w:rPr>
              <w:t>Array 2</w:t>
            </w:r>
          </w:p>
        </w:tc>
        <w:tc>
          <w:tcPr>
            <w:tcW w:type="dxa" w:w="806"/>
            <w:vAlign w:val="center"/>
            <w:tcMar>
              <w:top w:w="48" w:type="dxa"/>
              <w:bottom w:w="48" w:type="dxa"/>
              <w:left w:w="75" w:type="dxa"/>
              <w:right w:w="75" w:type="dxa"/>
            </w:tcMar>
            <w:shd w:fill="FFFFFF"/>
          </w:tcPr>
          <w:p>
            <w:pPr>
              <w:spacing w:after="0" w:line="240" w:lineRule="auto"/>
              <w:jc w:val="center"/>
            </w:pPr>
            <w:r>
              <w:rPr>
                <w:b w:val="0"/>
                <w:color w:val="000000"/>
                <w:sz w:val="18"/>
              </w:rPr>
              <w:t>30</w:t>
            </w:r>
          </w:p>
        </w:tc>
        <w:tc>
          <w:tcPr>
            <w:tcW w:type="dxa" w:w="1411"/>
            <w:vAlign w:val="center"/>
            <w:tcMar>
              <w:top w:w="48" w:type="dxa"/>
              <w:bottom w:w="48" w:type="dxa"/>
              <w:left w:w="75" w:type="dxa"/>
              <w:right w:w="75" w:type="dxa"/>
            </w:tcMar>
            <w:shd w:fill="FFFFFF"/>
          </w:tcPr>
          <w:p>
            <w:pPr>
              <w:spacing w:after="0" w:line="240" w:lineRule="auto"/>
              <w:jc w:val="center"/>
            </w:pPr>
            <w:r>
              <w:rPr>
                <w:b w:val="0"/>
                <w:color w:val="000000"/>
                <w:sz w:val="18"/>
              </w:rPr>
              <w:t>29.28</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32.9</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34.2</w:t>
            </w:r>
          </w:p>
        </w:tc>
        <w:tc>
          <w:tcPr>
            <w:tcW w:type="dxa" w:w="1670"/>
            <w:vAlign w:val="center"/>
            <w:tcMar>
              <w:top w:w="48" w:type="dxa"/>
              <w:bottom w:w="48" w:type="dxa"/>
              <w:left w:w="75" w:type="dxa"/>
              <w:right w:w="75" w:type="dxa"/>
            </w:tcMar>
            <w:shd w:fill="FFFFFF"/>
          </w:tcPr>
          <w:p>
            <w:pPr>
              <w:spacing w:after="0" w:line="240" w:lineRule="auto"/>
              <w:jc w:val="center"/>
            </w:pPr>
            <w:r>
              <w:rPr>
                <w:b w:val="0"/>
                <w:color w:val="000000"/>
                <w:sz w:val="18"/>
              </w:rPr>
              <w:t>1.3</w:t>
            </w:r>
          </w:p>
        </w:tc>
        <w:tc>
          <w:tcPr>
            <w:tcW w:type="dxa" w:w="1627"/>
            <w:vAlign w:val="center"/>
            <w:tcMar>
              <w:top w:w="48" w:type="dxa"/>
              <w:bottom w:w="48" w:type="dxa"/>
              <w:left w:w="75" w:type="dxa"/>
              <w:right w:w="75" w:type="dxa"/>
            </w:tcMar>
            <w:shd w:fill="FFFFFF"/>
          </w:tcPr>
          <w:p>
            <w:pPr>
              <w:spacing w:after="0" w:line="240" w:lineRule="auto"/>
              <w:jc w:val="center"/>
            </w:pPr>
            <w:r>
              <w:rPr>
                <w:b w:val="0"/>
                <w:color w:val="000000"/>
                <w:sz w:val="18"/>
              </w:rPr>
              <w:t>+22.6%</w:t>
            </w:r>
          </w:p>
        </w:tc>
      </w:tr>
    </w:tbl>
    <w:p>
      <w:pPr>
        <w:spacing w:after="0"/>
      </w:pPr>
    </w:p>
    <w:p>
      <w:r>
        <w:rPr>
          <w:b w:val="0"/>
          <w:sz w:val="18"/>
        </w:rPr>
        <w:t>Both arrays = 50 channels; each single array = 25. Clock gain compares 20 with 10 MHz, or 30 with 20 MHz, within the same selection and firmware family. Doubling SPI clock does not double the sampling rate.</w:t>
      </w:r>
    </w:p>
    <w:p>
      <w:pPr>
        <w:pStyle w:val="Heading2"/>
      </w:pPr>
      <w:r>
        <w:t>Earlier firmware with Vmid insertion on</w:t>
      </w:r>
    </w:p>
    <w:p>
      <w:r>
        <w:rPr>
          <w:b/>
          <w:sz w:val="18"/>
        </w:rPr>
        <w:t>Historical 1 October measurements below predate the firmware optimizations and USB repair. They establish the tested Vmid-on clock trend but must not be compared directly with the table above as the cost of toggling Vmid today.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06"/>
        <w:gridCol w:w="1411"/>
        <w:gridCol w:w="1454"/>
        <w:gridCol w:w="1454"/>
        <w:gridCol w:w="1670"/>
        <w:gridCol w:w="1627"/>
      </w:tblGrid>
      <w:tr>
        <w:trPr>
          <w:cantSplit/>
          <w:tblHeader/>
        </w:trPr>
        <w:tc>
          <w:tcPr>
            <w:tcW w:type="dxa" w:w="1656"/>
            <w:vAlign w:val="center"/>
            <w:tcMar>
              <w:top w:w="48" w:type="dxa"/>
              <w:bottom w:w="48" w:type="dxa"/>
              <w:left w:w="75" w:type="dxa"/>
              <w:right w:w="75" w:type="dxa"/>
            </w:tcMar>
            <w:shd w:fill="244A63"/>
          </w:tcPr>
          <w:p>
            <w:pPr>
              <w:spacing w:after="0" w:line="240" w:lineRule="auto"/>
              <w:jc w:val="left"/>
            </w:pPr>
            <w:r>
              <w:rPr>
                <w:b/>
                <w:color w:val="FFFFFF"/>
                <w:sz w:val="18"/>
              </w:rPr>
              <w:t>Selection</w:t>
            </w:r>
          </w:p>
        </w:tc>
        <w:tc>
          <w:tcPr>
            <w:tcW w:type="dxa" w:w="806"/>
            <w:vAlign w:val="center"/>
            <w:tcMar>
              <w:top w:w="48" w:type="dxa"/>
              <w:bottom w:w="48" w:type="dxa"/>
              <w:left w:w="75" w:type="dxa"/>
              <w:right w:w="75" w:type="dxa"/>
            </w:tcMar>
            <w:shd w:fill="244A63"/>
          </w:tcPr>
          <w:p>
            <w:pPr>
              <w:spacing w:after="0" w:line="240" w:lineRule="auto"/>
              <w:jc w:val="center"/>
            </w:pPr>
            <w:r>
              <w:rPr>
                <w:b/>
                <w:color w:val="FFFFFF"/>
                <w:sz w:val="18"/>
              </w:rPr>
              <w:t>SPI</w:t>
              <w:br/>
              <w:t>MHz</w:t>
            </w:r>
          </w:p>
        </w:tc>
        <w:tc>
          <w:tcPr>
            <w:tcW w:type="dxa" w:w="1411"/>
            <w:vAlign w:val="center"/>
            <w:tcMar>
              <w:top w:w="48" w:type="dxa"/>
              <w:bottom w:w="48" w:type="dxa"/>
              <w:left w:w="75" w:type="dxa"/>
              <w:right w:w="75" w:type="dxa"/>
            </w:tcMar>
            <w:shd w:fill="244A63"/>
          </w:tcPr>
          <w:p>
            <w:pPr>
              <w:spacing w:after="0" w:line="240" w:lineRule="auto"/>
              <w:jc w:val="center"/>
            </w:pPr>
            <w:r>
              <w:rPr>
                <w:b/>
                <w:color w:val="FFFFFF"/>
                <w:sz w:val="18"/>
              </w:rPr>
              <w:t>Rate</w:t>
              <w:br/>
              <w:t>kHz per ch</w:t>
            </w:r>
          </w:p>
        </w:tc>
        <w:tc>
          <w:tcPr>
            <w:tcW w:type="dxa" w:w="1454"/>
            <w:vAlign w:val="center"/>
            <w:tcMar>
              <w:top w:w="48" w:type="dxa"/>
              <w:bottom w:w="48" w:type="dxa"/>
              <w:left w:w="75" w:type="dxa"/>
              <w:right w:w="75" w:type="dxa"/>
            </w:tcMar>
            <w:shd w:fill="244A63"/>
          </w:tcPr>
          <w:p>
            <w:pPr>
              <w:spacing w:after="0" w:line="240" w:lineRule="auto"/>
              <w:jc w:val="center"/>
            </w:pPr>
            <w:r>
              <w:rPr>
                <w:b/>
                <w:color w:val="FFFFFF"/>
                <w:sz w:val="18"/>
              </w:rPr>
              <w:t>Sweep</w:t>
              <w:br/>
              <w:t>µs</w:t>
            </w:r>
          </w:p>
        </w:tc>
        <w:tc>
          <w:tcPr>
            <w:tcW w:type="dxa" w:w="1454"/>
            <w:vAlign w:val="center"/>
            <w:tcMar>
              <w:top w:w="48" w:type="dxa"/>
              <w:bottom w:w="48" w:type="dxa"/>
              <w:left w:w="75" w:type="dxa"/>
              <w:right w:w="75" w:type="dxa"/>
            </w:tcMar>
            <w:shd w:fill="244A63"/>
          </w:tcPr>
          <w:p>
            <w:pPr>
              <w:spacing w:after="0" w:line="240" w:lineRule="auto"/>
              <w:jc w:val="center"/>
            </w:pPr>
            <w:r>
              <w:rPr>
                <w:b/>
                <w:color w:val="FFFFFF"/>
                <w:sz w:val="18"/>
              </w:rPr>
              <w:t>Total</w:t>
              <w:br/>
              <w:t>µs</w:t>
            </w:r>
          </w:p>
        </w:tc>
        <w:tc>
          <w:tcPr>
            <w:tcW w:type="dxa" w:w="1670"/>
            <w:vAlign w:val="center"/>
            <w:tcMar>
              <w:top w:w="48" w:type="dxa"/>
              <w:bottom w:w="48" w:type="dxa"/>
              <w:left w:w="75" w:type="dxa"/>
              <w:right w:w="75" w:type="dxa"/>
            </w:tcMar>
            <w:shd w:fill="244A63"/>
          </w:tcPr>
          <w:p>
            <w:pPr>
              <w:spacing w:after="0" w:line="240" w:lineRule="auto"/>
              <w:jc w:val="center"/>
            </w:pPr>
            <w:r>
              <w:rPr>
                <w:b/>
                <w:color w:val="FFFFFF"/>
                <w:sz w:val="18"/>
              </w:rPr>
              <w:t>Overhead</w:t>
              <w:br/>
              <w:t>µs</w:t>
            </w:r>
          </w:p>
        </w:tc>
        <w:tc>
          <w:tcPr>
            <w:tcW w:type="dxa" w:w="1627"/>
            <w:vAlign w:val="center"/>
            <w:tcMar>
              <w:top w:w="48" w:type="dxa"/>
              <w:bottom w:w="48" w:type="dxa"/>
              <w:left w:w="75" w:type="dxa"/>
              <w:right w:w="75" w:type="dxa"/>
            </w:tcMar>
            <w:shd w:fill="244A63"/>
          </w:tcPr>
          <w:p>
            <w:pPr>
              <w:spacing w:after="0" w:line="240" w:lineRule="auto"/>
              <w:jc w:val="center"/>
            </w:pPr>
            <w:r>
              <w:rPr>
                <w:b/>
                <w:color w:val="FFFFFF"/>
                <w:sz w:val="18"/>
              </w:rPr>
              <w:t>Clock gain</w:t>
            </w:r>
          </w:p>
        </w:tc>
      </w:tr>
      <w:tr>
        <w:trPr>
          <w:cantSplit/>
        </w:trPr>
        <w:tc>
          <w:tcPr>
            <w:tcW w:type="dxa" w:w="1656"/>
            <w:vAlign w:val="center"/>
            <w:tcMar>
              <w:top w:w="48" w:type="dxa"/>
              <w:bottom w:w="48" w:type="dxa"/>
              <w:left w:w="75" w:type="dxa"/>
              <w:right w:w="75" w:type="dxa"/>
            </w:tcMar>
            <w:shd w:fill="FFFFFF"/>
          </w:tcPr>
          <w:p>
            <w:pPr>
              <w:spacing w:after="0" w:line="240" w:lineRule="auto"/>
              <w:jc w:val="left"/>
            </w:pPr>
            <w:r>
              <w:rPr>
                <w:b w:val="0"/>
                <w:color w:val="000000"/>
                <w:sz w:val="18"/>
              </w:rPr>
              <w:t>Both arrays</w:t>
            </w:r>
          </w:p>
        </w:tc>
        <w:tc>
          <w:tcPr>
            <w:tcW w:type="dxa" w:w="806"/>
            <w:vAlign w:val="center"/>
            <w:tcMar>
              <w:top w:w="48" w:type="dxa"/>
              <w:bottom w:w="48" w:type="dxa"/>
              <w:left w:w="75" w:type="dxa"/>
              <w:right w:w="75" w:type="dxa"/>
            </w:tcMar>
            <w:shd w:fill="FFFFFF"/>
          </w:tcPr>
          <w:p>
            <w:pPr>
              <w:spacing w:after="0" w:line="240" w:lineRule="auto"/>
              <w:jc w:val="center"/>
            </w:pPr>
            <w:r>
              <w:rPr>
                <w:b w:val="0"/>
                <w:color w:val="000000"/>
                <w:sz w:val="18"/>
              </w:rPr>
              <w:t>10</w:t>
            </w:r>
          </w:p>
        </w:tc>
        <w:tc>
          <w:tcPr>
            <w:tcW w:type="dxa" w:w="1411"/>
            <w:vAlign w:val="center"/>
            <w:tcMar>
              <w:top w:w="48" w:type="dxa"/>
              <w:bottom w:w="48" w:type="dxa"/>
              <w:left w:w="75" w:type="dxa"/>
              <w:right w:w="75" w:type="dxa"/>
            </w:tcMar>
            <w:shd w:fill="FFFFFF"/>
          </w:tcPr>
          <w:p>
            <w:pPr>
              <w:spacing w:after="0" w:line="240" w:lineRule="auto"/>
              <w:jc w:val="center"/>
            </w:pPr>
            <w:r>
              <w:rPr>
                <w:b w:val="0"/>
                <w:color w:val="000000"/>
                <w:sz w:val="18"/>
              </w:rPr>
              <w:t>3.46</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285.2</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289.2</w:t>
            </w:r>
          </w:p>
        </w:tc>
        <w:tc>
          <w:tcPr>
            <w:tcW w:type="dxa" w:w="1670"/>
            <w:vAlign w:val="center"/>
            <w:tcMar>
              <w:top w:w="48" w:type="dxa"/>
              <w:bottom w:w="48" w:type="dxa"/>
              <w:left w:w="75" w:type="dxa"/>
              <w:right w:w="75" w:type="dxa"/>
            </w:tcMar>
            <w:shd w:fill="FFFFFF"/>
          </w:tcPr>
          <w:p>
            <w:pPr>
              <w:spacing w:after="0" w:line="240" w:lineRule="auto"/>
              <w:jc w:val="center"/>
            </w:pPr>
            <w:r>
              <w:rPr>
                <w:b w:val="0"/>
                <w:color w:val="000000"/>
                <w:sz w:val="18"/>
              </w:rPr>
              <w:t>4.0</w:t>
            </w:r>
          </w:p>
        </w:tc>
        <w:tc>
          <w:tcPr>
            <w:tcW w:type="dxa" w:w="1627"/>
            <w:vAlign w:val="center"/>
            <w:tcMar>
              <w:top w:w="48" w:type="dxa"/>
              <w:bottom w:w="48" w:type="dxa"/>
              <w:left w:w="75" w:type="dxa"/>
              <w:right w:w="75" w:type="dxa"/>
            </w:tcMar>
            <w:shd w:fill="FFFFFF"/>
          </w:tcPr>
          <w:p>
            <w:pPr>
              <w:spacing w:after="0" w:line="240" w:lineRule="auto"/>
              <w:jc w:val="center"/>
            </w:pPr>
            <w:r>
              <w:rPr>
                <w:b w:val="0"/>
                <w:color w:val="000000"/>
                <w:sz w:val="18"/>
              </w:rPr>
              <w:t>—</w:t>
            </w:r>
          </w:p>
        </w:tc>
      </w:tr>
      <w:tr>
        <w:trPr>
          <w:cantSplit/>
        </w:trPr>
        <w:tc>
          <w:tcPr>
            <w:tcW w:type="dxa" w:w="1656"/>
            <w:vAlign w:val="center"/>
            <w:tcMar>
              <w:top w:w="48" w:type="dxa"/>
              <w:bottom w:w="48" w:type="dxa"/>
              <w:left w:w="75" w:type="dxa"/>
              <w:right w:w="75" w:type="dxa"/>
            </w:tcMar>
            <w:shd w:fill="F2F5F7"/>
          </w:tcPr>
          <w:p>
            <w:pPr>
              <w:spacing w:after="0" w:line="240" w:lineRule="auto"/>
              <w:jc w:val="left"/>
            </w:pPr>
            <w:r>
              <w:rPr>
                <w:b w:val="0"/>
                <w:color w:val="000000"/>
                <w:sz w:val="18"/>
              </w:rPr>
              <w:t>Both arrays</w:t>
            </w:r>
          </w:p>
        </w:tc>
        <w:tc>
          <w:tcPr>
            <w:tcW w:type="dxa" w:w="806"/>
            <w:vAlign w:val="center"/>
            <w:tcMar>
              <w:top w:w="48" w:type="dxa"/>
              <w:bottom w:w="48" w:type="dxa"/>
              <w:left w:w="75" w:type="dxa"/>
              <w:right w:w="75" w:type="dxa"/>
            </w:tcMar>
            <w:shd w:fill="F2F5F7"/>
          </w:tcPr>
          <w:p>
            <w:pPr>
              <w:spacing w:after="0" w:line="240" w:lineRule="auto"/>
              <w:jc w:val="center"/>
            </w:pPr>
            <w:r>
              <w:rPr>
                <w:b w:val="0"/>
                <w:color w:val="000000"/>
                <w:sz w:val="18"/>
              </w:rPr>
              <w:t>20</w:t>
            </w:r>
          </w:p>
        </w:tc>
        <w:tc>
          <w:tcPr>
            <w:tcW w:type="dxa" w:w="1411"/>
            <w:vAlign w:val="center"/>
            <w:tcMar>
              <w:top w:w="48" w:type="dxa"/>
              <w:bottom w:w="48" w:type="dxa"/>
              <w:left w:w="75" w:type="dxa"/>
              <w:right w:w="75" w:type="dxa"/>
            </w:tcMar>
            <w:shd w:fill="F2F5F7"/>
          </w:tcPr>
          <w:p>
            <w:pPr>
              <w:spacing w:after="0" w:line="240" w:lineRule="auto"/>
              <w:jc w:val="center"/>
            </w:pPr>
            <w:r>
              <w:rPr>
                <w:b w:val="0"/>
                <w:color w:val="000000"/>
                <w:sz w:val="18"/>
              </w:rPr>
              <w:t>4.56</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215.4</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219.5</w:t>
            </w:r>
          </w:p>
        </w:tc>
        <w:tc>
          <w:tcPr>
            <w:tcW w:type="dxa" w:w="1670"/>
            <w:vAlign w:val="center"/>
            <w:tcMar>
              <w:top w:w="48" w:type="dxa"/>
              <w:bottom w:w="48" w:type="dxa"/>
              <w:left w:w="75" w:type="dxa"/>
              <w:right w:w="75" w:type="dxa"/>
            </w:tcMar>
            <w:shd w:fill="F2F5F7"/>
          </w:tcPr>
          <w:p>
            <w:pPr>
              <w:spacing w:after="0" w:line="240" w:lineRule="auto"/>
              <w:jc w:val="center"/>
            </w:pPr>
            <w:r>
              <w:rPr>
                <w:b w:val="0"/>
                <w:color w:val="000000"/>
                <w:sz w:val="18"/>
              </w:rPr>
              <w:t>4.1</w:t>
            </w:r>
          </w:p>
        </w:tc>
        <w:tc>
          <w:tcPr>
            <w:tcW w:type="dxa" w:w="1627"/>
            <w:vAlign w:val="center"/>
            <w:tcMar>
              <w:top w:w="48" w:type="dxa"/>
              <w:bottom w:w="48" w:type="dxa"/>
              <w:left w:w="75" w:type="dxa"/>
              <w:right w:w="75" w:type="dxa"/>
            </w:tcMar>
            <w:shd w:fill="F2F5F7"/>
          </w:tcPr>
          <w:p>
            <w:pPr>
              <w:spacing w:after="0" w:line="240" w:lineRule="auto"/>
              <w:jc w:val="center"/>
            </w:pPr>
            <w:r>
              <w:rPr>
                <w:b w:val="0"/>
                <w:color w:val="000000"/>
                <w:sz w:val="18"/>
              </w:rPr>
              <w:t>+31.7%</w:t>
            </w:r>
          </w:p>
        </w:tc>
      </w:tr>
      <w:tr>
        <w:trPr>
          <w:cantSplit/>
        </w:trPr>
        <w:tc>
          <w:tcPr>
            <w:tcW w:type="dxa" w:w="1656"/>
            <w:vAlign w:val="center"/>
            <w:tcMar>
              <w:top w:w="48" w:type="dxa"/>
              <w:bottom w:w="48" w:type="dxa"/>
              <w:left w:w="75" w:type="dxa"/>
              <w:right w:w="75" w:type="dxa"/>
            </w:tcMar>
            <w:shd w:fill="FFFFFF"/>
          </w:tcPr>
          <w:p>
            <w:pPr>
              <w:spacing w:after="0" w:line="240" w:lineRule="auto"/>
              <w:jc w:val="left"/>
            </w:pPr>
            <w:r>
              <w:rPr>
                <w:b w:val="0"/>
                <w:color w:val="000000"/>
                <w:sz w:val="18"/>
              </w:rPr>
              <w:t>Both arrays</w:t>
            </w:r>
          </w:p>
        </w:tc>
        <w:tc>
          <w:tcPr>
            <w:tcW w:type="dxa" w:w="806"/>
            <w:vAlign w:val="center"/>
            <w:tcMar>
              <w:top w:w="48" w:type="dxa"/>
              <w:bottom w:w="48" w:type="dxa"/>
              <w:left w:w="75" w:type="dxa"/>
              <w:right w:w="75" w:type="dxa"/>
            </w:tcMar>
            <w:shd w:fill="FFFFFF"/>
          </w:tcPr>
          <w:p>
            <w:pPr>
              <w:spacing w:after="0" w:line="240" w:lineRule="auto"/>
              <w:jc w:val="center"/>
            </w:pPr>
            <w:r>
              <w:rPr>
                <w:b w:val="0"/>
                <w:color w:val="000000"/>
                <w:sz w:val="18"/>
              </w:rPr>
              <w:t>30</w:t>
            </w:r>
          </w:p>
        </w:tc>
        <w:tc>
          <w:tcPr>
            <w:tcW w:type="dxa" w:w="1411"/>
            <w:vAlign w:val="center"/>
            <w:tcMar>
              <w:top w:w="48" w:type="dxa"/>
              <w:bottom w:w="48" w:type="dxa"/>
              <w:left w:w="75" w:type="dxa"/>
              <w:right w:w="75" w:type="dxa"/>
            </w:tcMar>
            <w:shd w:fill="FFFFFF"/>
          </w:tcPr>
          <w:p>
            <w:pPr>
              <w:spacing w:after="0" w:line="240" w:lineRule="auto"/>
              <w:jc w:val="center"/>
            </w:pPr>
            <w:r>
              <w:rPr>
                <w:b w:val="0"/>
                <w:color w:val="000000"/>
                <w:sz w:val="18"/>
              </w:rPr>
              <w:t>4.97</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197.1</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201.4</w:t>
            </w:r>
          </w:p>
        </w:tc>
        <w:tc>
          <w:tcPr>
            <w:tcW w:type="dxa" w:w="1670"/>
            <w:vAlign w:val="center"/>
            <w:tcMar>
              <w:top w:w="48" w:type="dxa"/>
              <w:bottom w:w="48" w:type="dxa"/>
              <w:left w:w="75" w:type="dxa"/>
              <w:right w:w="75" w:type="dxa"/>
            </w:tcMar>
            <w:shd w:fill="FFFFFF"/>
          </w:tcPr>
          <w:p>
            <w:pPr>
              <w:spacing w:after="0" w:line="240" w:lineRule="auto"/>
              <w:jc w:val="center"/>
            </w:pPr>
            <w:r>
              <w:rPr>
                <w:b w:val="0"/>
                <w:color w:val="000000"/>
                <w:sz w:val="18"/>
              </w:rPr>
              <w:t>4.3</w:t>
            </w:r>
          </w:p>
        </w:tc>
        <w:tc>
          <w:tcPr>
            <w:tcW w:type="dxa" w:w="1627"/>
            <w:vAlign w:val="center"/>
            <w:tcMar>
              <w:top w:w="48" w:type="dxa"/>
              <w:bottom w:w="48" w:type="dxa"/>
              <w:left w:w="75" w:type="dxa"/>
              <w:right w:w="75" w:type="dxa"/>
            </w:tcMar>
            <w:shd w:fill="FFFFFF"/>
          </w:tcPr>
          <w:p>
            <w:pPr>
              <w:spacing w:after="0" w:line="240" w:lineRule="auto"/>
              <w:jc w:val="center"/>
            </w:pPr>
            <w:r>
              <w:rPr>
                <w:b w:val="0"/>
                <w:color w:val="000000"/>
                <w:sz w:val="18"/>
              </w:rPr>
              <w:t>+9.0%</w:t>
            </w:r>
          </w:p>
        </w:tc>
      </w:tr>
      <w:tr>
        <w:trPr>
          <w:cantSplit/>
        </w:trPr>
        <w:tc>
          <w:tcPr>
            <w:tcW w:type="dxa" w:w="1656"/>
            <w:vAlign w:val="center"/>
            <w:tcMar>
              <w:top w:w="48" w:type="dxa"/>
              <w:bottom w:w="48" w:type="dxa"/>
              <w:left w:w="75" w:type="dxa"/>
              <w:right w:w="75" w:type="dxa"/>
            </w:tcMar>
            <w:shd w:fill="F2F5F7"/>
          </w:tcPr>
          <w:p>
            <w:pPr>
              <w:spacing w:after="0" w:line="240" w:lineRule="auto"/>
              <w:jc w:val="left"/>
            </w:pPr>
            <w:r>
              <w:rPr>
                <w:b w:val="0"/>
                <w:color w:val="000000"/>
                <w:sz w:val="18"/>
              </w:rPr>
              <w:t>Array 1</w:t>
            </w:r>
          </w:p>
        </w:tc>
        <w:tc>
          <w:tcPr>
            <w:tcW w:type="dxa" w:w="806"/>
            <w:vAlign w:val="center"/>
            <w:tcMar>
              <w:top w:w="48" w:type="dxa"/>
              <w:bottom w:w="48" w:type="dxa"/>
              <w:left w:w="75" w:type="dxa"/>
              <w:right w:w="75" w:type="dxa"/>
            </w:tcMar>
            <w:shd w:fill="F2F5F7"/>
          </w:tcPr>
          <w:p>
            <w:pPr>
              <w:spacing w:after="0" w:line="240" w:lineRule="auto"/>
              <w:jc w:val="center"/>
            </w:pPr>
            <w:r>
              <w:rPr>
                <w:b w:val="0"/>
                <w:color w:val="000000"/>
                <w:sz w:val="18"/>
              </w:rPr>
              <w:t>10</w:t>
            </w:r>
          </w:p>
        </w:tc>
        <w:tc>
          <w:tcPr>
            <w:tcW w:type="dxa" w:w="1411"/>
            <w:vAlign w:val="center"/>
            <w:tcMar>
              <w:top w:w="48" w:type="dxa"/>
              <w:bottom w:w="48" w:type="dxa"/>
              <w:left w:w="75" w:type="dxa"/>
              <w:right w:w="75" w:type="dxa"/>
            </w:tcMar>
            <w:shd w:fill="F2F5F7"/>
          </w:tcPr>
          <w:p>
            <w:pPr>
              <w:spacing w:after="0" w:line="240" w:lineRule="auto"/>
              <w:jc w:val="center"/>
            </w:pPr>
            <w:r>
              <w:rPr>
                <w:b w:val="0"/>
                <w:color w:val="000000"/>
                <w:sz w:val="18"/>
              </w:rPr>
              <w:t>4.75</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208.0</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210.4</w:t>
            </w:r>
          </w:p>
        </w:tc>
        <w:tc>
          <w:tcPr>
            <w:tcW w:type="dxa" w:w="1670"/>
            <w:vAlign w:val="center"/>
            <w:tcMar>
              <w:top w:w="48" w:type="dxa"/>
              <w:bottom w:w="48" w:type="dxa"/>
              <w:left w:w="75" w:type="dxa"/>
              <w:right w:w="75" w:type="dxa"/>
            </w:tcMar>
            <w:shd w:fill="F2F5F7"/>
          </w:tcPr>
          <w:p>
            <w:pPr>
              <w:spacing w:after="0" w:line="240" w:lineRule="auto"/>
              <w:jc w:val="center"/>
            </w:pPr>
            <w:r>
              <w:rPr>
                <w:b w:val="0"/>
                <w:color w:val="000000"/>
                <w:sz w:val="18"/>
              </w:rPr>
              <w:t>2.4</w:t>
            </w:r>
          </w:p>
        </w:tc>
        <w:tc>
          <w:tcPr>
            <w:tcW w:type="dxa" w:w="1627"/>
            <w:vAlign w:val="center"/>
            <w:tcMar>
              <w:top w:w="48" w:type="dxa"/>
              <w:bottom w:w="48" w:type="dxa"/>
              <w:left w:w="75" w:type="dxa"/>
              <w:right w:w="75" w:type="dxa"/>
            </w:tcMar>
            <w:shd w:fill="F2F5F7"/>
          </w:tcPr>
          <w:p>
            <w:pPr>
              <w:spacing w:after="0" w:line="240" w:lineRule="auto"/>
              <w:jc w:val="center"/>
            </w:pPr>
            <w:r>
              <w:rPr>
                <w:b w:val="0"/>
                <w:color w:val="000000"/>
                <w:sz w:val="18"/>
              </w:rPr>
              <w:t>—</w:t>
            </w:r>
          </w:p>
        </w:tc>
      </w:tr>
      <w:tr>
        <w:trPr>
          <w:cantSplit/>
        </w:trPr>
        <w:tc>
          <w:tcPr>
            <w:tcW w:type="dxa" w:w="1656"/>
            <w:vAlign w:val="center"/>
            <w:tcMar>
              <w:top w:w="48" w:type="dxa"/>
              <w:bottom w:w="48" w:type="dxa"/>
              <w:left w:w="75" w:type="dxa"/>
              <w:right w:w="75" w:type="dxa"/>
            </w:tcMar>
            <w:shd w:fill="FFFFFF"/>
          </w:tcPr>
          <w:p>
            <w:pPr>
              <w:spacing w:after="0" w:line="240" w:lineRule="auto"/>
              <w:jc w:val="left"/>
            </w:pPr>
            <w:r>
              <w:rPr>
                <w:b w:val="0"/>
                <w:color w:val="000000"/>
                <w:sz w:val="18"/>
              </w:rPr>
              <w:t>Array 1</w:t>
            </w:r>
          </w:p>
        </w:tc>
        <w:tc>
          <w:tcPr>
            <w:tcW w:type="dxa" w:w="806"/>
            <w:vAlign w:val="center"/>
            <w:tcMar>
              <w:top w:w="48" w:type="dxa"/>
              <w:bottom w:w="48" w:type="dxa"/>
              <w:left w:w="75" w:type="dxa"/>
              <w:right w:w="75" w:type="dxa"/>
            </w:tcMar>
            <w:shd w:fill="FFFFFF"/>
          </w:tcPr>
          <w:p>
            <w:pPr>
              <w:spacing w:after="0" w:line="240" w:lineRule="auto"/>
              <w:jc w:val="center"/>
            </w:pPr>
            <w:r>
              <w:rPr>
                <w:b w:val="0"/>
                <w:color w:val="000000"/>
                <w:sz w:val="18"/>
              </w:rPr>
              <w:t>20</w:t>
            </w:r>
          </w:p>
        </w:tc>
        <w:tc>
          <w:tcPr>
            <w:tcW w:type="dxa" w:w="1411"/>
            <w:vAlign w:val="center"/>
            <w:tcMar>
              <w:top w:w="48" w:type="dxa"/>
              <w:bottom w:w="48" w:type="dxa"/>
              <w:left w:w="75" w:type="dxa"/>
              <w:right w:w="75" w:type="dxa"/>
            </w:tcMar>
            <w:shd w:fill="FFFFFF"/>
          </w:tcPr>
          <w:p>
            <w:pPr>
              <w:spacing w:after="0" w:line="240" w:lineRule="auto"/>
              <w:jc w:val="center"/>
            </w:pPr>
            <w:r>
              <w:rPr>
                <w:b w:val="0"/>
                <w:color w:val="000000"/>
                <w:sz w:val="18"/>
              </w:rPr>
              <w:t>6.76</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145.1</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148.0</w:t>
            </w:r>
          </w:p>
        </w:tc>
        <w:tc>
          <w:tcPr>
            <w:tcW w:type="dxa" w:w="1670"/>
            <w:vAlign w:val="center"/>
            <w:tcMar>
              <w:top w:w="48" w:type="dxa"/>
              <w:bottom w:w="48" w:type="dxa"/>
              <w:left w:w="75" w:type="dxa"/>
              <w:right w:w="75" w:type="dxa"/>
            </w:tcMar>
            <w:shd w:fill="FFFFFF"/>
          </w:tcPr>
          <w:p>
            <w:pPr>
              <w:spacing w:after="0" w:line="240" w:lineRule="auto"/>
              <w:jc w:val="center"/>
            </w:pPr>
            <w:r>
              <w:rPr>
                <w:b w:val="0"/>
                <w:color w:val="000000"/>
                <w:sz w:val="18"/>
              </w:rPr>
              <w:t>2.9</w:t>
            </w:r>
          </w:p>
        </w:tc>
        <w:tc>
          <w:tcPr>
            <w:tcW w:type="dxa" w:w="1627"/>
            <w:vAlign w:val="center"/>
            <w:tcMar>
              <w:top w:w="48" w:type="dxa"/>
              <w:bottom w:w="48" w:type="dxa"/>
              <w:left w:w="75" w:type="dxa"/>
              <w:right w:w="75" w:type="dxa"/>
            </w:tcMar>
            <w:shd w:fill="FFFFFF"/>
          </w:tcPr>
          <w:p>
            <w:pPr>
              <w:spacing w:after="0" w:line="240" w:lineRule="auto"/>
              <w:jc w:val="center"/>
            </w:pPr>
            <w:r>
              <w:rPr>
                <w:b w:val="0"/>
                <w:color w:val="000000"/>
                <w:sz w:val="18"/>
              </w:rPr>
              <w:t>+42.1%</w:t>
            </w:r>
          </w:p>
        </w:tc>
      </w:tr>
      <w:tr>
        <w:trPr>
          <w:cantSplit/>
        </w:trPr>
        <w:tc>
          <w:tcPr>
            <w:tcW w:type="dxa" w:w="1656"/>
            <w:vAlign w:val="center"/>
            <w:tcMar>
              <w:top w:w="48" w:type="dxa"/>
              <w:bottom w:w="48" w:type="dxa"/>
              <w:left w:w="75" w:type="dxa"/>
              <w:right w:w="75" w:type="dxa"/>
            </w:tcMar>
            <w:shd w:fill="F2F5F7"/>
          </w:tcPr>
          <w:p>
            <w:pPr>
              <w:spacing w:after="0" w:line="240" w:lineRule="auto"/>
              <w:jc w:val="left"/>
            </w:pPr>
            <w:r>
              <w:rPr>
                <w:b w:val="0"/>
                <w:color w:val="000000"/>
                <w:sz w:val="18"/>
              </w:rPr>
              <w:t>Array 1</w:t>
            </w:r>
          </w:p>
        </w:tc>
        <w:tc>
          <w:tcPr>
            <w:tcW w:type="dxa" w:w="806"/>
            <w:vAlign w:val="center"/>
            <w:tcMar>
              <w:top w:w="48" w:type="dxa"/>
              <w:bottom w:w="48" w:type="dxa"/>
              <w:left w:w="75" w:type="dxa"/>
              <w:right w:w="75" w:type="dxa"/>
            </w:tcMar>
            <w:shd w:fill="F2F5F7"/>
          </w:tcPr>
          <w:p>
            <w:pPr>
              <w:spacing w:after="0" w:line="240" w:lineRule="auto"/>
              <w:jc w:val="center"/>
            </w:pPr>
            <w:r>
              <w:rPr>
                <w:b w:val="0"/>
                <w:color w:val="000000"/>
                <w:sz w:val="18"/>
              </w:rPr>
              <w:t>30</w:t>
            </w:r>
          </w:p>
        </w:tc>
        <w:tc>
          <w:tcPr>
            <w:tcW w:type="dxa" w:w="1411"/>
            <w:vAlign w:val="center"/>
            <w:tcMar>
              <w:top w:w="48" w:type="dxa"/>
              <w:bottom w:w="48" w:type="dxa"/>
              <w:left w:w="75" w:type="dxa"/>
              <w:right w:w="75" w:type="dxa"/>
            </w:tcMar>
            <w:shd w:fill="F2F5F7"/>
          </w:tcPr>
          <w:p>
            <w:pPr>
              <w:spacing w:after="0" w:line="240" w:lineRule="auto"/>
              <w:jc w:val="center"/>
            </w:pPr>
            <w:r>
              <w:rPr>
                <w:b w:val="0"/>
                <w:color w:val="000000"/>
                <w:sz w:val="18"/>
              </w:rPr>
              <w:t>7.68</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127.4</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130.3</w:t>
            </w:r>
          </w:p>
        </w:tc>
        <w:tc>
          <w:tcPr>
            <w:tcW w:type="dxa" w:w="1670"/>
            <w:vAlign w:val="center"/>
            <w:tcMar>
              <w:top w:w="48" w:type="dxa"/>
              <w:bottom w:w="48" w:type="dxa"/>
              <w:left w:w="75" w:type="dxa"/>
              <w:right w:w="75" w:type="dxa"/>
            </w:tcMar>
            <w:shd w:fill="F2F5F7"/>
          </w:tcPr>
          <w:p>
            <w:pPr>
              <w:spacing w:after="0" w:line="240" w:lineRule="auto"/>
              <w:jc w:val="center"/>
            </w:pPr>
            <w:r>
              <w:rPr>
                <w:b w:val="0"/>
                <w:color w:val="000000"/>
                <w:sz w:val="18"/>
              </w:rPr>
              <w:t>2.9</w:t>
            </w:r>
          </w:p>
        </w:tc>
        <w:tc>
          <w:tcPr>
            <w:tcW w:type="dxa" w:w="1627"/>
            <w:vAlign w:val="center"/>
            <w:tcMar>
              <w:top w:w="48" w:type="dxa"/>
              <w:bottom w:w="48" w:type="dxa"/>
              <w:left w:w="75" w:type="dxa"/>
              <w:right w:w="75" w:type="dxa"/>
            </w:tcMar>
            <w:shd w:fill="F2F5F7"/>
          </w:tcPr>
          <w:p>
            <w:pPr>
              <w:spacing w:after="0" w:line="240" w:lineRule="auto"/>
              <w:jc w:val="center"/>
            </w:pPr>
            <w:r>
              <w:rPr>
                <w:b w:val="0"/>
                <w:color w:val="000000"/>
                <w:sz w:val="18"/>
              </w:rPr>
              <w:t>+13.6%</w:t>
            </w:r>
          </w:p>
        </w:tc>
      </w:tr>
      <w:tr>
        <w:trPr>
          <w:cantSplit/>
        </w:trPr>
        <w:tc>
          <w:tcPr>
            <w:tcW w:type="dxa" w:w="1656"/>
            <w:vAlign w:val="center"/>
            <w:tcMar>
              <w:top w:w="48" w:type="dxa"/>
              <w:bottom w:w="48" w:type="dxa"/>
              <w:left w:w="75" w:type="dxa"/>
              <w:right w:w="75" w:type="dxa"/>
            </w:tcMar>
            <w:shd w:fill="FFFFFF"/>
          </w:tcPr>
          <w:p>
            <w:pPr>
              <w:spacing w:after="0" w:line="240" w:lineRule="auto"/>
              <w:jc w:val="left"/>
            </w:pPr>
            <w:r>
              <w:rPr>
                <w:b w:val="0"/>
                <w:color w:val="000000"/>
                <w:sz w:val="18"/>
              </w:rPr>
              <w:t>Array 2</w:t>
            </w:r>
          </w:p>
        </w:tc>
        <w:tc>
          <w:tcPr>
            <w:tcW w:type="dxa" w:w="806"/>
            <w:vAlign w:val="center"/>
            <w:tcMar>
              <w:top w:w="48" w:type="dxa"/>
              <w:bottom w:w="48" w:type="dxa"/>
              <w:left w:w="75" w:type="dxa"/>
              <w:right w:w="75" w:type="dxa"/>
            </w:tcMar>
            <w:shd w:fill="FFFFFF"/>
          </w:tcPr>
          <w:p>
            <w:pPr>
              <w:spacing w:after="0" w:line="240" w:lineRule="auto"/>
              <w:jc w:val="center"/>
            </w:pPr>
            <w:r>
              <w:rPr>
                <w:b w:val="0"/>
                <w:color w:val="000000"/>
                <w:sz w:val="18"/>
              </w:rPr>
              <w:t>10</w:t>
            </w:r>
          </w:p>
        </w:tc>
        <w:tc>
          <w:tcPr>
            <w:tcW w:type="dxa" w:w="1411"/>
            <w:vAlign w:val="center"/>
            <w:tcMar>
              <w:top w:w="48" w:type="dxa"/>
              <w:bottom w:w="48" w:type="dxa"/>
              <w:left w:w="75" w:type="dxa"/>
              <w:right w:w="75" w:type="dxa"/>
            </w:tcMar>
            <w:shd w:fill="FFFFFF"/>
          </w:tcPr>
          <w:p>
            <w:pPr>
              <w:spacing w:after="0" w:line="240" w:lineRule="auto"/>
              <w:jc w:val="center"/>
            </w:pPr>
            <w:r>
              <w:rPr>
                <w:b w:val="0"/>
                <w:color w:val="000000"/>
                <w:sz w:val="18"/>
              </w:rPr>
              <w:t>4.59</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214.4</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217.8</w:t>
            </w:r>
          </w:p>
        </w:tc>
        <w:tc>
          <w:tcPr>
            <w:tcW w:type="dxa" w:w="1670"/>
            <w:vAlign w:val="center"/>
            <w:tcMar>
              <w:top w:w="48" w:type="dxa"/>
              <w:bottom w:w="48" w:type="dxa"/>
              <w:left w:w="75" w:type="dxa"/>
              <w:right w:w="75" w:type="dxa"/>
            </w:tcMar>
            <w:shd w:fill="FFFFFF"/>
          </w:tcPr>
          <w:p>
            <w:pPr>
              <w:spacing w:after="0" w:line="240" w:lineRule="auto"/>
              <w:jc w:val="center"/>
            </w:pPr>
            <w:r>
              <w:rPr>
                <w:b w:val="0"/>
                <w:color w:val="000000"/>
                <w:sz w:val="18"/>
              </w:rPr>
              <w:t>3.3</w:t>
            </w:r>
          </w:p>
        </w:tc>
        <w:tc>
          <w:tcPr>
            <w:tcW w:type="dxa" w:w="1627"/>
            <w:vAlign w:val="center"/>
            <w:tcMar>
              <w:top w:w="48" w:type="dxa"/>
              <w:bottom w:w="48" w:type="dxa"/>
              <w:left w:w="75" w:type="dxa"/>
              <w:right w:w="75" w:type="dxa"/>
            </w:tcMar>
            <w:shd w:fill="FFFFFF"/>
          </w:tcPr>
          <w:p>
            <w:pPr>
              <w:spacing w:after="0" w:line="240" w:lineRule="auto"/>
              <w:jc w:val="center"/>
            </w:pPr>
            <w:r>
              <w:rPr>
                <w:b w:val="0"/>
                <w:color w:val="000000"/>
                <w:sz w:val="18"/>
              </w:rPr>
              <w:t>—</w:t>
            </w:r>
          </w:p>
        </w:tc>
      </w:tr>
      <w:tr>
        <w:trPr>
          <w:cantSplit/>
        </w:trPr>
        <w:tc>
          <w:tcPr>
            <w:tcW w:type="dxa" w:w="1656"/>
            <w:vAlign w:val="center"/>
            <w:tcMar>
              <w:top w:w="48" w:type="dxa"/>
              <w:bottom w:w="48" w:type="dxa"/>
              <w:left w:w="75" w:type="dxa"/>
              <w:right w:w="75" w:type="dxa"/>
            </w:tcMar>
            <w:shd w:fill="F2F5F7"/>
          </w:tcPr>
          <w:p>
            <w:pPr>
              <w:spacing w:after="0" w:line="240" w:lineRule="auto"/>
              <w:jc w:val="left"/>
            </w:pPr>
            <w:r>
              <w:rPr>
                <w:b w:val="0"/>
                <w:color w:val="000000"/>
                <w:sz w:val="18"/>
              </w:rPr>
              <w:t>Array 2</w:t>
            </w:r>
          </w:p>
        </w:tc>
        <w:tc>
          <w:tcPr>
            <w:tcW w:type="dxa" w:w="806"/>
            <w:vAlign w:val="center"/>
            <w:tcMar>
              <w:top w:w="48" w:type="dxa"/>
              <w:bottom w:w="48" w:type="dxa"/>
              <w:left w:w="75" w:type="dxa"/>
              <w:right w:w="75" w:type="dxa"/>
            </w:tcMar>
            <w:shd w:fill="F2F5F7"/>
          </w:tcPr>
          <w:p>
            <w:pPr>
              <w:spacing w:after="0" w:line="240" w:lineRule="auto"/>
              <w:jc w:val="center"/>
            </w:pPr>
            <w:r>
              <w:rPr>
                <w:b w:val="0"/>
                <w:color w:val="000000"/>
                <w:sz w:val="18"/>
              </w:rPr>
              <w:t>20</w:t>
            </w:r>
          </w:p>
        </w:tc>
        <w:tc>
          <w:tcPr>
            <w:tcW w:type="dxa" w:w="1411"/>
            <w:vAlign w:val="center"/>
            <w:tcMar>
              <w:top w:w="48" w:type="dxa"/>
              <w:bottom w:w="48" w:type="dxa"/>
              <w:left w:w="75" w:type="dxa"/>
              <w:right w:w="75" w:type="dxa"/>
            </w:tcMar>
            <w:shd w:fill="F2F5F7"/>
          </w:tcPr>
          <w:p>
            <w:pPr>
              <w:spacing w:after="0" w:line="240" w:lineRule="auto"/>
              <w:jc w:val="center"/>
            </w:pPr>
            <w:r>
              <w:rPr>
                <w:b w:val="0"/>
                <w:color w:val="000000"/>
                <w:sz w:val="18"/>
              </w:rPr>
              <w:t>6.53</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150.9</w:t>
            </w:r>
          </w:p>
        </w:tc>
        <w:tc>
          <w:tcPr>
            <w:tcW w:type="dxa" w:w="1454"/>
            <w:vAlign w:val="center"/>
            <w:tcMar>
              <w:top w:w="48" w:type="dxa"/>
              <w:bottom w:w="48" w:type="dxa"/>
              <w:left w:w="75" w:type="dxa"/>
              <w:right w:w="75" w:type="dxa"/>
            </w:tcMar>
            <w:shd w:fill="F2F5F7"/>
          </w:tcPr>
          <w:p>
            <w:pPr>
              <w:spacing w:after="0" w:line="240" w:lineRule="auto"/>
              <w:jc w:val="center"/>
            </w:pPr>
            <w:r>
              <w:rPr>
                <w:b w:val="0"/>
                <w:color w:val="000000"/>
                <w:sz w:val="18"/>
              </w:rPr>
              <w:t>153.1</w:t>
            </w:r>
          </w:p>
        </w:tc>
        <w:tc>
          <w:tcPr>
            <w:tcW w:type="dxa" w:w="1670"/>
            <w:vAlign w:val="center"/>
            <w:tcMar>
              <w:top w:w="48" w:type="dxa"/>
              <w:bottom w:w="48" w:type="dxa"/>
              <w:left w:w="75" w:type="dxa"/>
              <w:right w:w="75" w:type="dxa"/>
            </w:tcMar>
            <w:shd w:fill="F2F5F7"/>
          </w:tcPr>
          <w:p>
            <w:pPr>
              <w:spacing w:after="0" w:line="240" w:lineRule="auto"/>
              <w:jc w:val="center"/>
            </w:pPr>
            <w:r>
              <w:rPr>
                <w:b w:val="0"/>
                <w:color w:val="000000"/>
                <w:sz w:val="18"/>
              </w:rPr>
              <w:t>2.2</w:t>
            </w:r>
          </w:p>
        </w:tc>
        <w:tc>
          <w:tcPr>
            <w:tcW w:type="dxa" w:w="1627"/>
            <w:vAlign w:val="center"/>
            <w:tcMar>
              <w:top w:w="48" w:type="dxa"/>
              <w:bottom w:w="48" w:type="dxa"/>
              <w:left w:w="75" w:type="dxa"/>
              <w:right w:w="75" w:type="dxa"/>
            </w:tcMar>
            <w:shd w:fill="F2F5F7"/>
          </w:tcPr>
          <w:p>
            <w:pPr>
              <w:spacing w:after="0" w:line="240" w:lineRule="auto"/>
              <w:jc w:val="center"/>
            </w:pPr>
            <w:r>
              <w:rPr>
                <w:b w:val="0"/>
                <w:color w:val="000000"/>
                <w:sz w:val="18"/>
              </w:rPr>
              <w:t>+42.2%</w:t>
            </w:r>
          </w:p>
        </w:tc>
      </w:tr>
      <w:tr>
        <w:trPr>
          <w:cantSplit/>
        </w:trPr>
        <w:tc>
          <w:tcPr>
            <w:tcW w:type="dxa" w:w="1656"/>
            <w:vAlign w:val="center"/>
            <w:tcMar>
              <w:top w:w="48" w:type="dxa"/>
              <w:bottom w:w="48" w:type="dxa"/>
              <w:left w:w="75" w:type="dxa"/>
              <w:right w:w="75" w:type="dxa"/>
            </w:tcMar>
            <w:shd w:fill="FFFFFF"/>
          </w:tcPr>
          <w:p>
            <w:pPr>
              <w:spacing w:after="0" w:line="240" w:lineRule="auto"/>
              <w:jc w:val="left"/>
            </w:pPr>
            <w:r>
              <w:rPr>
                <w:b w:val="0"/>
                <w:color w:val="000000"/>
                <w:sz w:val="18"/>
              </w:rPr>
              <w:t>Array 2</w:t>
            </w:r>
          </w:p>
        </w:tc>
        <w:tc>
          <w:tcPr>
            <w:tcW w:type="dxa" w:w="806"/>
            <w:vAlign w:val="center"/>
            <w:tcMar>
              <w:top w:w="48" w:type="dxa"/>
              <w:bottom w:w="48" w:type="dxa"/>
              <w:left w:w="75" w:type="dxa"/>
              <w:right w:w="75" w:type="dxa"/>
            </w:tcMar>
            <w:shd w:fill="FFFFFF"/>
          </w:tcPr>
          <w:p>
            <w:pPr>
              <w:spacing w:after="0" w:line="240" w:lineRule="auto"/>
              <w:jc w:val="center"/>
            </w:pPr>
            <w:r>
              <w:rPr>
                <w:b w:val="0"/>
                <w:color w:val="000000"/>
                <w:sz w:val="18"/>
              </w:rPr>
              <w:t>30</w:t>
            </w:r>
          </w:p>
        </w:tc>
        <w:tc>
          <w:tcPr>
            <w:tcW w:type="dxa" w:w="1411"/>
            <w:vAlign w:val="center"/>
            <w:tcMar>
              <w:top w:w="48" w:type="dxa"/>
              <w:bottom w:w="48" w:type="dxa"/>
              <w:left w:w="75" w:type="dxa"/>
              <w:right w:w="75" w:type="dxa"/>
            </w:tcMar>
            <w:shd w:fill="FFFFFF"/>
          </w:tcPr>
          <w:p>
            <w:pPr>
              <w:spacing w:after="0" w:line="240" w:lineRule="auto"/>
              <w:jc w:val="center"/>
            </w:pPr>
            <w:r>
              <w:rPr>
                <w:b w:val="0"/>
                <w:color w:val="000000"/>
                <w:sz w:val="18"/>
              </w:rPr>
              <w:t>7.85</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124.5</w:t>
            </w:r>
          </w:p>
        </w:tc>
        <w:tc>
          <w:tcPr>
            <w:tcW w:type="dxa" w:w="1454"/>
            <w:vAlign w:val="center"/>
            <w:tcMar>
              <w:top w:w="48" w:type="dxa"/>
              <w:bottom w:w="48" w:type="dxa"/>
              <w:left w:w="75" w:type="dxa"/>
              <w:right w:w="75" w:type="dxa"/>
            </w:tcMar>
            <w:shd w:fill="FFFFFF"/>
          </w:tcPr>
          <w:p>
            <w:pPr>
              <w:spacing w:after="0" w:line="240" w:lineRule="auto"/>
              <w:jc w:val="center"/>
            </w:pPr>
            <w:r>
              <w:rPr>
                <w:b w:val="0"/>
                <w:color w:val="000000"/>
                <w:sz w:val="18"/>
              </w:rPr>
              <w:t>127.4</w:t>
            </w:r>
          </w:p>
        </w:tc>
        <w:tc>
          <w:tcPr>
            <w:tcW w:type="dxa" w:w="1670"/>
            <w:vAlign w:val="center"/>
            <w:tcMar>
              <w:top w:w="48" w:type="dxa"/>
              <w:bottom w:w="48" w:type="dxa"/>
              <w:left w:w="75" w:type="dxa"/>
              <w:right w:w="75" w:type="dxa"/>
            </w:tcMar>
            <w:shd w:fill="FFFFFF"/>
          </w:tcPr>
          <w:p>
            <w:pPr>
              <w:spacing w:after="0" w:line="240" w:lineRule="auto"/>
              <w:jc w:val="center"/>
            </w:pPr>
            <w:r>
              <w:rPr>
                <w:b w:val="0"/>
                <w:color w:val="000000"/>
                <w:sz w:val="18"/>
              </w:rPr>
              <w:t>2.9</w:t>
            </w:r>
          </w:p>
        </w:tc>
        <w:tc>
          <w:tcPr>
            <w:tcW w:type="dxa" w:w="1627"/>
            <w:vAlign w:val="center"/>
            <w:tcMar>
              <w:top w:w="48" w:type="dxa"/>
              <w:bottom w:w="48" w:type="dxa"/>
              <w:left w:w="75" w:type="dxa"/>
              <w:right w:w="75" w:type="dxa"/>
            </w:tcMar>
            <w:shd w:fill="FFFFFF"/>
          </w:tcPr>
          <w:p>
            <w:pPr>
              <w:spacing w:after="0" w:line="240" w:lineRule="auto"/>
              <w:jc w:val="center"/>
            </w:pPr>
            <w:r>
              <w:rPr>
                <w:b w:val="0"/>
                <w:color w:val="000000"/>
                <w:sz w:val="18"/>
              </w:rPr>
              <w:t>+20.2%</w:t>
            </w:r>
          </w:p>
        </w:tc>
      </w:tr>
    </w:tbl>
    <w:p>
      <w:pPr>
        <w:spacing w:after="0"/>
      </w:pPr>
    </w:p>
    <w:p>
      <w:pPr>
        <w:pStyle w:val="Heading2"/>
      </w:pPr>
      <w:r>
        <w:t>Matched Vmid cost and lower clock check</w:t>
      </w:r>
    </w:p>
    <w:p>
      <w:r>
        <w:rPr>
          <w:b w:val="0"/>
          <w:sz w:val="18"/>
        </w:rPr>
        <w:t>With attached sensors at 10 MHz blocking, Vmid off gives 7.35 kHz per channel (134.1 µs sweep, 136.0 µs total, 2.0 µs overhead). Vmid on gives 2.89 kHz (345.0 / 346.0 / 1.0 µs): a 61% rate reduction.</w:t>
      </w:r>
    </w:p>
    <w:p>
      <w:r>
        <w:rPr>
          <w:b w:val="0"/>
          <w:sz w:val="18"/>
        </w:rPr>
        <w:t>Vmid-on inserts two discarded channel 15 conversions between sensor channels; reference values are not added to the transmitted payload.</w:t>
      </w:r>
    </w:p>
    <w:p>
      <w:r>
        <w:rPr>
          <w:b w:val="0"/>
          <w:sz w:val="18"/>
        </w:rPr>
        <w:t>The separate 5 MHz blocking GUI run with both arrays and Vmid off achieved 4.36 kHz per channel (228.0 µs sweep, 229.5 µs total, 1.5 µs overhead). The 10 MHz blocking rate is about 69% higher; the different host capture contexts limit a clock-only attribution.</w:t>
      </w:r>
    </w:p>
    <w:p>
      <w:r>
        <w:rPr>
          <w:b/>
          <w:sz w:val="18"/>
        </w:rPr>
        <w:t>Use 20 MHz for production. The ADS7953 specifies a 20 MHz maximum SPI clock; 30 MHz is experimental. The 30 MHz captures passed digital checks, but showed small level shifts and higher both-array variation, so analog accuracy still needs validation. [1]</w:t>
      </w:r>
    </w:p>
    <w:p>
      <w:pPr>
        <w:pStyle w:val="Heading1"/>
        <w:pageBreakBefore/>
      </w:pPr>
      <w:r>
        <w:t>Noise and USB power</w:t>
      </w:r>
    </w:p>
    <w:p>
      <w:r>
        <w:rPr>
          <w:b w:val="0"/>
        </w:rPr>
        <w:t>Noise bursts occur together on both arrays and recur about every 1.32 s with the charger connected. They reproduce in standalone benchmarks across all three SPI engines and single-ADC tests. Removing the charger suppresses the regular burst pattern but leaves nearly continuous noise; reconnecting it restores the bursts.</w:t>
      </w:r>
    </w:p>
    <w:p>
      <w:pPr>
        <w:keepNext/>
        <w:spacing w:after="40"/>
      </w:pPr>
      <w:r>
        <w:drawing>
          <wp:inline xmlns:a="http://schemas.openxmlformats.org/drawingml/2006/main" xmlns:pic="http://schemas.openxmlformats.org/drawingml/2006/picture">
            <wp:extent cx="6400800" cy="3072384"/>
            <wp:docPr id="2" name="Picture 2"/>
            <wp:cNvGraphicFramePr>
              <a:graphicFrameLocks noChangeAspect="1"/>
            </wp:cNvGraphicFramePr>
            <a:graphic>
              <a:graphicData uri="http://schemas.openxmlformats.org/drawingml/2006/picture">
                <pic:pic>
                  <pic:nvPicPr>
                    <pic:cNvPr id="0" name="noise_bursts.png"/>
                    <pic:cNvPicPr/>
                  </pic:nvPicPr>
                  <pic:blipFill>
                    <a:blip r:embed="rId12"/>
                    <a:stretch>
                      <a:fillRect/>
                    </a:stretch>
                  </pic:blipFill>
                  <pic:spPr>
                    <a:xfrm>
                      <a:off x="0" y="0"/>
                      <a:ext cx="6400800" cy="3072384"/>
                    </a:xfrm>
                    <a:prstGeom prst="rect"/>
                  </pic:spPr>
                </pic:pic>
              </a:graphicData>
            </a:graphic>
          </wp:inline>
        </w:drawing>
      </w:r>
    </w:p>
    <w:p>
      <w:pPr>
        <w:pStyle w:val="Caption"/>
      </w:pPr>
      <w:r>
        <w:t>Figure 2  Measured ADC input-equivalent AC variation with strips unplugged. Same 10 MHz blocking configuration in three separate 12 s measurement windows; no filtering or interpolation. Each trace is the median of 25 channel standard deviations in 20 ms windows.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38"/>
        <w:gridCol w:w="1498"/>
        <w:gridCol w:w="1498"/>
        <w:gridCol w:w="2074"/>
        <w:gridCol w:w="2074"/>
      </w:tblGrid>
      <w:tr>
        <w:trPr>
          <w:cantSplit/>
          <w:tblHeader/>
        </w:trPr>
        <w:tc>
          <w:tcPr>
            <w:tcW w:type="dxa" w:w="2938"/>
            <w:vAlign w:val="center"/>
            <w:tcMar>
              <w:top w:w="48" w:type="dxa"/>
              <w:bottom w:w="48" w:type="dxa"/>
              <w:left w:w="75" w:type="dxa"/>
              <w:right w:w="75" w:type="dxa"/>
            </w:tcMar>
            <w:shd w:fill="244A63"/>
          </w:tcPr>
          <w:p>
            <w:pPr>
              <w:spacing w:after="0" w:line="240" w:lineRule="auto"/>
              <w:jc w:val="left"/>
            </w:pPr>
            <w:r>
              <w:rPr>
                <w:b/>
                <w:color w:val="FFFFFF"/>
                <w:sz w:val="18"/>
              </w:rPr>
              <w:t>Condition</w:t>
            </w:r>
          </w:p>
        </w:tc>
        <w:tc>
          <w:tcPr>
            <w:tcW w:type="dxa" w:w="1498"/>
            <w:vAlign w:val="center"/>
            <w:tcMar>
              <w:top w:w="48" w:type="dxa"/>
              <w:bottom w:w="48" w:type="dxa"/>
              <w:left w:w="75" w:type="dxa"/>
              <w:right w:w="75" w:type="dxa"/>
            </w:tcMar>
            <w:shd w:fill="244A63"/>
          </w:tcPr>
          <w:p>
            <w:pPr>
              <w:spacing w:after="0" w:line="240" w:lineRule="auto"/>
              <w:jc w:val="center"/>
            </w:pPr>
            <w:r>
              <w:rPr>
                <w:b/>
                <w:color w:val="FFFFFF"/>
                <w:sz w:val="18"/>
              </w:rPr>
              <w:t>A1 RMS</w:t>
              <w:br/>
              <w:t>mV</w:t>
            </w:r>
          </w:p>
        </w:tc>
        <w:tc>
          <w:tcPr>
            <w:tcW w:type="dxa" w:w="1498"/>
            <w:vAlign w:val="center"/>
            <w:tcMar>
              <w:top w:w="48" w:type="dxa"/>
              <w:bottom w:w="48" w:type="dxa"/>
              <w:left w:w="75" w:type="dxa"/>
              <w:right w:w="75" w:type="dxa"/>
            </w:tcMar>
            <w:shd w:fill="244A63"/>
          </w:tcPr>
          <w:p>
            <w:pPr>
              <w:spacing w:after="0" w:line="240" w:lineRule="auto"/>
              <w:jc w:val="center"/>
            </w:pPr>
            <w:r>
              <w:rPr>
                <w:b/>
                <w:color w:val="FFFFFF"/>
                <w:sz w:val="18"/>
              </w:rPr>
              <w:t>A2 RMS</w:t>
              <w:br/>
              <w:t>mV</w:t>
            </w:r>
          </w:p>
        </w:tc>
        <w:tc>
          <w:tcPr>
            <w:tcW w:type="dxa" w:w="2074"/>
            <w:vAlign w:val="center"/>
            <w:tcMar>
              <w:top w:w="48" w:type="dxa"/>
              <w:bottom w:w="48" w:type="dxa"/>
              <w:left w:w="75" w:type="dxa"/>
              <w:right w:w="75" w:type="dxa"/>
            </w:tcMar>
            <w:shd w:fill="244A63"/>
          </w:tcPr>
          <w:p>
            <w:pPr>
              <w:spacing w:after="0" w:line="240" w:lineRule="auto"/>
              <w:jc w:val="center"/>
            </w:pPr>
            <w:r>
              <w:rPr>
                <w:b/>
                <w:color w:val="FFFFFF"/>
                <w:sz w:val="18"/>
              </w:rPr>
              <w:t>A1 peak to peak</w:t>
              <w:br/>
              <w:t>mV</w:t>
            </w:r>
          </w:p>
        </w:tc>
        <w:tc>
          <w:tcPr>
            <w:tcW w:type="dxa" w:w="2074"/>
            <w:vAlign w:val="center"/>
            <w:tcMar>
              <w:top w:w="48" w:type="dxa"/>
              <w:bottom w:w="48" w:type="dxa"/>
              <w:left w:w="75" w:type="dxa"/>
              <w:right w:w="75" w:type="dxa"/>
            </w:tcMar>
            <w:shd w:fill="244A63"/>
          </w:tcPr>
          <w:p>
            <w:pPr>
              <w:spacing w:after="0" w:line="240" w:lineRule="auto"/>
              <w:jc w:val="center"/>
            </w:pPr>
            <w:r>
              <w:rPr>
                <w:b/>
                <w:color w:val="FFFFFF"/>
                <w:sz w:val="18"/>
              </w:rPr>
              <w:t>A2 peak to peak</w:t>
              <w:br/>
              <w:t>mV</w:t>
            </w:r>
          </w:p>
        </w:tc>
      </w:tr>
      <w:tr>
        <w:trPr>
          <w:cantSplit/>
        </w:trPr>
        <w:tc>
          <w:tcPr>
            <w:tcW w:type="dxa" w:w="2938"/>
            <w:vAlign w:val="center"/>
            <w:tcMar>
              <w:top w:w="48" w:type="dxa"/>
              <w:bottom w:w="48" w:type="dxa"/>
              <w:left w:w="75" w:type="dxa"/>
              <w:right w:w="75" w:type="dxa"/>
            </w:tcMar>
            <w:shd w:fill="FFFFFF"/>
          </w:tcPr>
          <w:p>
            <w:pPr>
              <w:spacing w:after="0" w:line="240" w:lineRule="auto"/>
              <w:jc w:val="left"/>
            </w:pPr>
            <w:r>
              <w:rPr>
                <w:b w:val="0"/>
                <w:color w:val="000000"/>
                <w:sz w:val="18"/>
              </w:rPr>
              <w:t>Charger quiet</w:t>
            </w:r>
          </w:p>
        </w:tc>
        <w:tc>
          <w:tcPr>
            <w:tcW w:type="dxa" w:w="1498"/>
            <w:vAlign w:val="center"/>
            <w:tcMar>
              <w:top w:w="48" w:type="dxa"/>
              <w:bottom w:w="48" w:type="dxa"/>
              <w:left w:w="75" w:type="dxa"/>
              <w:right w:w="75" w:type="dxa"/>
            </w:tcMar>
            <w:shd w:fill="FFFFFF"/>
          </w:tcPr>
          <w:p>
            <w:pPr>
              <w:spacing w:after="0" w:line="240" w:lineRule="auto"/>
              <w:jc w:val="center"/>
            </w:pPr>
            <w:r>
              <w:rPr>
                <w:b w:val="0"/>
                <w:color w:val="000000"/>
                <w:sz w:val="18"/>
              </w:rPr>
              <w:t>0.46</w:t>
            </w:r>
          </w:p>
        </w:tc>
        <w:tc>
          <w:tcPr>
            <w:tcW w:type="dxa" w:w="1498"/>
            <w:vAlign w:val="center"/>
            <w:tcMar>
              <w:top w:w="48" w:type="dxa"/>
              <w:bottom w:w="48" w:type="dxa"/>
              <w:left w:w="75" w:type="dxa"/>
              <w:right w:w="75" w:type="dxa"/>
            </w:tcMar>
            <w:shd w:fill="FFFFFF"/>
          </w:tcPr>
          <w:p>
            <w:pPr>
              <w:spacing w:after="0" w:line="240" w:lineRule="auto"/>
              <w:jc w:val="center"/>
            </w:pPr>
            <w:r>
              <w:rPr>
                <w:b w:val="0"/>
                <w:color w:val="000000"/>
                <w:sz w:val="18"/>
              </w:rPr>
              <w:t>0.39</w:t>
            </w:r>
          </w:p>
        </w:tc>
        <w:tc>
          <w:tcPr>
            <w:tcW w:type="dxa" w:w="2074"/>
            <w:vAlign w:val="center"/>
            <w:tcMar>
              <w:top w:w="48" w:type="dxa"/>
              <w:bottom w:w="48" w:type="dxa"/>
              <w:left w:w="75" w:type="dxa"/>
              <w:right w:w="75" w:type="dxa"/>
            </w:tcMar>
            <w:shd w:fill="FFFFFF"/>
          </w:tcPr>
          <w:p>
            <w:pPr>
              <w:spacing w:after="0" w:line="240" w:lineRule="auto"/>
              <w:jc w:val="center"/>
            </w:pPr>
            <w:r>
              <w:rPr>
                <w:b w:val="0"/>
                <w:color w:val="000000"/>
                <w:sz w:val="18"/>
              </w:rPr>
              <w:t>1.83</w:t>
            </w:r>
          </w:p>
        </w:tc>
        <w:tc>
          <w:tcPr>
            <w:tcW w:type="dxa" w:w="2074"/>
            <w:vAlign w:val="center"/>
            <w:tcMar>
              <w:top w:w="48" w:type="dxa"/>
              <w:bottom w:w="48" w:type="dxa"/>
              <w:left w:w="75" w:type="dxa"/>
              <w:right w:w="75" w:type="dxa"/>
            </w:tcMar>
            <w:shd w:fill="FFFFFF"/>
          </w:tcPr>
          <w:p>
            <w:pPr>
              <w:spacing w:after="0" w:line="240" w:lineRule="auto"/>
              <w:jc w:val="center"/>
            </w:pPr>
            <w:r>
              <w:rPr>
                <w:b w:val="0"/>
                <w:color w:val="000000"/>
                <w:sz w:val="18"/>
              </w:rPr>
              <w:t>1.83</w:t>
            </w:r>
          </w:p>
        </w:tc>
      </w:tr>
      <w:tr>
        <w:trPr>
          <w:cantSplit/>
        </w:trPr>
        <w:tc>
          <w:tcPr>
            <w:tcW w:type="dxa" w:w="2938"/>
            <w:vAlign w:val="center"/>
            <w:tcMar>
              <w:top w:w="48" w:type="dxa"/>
              <w:bottom w:w="48" w:type="dxa"/>
              <w:left w:w="75" w:type="dxa"/>
              <w:right w:w="75" w:type="dxa"/>
            </w:tcMar>
            <w:shd w:fill="F2F5F7"/>
          </w:tcPr>
          <w:p>
            <w:pPr>
              <w:spacing w:after="0" w:line="240" w:lineRule="auto"/>
              <w:jc w:val="left"/>
            </w:pPr>
            <w:r>
              <w:rPr>
                <w:b w:val="0"/>
                <w:color w:val="000000"/>
                <w:sz w:val="18"/>
              </w:rPr>
              <w:t>Charger typical</w:t>
            </w:r>
          </w:p>
        </w:tc>
        <w:tc>
          <w:tcPr>
            <w:tcW w:type="dxa" w:w="1498"/>
            <w:vAlign w:val="center"/>
            <w:tcMar>
              <w:top w:w="48" w:type="dxa"/>
              <w:bottom w:w="48" w:type="dxa"/>
              <w:left w:w="75" w:type="dxa"/>
              <w:right w:w="75" w:type="dxa"/>
            </w:tcMar>
            <w:shd w:fill="F2F5F7"/>
          </w:tcPr>
          <w:p>
            <w:pPr>
              <w:spacing w:after="0" w:line="240" w:lineRule="auto"/>
              <w:jc w:val="center"/>
            </w:pPr>
            <w:r>
              <w:rPr>
                <w:b w:val="0"/>
                <w:color w:val="000000"/>
                <w:sz w:val="18"/>
              </w:rPr>
              <w:t>0.63</w:t>
            </w:r>
          </w:p>
        </w:tc>
        <w:tc>
          <w:tcPr>
            <w:tcW w:type="dxa" w:w="1498"/>
            <w:vAlign w:val="center"/>
            <w:tcMar>
              <w:top w:w="48" w:type="dxa"/>
              <w:bottom w:w="48" w:type="dxa"/>
              <w:left w:w="75" w:type="dxa"/>
              <w:right w:w="75" w:type="dxa"/>
            </w:tcMar>
            <w:shd w:fill="F2F5F7"/>
          </w:tcPr>
          <w:p>
            <w:pPr>
              <w:spacing w:after="0" w:line="240" w:lineRule="auto"/>
              <w:jc w:val="center"/>
            </w:pPr>
            <w:r>
              <w:rPr>
                <w:b w:val="0"/>
                <w:color w:val="000000"/>
                <w:sz w:val="18"/>
              </w:rPr>
              <w:t>0.49</w:t>
            </w:r>
          </w:p>
        </w:tc>
        <w:tc>
          <w:tcPr>
            <w:tcW w:type="dxa" w:w="2074"/>
            <w:vAlign w:val="center"/>
            <w:tcMar>
              <w:top w:w="48" w:type="dxa"/>
              <w:bottom w:w="48" w:type="dxa"/>
              <w:left w:w="75" w:type="dxa"/>
              <w:right w:w="75" w:type="dxa"/>
            </w:tcMar>
            <w:shd w:fill="F2F5F7"/>
          </w:tcPr>
          <w:p>
            <w:pPr>
              <w:spacing w:after="0" w:line="240" w:lineRule="auto"/>
              <w:jc w:val="center"/>
            </w:pPr>
            <w:r>
              <w:rPr>
                <w:b w:val="0"/>
                <w:color w:val="000000"/>
                <w:sz w:val="18"/>
              </w:rPr>
              <w:t>3.05</w:t>
            </w:r>
          </w:p>
        </w:tc>
        <w:tc>
          <w:tcPr>
            <w:tcW w:type="dxa" w:w="2074"/>
            <w:vAlign w:val="center"/>
            <w:tcMar>
              <w:top w:w="48" w:type="dxa"/>
              <w:bottom w:w="48" w:type="dxa"/>
              <w:left w:w="75" w:type="dxa"/>
              <w:right w:w="75" w:type="dxa"/>
            </w:tcMar>
            <w:shd w:fill="F2F5F7"/>
          </w:tcPr>
          <w:p>
            <w:pPr>
              <w:spacing w:after="0" w:line="240" w:lineRule="auto"/>
              <w:jc w:val="center"/>
            </w:pPr>
            <w:r>
              <w:rPr>
                <w:b w:val="0"/>
                <w:color w:val="000000"/>
                <w:sz w:val="18"/>
              </w:rPr>
              <w:t>2.44</w:t>
            </w:r>
          </w:p>
        </w:tc>
      </w:tr>
      <w:tr>
        <w:trPr>
          <w:cantSplit/>
        </w:trPr>
        <w:tc>
          <w:tcPr>
            <w:tcW w:type="dxa" w:w="2938"/>
            <w:vAlign w:val="center"/>
            <w:tcMar>
              <w:top w:w="48" w:type="dxa"/>
              <w:bottom w:w="48" w:type="dxa"/>
              <w:left w:w="75" w:type="dxa"/>
              <w:right w:w="75" w:type="dxa"/>
            </w:tcMar>
            <w:shd w:fill="FFFFFF"/>
          </w:tcPr>
          <w:p>
            <w:pPr>
              <w:spacing w:after="0" w:line="240" w:lineRule="auto"/>
              <w:jc w:val="left"/>
            </w:pPr>
            <w:r>
              <w:rPr>
                <w:b w:val="0"/>
                <w:color w:val="000000"/>
                <w:sz w:val="18"/>
              </w:rPr>
              <w:t>Charger bursts</w:t>
            </w:r>
          </w:p>
        </w:tc>
        <w:tc>
          <w:tcPr>
            <w:tcW w:type="dxa" w:w="1498"/>
            <w:vAlign w:val="center"/>
            <w:tcMar>
              <w:top w:w="48" w:type="dxa"/>
              <w:bottom w:w="48" w:type="dxa"/>
              <w:left w:w="75" w:type="dxa"/>
              <w:right w:w="75" w:type="dxa"/>
            </w:tcMar>
            <w:shd w:fill="FFFFFF"/>
          </w:tcPr>
          <w:p>
            <w:pPr>
              <w:spacing w:after="0" w:line="240" w:lineRule="auto"/>
              <w:jc w:val="center"/>
            </w:pPr>
            <w:r>
              <w:rPr>
                <w:b w:val="0"/>
                <w:color w:val="000000"/>
                <w:sz w:val="18"/>
              </w:rPr>
              <w:t>1.24</w:t>
            </w:r>
          </w:p>
        </w:tc>
        <w:tc>
          <w:tcPr>
            <w:tcW w:type="dxa" w:w="1498"/>
            <w:vAlign w:val="center"/>
            <w:tcMar>
              <w:top w:w="48" w:type="dxa"/>
              <w:bottom w:w="48" w:type="dxa"/>
              <w:left w:w="75" w:type="dxa"/>
              <w:right w:w="75" w:type="dxa"/>
            </w:tcMar>
            <w:shd w:fill="FFFFFF"/>
          </w:tcPr>
          <w:p>
            <w:pPr>
              <w:spacing w:after="0" w:line="240" w:lineRule="auto"/>
              <w:jc w:val="center"/>
            </w:pPr>
            <w:r>
              <w:rPr>
                <w:b w:val="0"/>
                <w:color w:val="000000"/>
                <w:sz w:val="18"/>
              </w:rPr>
              <w:t>0.88</w:t>
            </w:r>
          </w:p>
        </w:tc>
        <w:tc>
          <w:tcPr>
            <w:tcW w:type="dxa" w:w="2074"/>
            <w:vAlign w:val="center"/>
            <w:tcMar>
              <w:top w:w="48" w:type="dxa"/>
              <w:bottom w:w="48" w:type="dxa"/>
              <w:left w:w="75" w:type="dxa"/>
              <w:right w:w="75" w:type="dxa"/>
            </w:tcMar>
            <w:shd w:fill="FFFFFF"/>
          </w:tcPr>
          <w:p>
            <w:pPr>
              <w:spacing w:after="0" w:line="240" w:lineRule="auto"/>
              <w:jc w:val="center"/>
            </w:pPr>
            <w:r>
              <w:rPr>
                <w:b w:val="0"/>
                <w:color w:val="000000"/>
                <w:sz w:val="18"/>
              </w:rPr>
              <w:t>4.27</w:t>
            </w:r>
          </w:p>
        </w:tc>
        <w:tc>
          <w:tcPr>
            <w:tcW w:type="dxa" w:w="2074"/>
            <w:vAlign w:val="center"/>
            <w:tcMar>
              <w:top w:w="48" w:type="dxa"/>
              <w:bottom w:w="48" w:type="dxa"/>
              <w:left w:w="75" w:type="dxa"/>
              <w:right w:w="75" w:type="dxa"/>
            </w:tcMar>
            <w:shd w:fill="FFFFFF"/>
          </w:tcPr>
          <w:p>
            <w:pPr>
              <w:spacing w:after="0" w:line="240" w:lineRule="auto"/>
              <w:jc w:val="center"/>
            </w:pPr>
            <w:r>
              <w:rPr>
                <w:b w:val="0"/>
                <w:color w:val="000000"/>
                <w:sz w:val="18"/>
              </w:rPr>
              <w:t>3.05</w:t>
            </w:r>
          </w:p>
        </w:tc>
      </w:tr>
      <w:tr>
        <w:trPr>
          <w:cantSplit/>
        </w:trPr>
        <w:tc>
          <w:tcPr>
            <w:tcW w:type="dxa" w:w="2938"/>
            <w:vAlign w:val="center"/>
            <w:tcMar>
              <w:top w:w="48" w:type="dxa"/>
              <w:bottom w:w="48" w:type="dxa"/>
              <w:left w:w="75" w:type="dxa"/>
              <w:right w:w="75" w:type="dxa"/>
            </w:tcMar>
            <w:shd w:fill="F2F5F7"/>
          </w:tcPr>
          <w:p>
            <w:pPr>
              <w:spacing w:after="0" w:line="240" w:lineRule="auto"/>
              <w:jc w:val="left"/>
            </w:pPr>
            <w:r>
              <w:rPr>
                <w:b w:val="0"/>
                <w:color w:val="000000"/>
                <w:sz w:val="18"/>
              </w:rPr>
              <w:t>Battery typical</w:t>
            </w:r>
          </w:p>
        </w:tc>
        <w:tc>
          <w:tcPr>
            <w:tcW w:type="dxa" w:w="1498"/>
            <w:vAlign w:val="center"/>
            <w:tcMar>
              <w:top w:w="48" w:type="dxa"/>
              <w:bottom w:w="48" w:type="dxa"/>
              <w:left w:w="75" w:type="dxa"/>
              <w:right w:w="75" w:type="dxa"/>
            </w:tcMar>
            <w:shd w:fill="F2F5F7"/>
          </w:tcPr>
          <w:p>
            <w:pPr>
              <w:spacing w:after="0" w:line="240" w:lineRule="auto"/>
              <w:jc w:val="center"/>
            </w:pPr>
            <w:r>
              <w:rPr>
                <w:b w:val="0"/>
                <w:color w:val="000000"/>
                <w:sz w:val="18"/>
              </w:rPr>
              <w:t>1.26</w:t>
            </w:r>
          </w:p>
        </w:tc>
        <w:tc>
          <w:tcPr>
            <w:tcW w:type="dxa" w:w="1498"/>
            <w:vAlign w:val="center"/>
            <w:tcMar>
              <w:top w:w="48" w:type="dxa"/>
              <w:bottom w:w="48" w:type="dxa"/>
              <w:left w:w="75" w:type="dxa"/>
              <w:right w:w="75" w:type="dxa"/>
            </w:tcMar>
            <w:shd w:fill="F2F5F7"/>
          </w:tcPr>
          <w:p>
            <w:pPr>
              <w:spacing w:after="0" w:line="240" w:lineRule="auto"/>
              <w:jc w:val="center"/>
            </w:pPr>
            <w:r>
              <w:rPr>
                <w:b w:val="0"/>
                <w:color w:val="000000"/>
                <w:sz w:val="18"/>
              </w:rPr>
              <w:t>0.83</w:t>
            </w:r>
          </w:p>
        </w:tc>
        <w:tc>
          <w:tcPr>
            <w:tcW w:type="dxa" w:w="2074"/>
            <w:vAlign w:val="center"/>
            <w:tcMar>
              <w:top w:w="48" w:type="dxa"/>
              <w:bottom w:w="48" w:type="dxa"/>
              <w:left w:w="75" w:type="dxa"/>
              <w:right w:w="75" w:type="dxa"/>
            </w:tcMar>
            <w:shd w:fill="F2F5F7"/>
          </w:tcPr>
          <w:p>
            <w:pPr>
              <w:spacing w:after="0" w:line="240" w:lineRule="auto"/>
              <w:jc w:val="center"/>
            </w:pPr>
            <w:r>
              <w:rPr>
                <w:b w:val="0"/>
                <w:color w:val="000000"/>
                <w:sz w:val="18"/>
              </w:rPr>
              <w:t>4.88</w:t>
            </w:r>
          </w:p>
        </w:tc>
        <w:tc>
          <w:tcPr>
            <w:tcW w:type="dxa" w:w="2074"/>
            <w:vAlign w:val="center"/>
            <w:tcMar>
              <w:top w:w="48" w:type="dxa"/>
              <w:bottom w:w="48" w:type="dxa"/>
              <w:left w:w="75" w:type="dxa"/>
              <w:right w:w="75" w:type="dxa"/>
            </w:tcMar>
            <w:shd w:fill="F2F5F7"/>
          </w:tcPr>
          <w:p>
            <w:pPr>
              <w:spacing w:after="0" w:line="240" w:lineRule="auto"/>
              <w:jc w:val="center"/>
            </w:pPr>
            <w:r>
              <w:rPr>
                <w:b w:val="0"/>
                <w:color w:val="000000"/>
                <w:sz w:val="18"/>
              </w:rPr>
              <w:t>3.05</w:t>
            </w:r>
          </w:p>
        </w:tc>
      </w:tr>
      <w:tr>
        <w:trPr>
          <w:cantSplit/>
        </w:trPr>
        <w:tc>
          <w:tcPr>
            <w:tcW w:type="dxa" w:w="2938"/>
            <w:vAlign w:val="center"/>
            <w:tcMar>
              <w:top w:w="48" w:type="dxa"/>
              <w:bottom w:w="48" w:type="dxa"/>
              <w:left w:w="75" w:type="dxa"/>
              <w:right w:w="75" w:type="dxa"/>
            </w:tcMar>
            <w:shd w:fill="FFFFFF"/>
          </w:tcPr>
          <w:p>
            <w:pPr>
              <w:spacing w:after="0" w:line="240" w:lineRule="auto"/>
              <w:jc w:val="left"/>
            </w:pPr>
            <w:r>
              <w:rPr>
                <w:b w:val="0"/>
                <w:color w:val="000000"/>
                <w:sz w:val="18"/>
              </w:rPr>
              <w:t>Battery high</w:t>
            </w:r>
          </w:p>
        </w:tc>
        <w:tc>
          <w:tcPr>
            <w:tcW w:type="dxa" w:w="1498"/>
            <w:vAlign w:val="center"/>
            <w:tcMar>
              <w:top w:w="48" w:type="dxa"/>
              <w:bottom w:w="48" w:type="dxa"/>
              <w:left w:w="75" w:type="dxa"/>
              <w:right w:w="75" w:type="dxa"/>
            </w:tcMar>
            <w:shd w:fill="FFFFFF"/>
          </w:tcPr>
          <w:p>
            <w:pPr>
              <w:spacing w:after="0" w:line="240" w:lineRule="auto"/>
              <w:jc w:val="center"/>
            </w:pPr>
            <w:r>
              <w:rPr>
                <w:b w:val="0"/>
                <w:color w:val="000000"/>
                <w:sz w:val="18"/>
              </w:rPr>
              <w:t>1.36</w:t>
            </w:r>
          </w:p>
        </w:tc>
        <w:tc>
          <w:tcPr>
            <w:tcW w:type="dxa" w:w="1498"/>
            <w:vAlign w:val="center"/>
            <w:tcMar>
              <w:top w:w="48" w:type="dxa"/>
              <w:bottom w:w="48" w:type="dxa"/>
              <w:left w:w="75" w:type="dxa"/>
              <w:right w:w="75" w:type="dxa"/>
            </w:tcMar>
            <w:shd w:fill="FFFFFF"/>
          </w:tcPr>
          <w:p>
            <w:pPr>
              <w:spacing w:after="0" w:line="240" w:lineRule="auto"/>
              <w:jc w:val="center"/>
            </w:pPr>
            <w:r>
              <w:rPr>
                <w:b w:val="0"/>
                <w:color w:val="000000"/>
                <w:sz w:val="18"/>
              </w:rPr>
              <w:t>0.88</w:t>
            </w:r>
          </w:p>
        </w:tc>
        <w:tc>
          <w:tcPr>
            <w:tcW w:type="dxa" w:w="2074"/>
            <w:vAlign w:val="center"/>
            <w:tcMar>
              <w:top w:w="48" w:type="dxa"/>
              <w:bottom w:w="48" w:type="dxa"/>
              <w:left w:w="75" w:type="dxa"/>
              <w:right w:w="75" w:type="dxa"/>
            </w:tcMar>
            <w:shd w:fill="FFFFFF"/>
          </w:tcPr>
          <w:p>
            <w:pPr>
              <w:spacing w:after="0" w:line="240" w:lineRule="auto"/>
              <w:jc w:val="center"/>
            </w:pPr>
            <w:r>
              <w:rPr>
                <w:b w:val="0"/>
                <w:color w:val="000000"/>
                <w:sz w:val="18"/>
              </w:rPr>
              <w:t>4.88</w:t>
            </w:r>
          </w:p>
        </w:tc>
        <w:tc>
          <w:tcPr>
            <w:tcW w:type="dxa" w:w="2074"/>
            <w:vAlign w:val="center"/>
            <w:tcMar>
              <w:top w:w="48" w:type="dxa"/>
              <w:bottom w:w="48" w:type="dxa"/>
              <w:left w:w="75" w:type="dxa"/>
              <w:right w:w="75" w:type="dxa"/>
            </w:tcMar>
            <w:shd w:fill="FFFFFF"/>
          </w:tcPr>
          <w:p>
            <w:pPr>
              <w:spacing w:after="0" w:line="240" w:lineRule="auto"/>
              <w:jc w:val="center"/>
            </w:pPr>
            <w:r>
              <w:rPr>
                <w:b w:val="0"/>
                <w:color w:val="000000"/>
                <w:sz w:val="18"/>
              </w:rPr>
              <w:t>3.66</w:t>
            </w:r>
          </w:p>
        </w:tc>
      </w:tr>
      <w:tr>
        <w:trPr>
          <w:cantSplit/>
        </w:trPr>
        <w:tc>
          <w:tcPr>
            <w:tcW w:type="dxa" w:w="2938"/>
            <w:vAlign w:val="center"/>
            <w:tcMar>
              <w:top w:w="48" w:type="dxa"/>
              <w:bottom w:w="48" w:type="dxa"/>
              <w:left w:w="75" w:type="dxa"/>
              <w:right w:w="75" w:type="dxa"/>
            </w:tcMar>
            <w:shd w:fill="F2F5F7"/>
          </w:tcPr>
          <w:p>
            <w:pPr>
              <w:spacing w:after="0" w:line="240" w:lineRule="auto"/>
              <w:jc w:val="left"/>
            </w:pPr>
            <w:r>
              <w:rPr>
                <w:b w:val="0"/>
                <w:color w:val="000000"/>
                <w:sz w:val="18"/>
              </w:rPr>
              <w:t>Charger return bursts</w:t>
            </w:r>
          </w:p>
        </w:tc>
        <w:tc>
          <w:tcPr>
            <w:tcW w:type="dxa" w:w="1498"/>
            <w:vAlign w:val="center"/>
            <w:tcMar>
              <w:top w:w="48" w:type="dxa"/>
              <w:bottom w:w="48" w:type="dxa"/>
              <w:left w:w="75" w:type="dxa"/>
              <w:right w:w="75" w:type="dxa"/>
            </w:tcMar>
            <w:shd w:fill="F2F5F7"/>
          </w:tcPr>
          <w:p>
            <w:pPr>
              <w:spacing w:after="0" w:line="240" w:lineRule="auto"/>
              <w:jc w:val="center"/>
            </w:pPr>
            <w:r>
              <w:rPr>
                <w:b w:val="0"/>
                <w:color w:val="000000"/>
                <w:sz w:val="18"/>
              </w:rPr>
              <w:t>1.10</w:t>
            </w:r>
          </w:p>
        </w:tc>
        <w:tc>
          <w:tcPr>
            <w:tcW w:type="dxa" w:w="1498"/>
            <w:vAlign w:val="center"/>
            <w:tcMar>
              <w:top w:w="48" w:type="dxa"/>
              <w:bottom w:w="48" w:type="dxa"/>
              <w:left w:w="75" w:type="dxa"/>
              <w:right w:w="75" w:type="dxa"/>
            </w:tcMar>
            <w:shd w:fill="F2F5F7"/>
          </w:tcPr>
          <w:p>
            <w:pPr>
              <w:spacing w:after="0" w:line="240" w:lineRule="auto"/>
              <w:jc w:val="center"/>
            </w:pPr>
            <w:r>
              <w:rPr>
                <w:b w:val="0"/>
                <w:color w:val="000000"/>
                <w:sz w:val="18"/>
              </w:rPr>
              <w:t>0.80</w:t>
            </w:r>
          </w:p>
        </w:tc>
        <w:tc>
          <w:tcPr>
            <w:tcW w:type="dxa" w:w="2074"/>
            <w:vAlign w:val="center"/>
            <w:tcMar>
              <w:top w:w="48" w:type="dxa"/>
              <w:bottom w:w="48" w:type="dxa"/>
              <w:left w:w="75" w:type="dxa"/>
              <w:right w:w="75" w:type="dxa"/>
            </w:tcMar>
            <w:shd w:fill="F2F5F7"/>
          </w:tcPr>
          <w:p>
            <w:pPr>
              <w:spacing w:after="0" w:line="240" w:lineRule="auto"/>
              <w:jc w:val="center"/>
            </w:pPr>
            <w:r>
              <w:rPr>
                <w:b w:val="0"/>
                <w:color w:val="000000"/>
                <w:sz w:val="18"/>
              </w:rPr>
              <w:t>4.27</w:t>
            </w:r>
          </w:p>
        </w:tc>
        <w:tc>
          <w:tcPr>
            <w:tcW w:type="dxa" w:w="2074"/>
            <w:vAlign w:val="center"/>
            <w:tcMar>
              <w:top w:w="48" w:type="dxa"/>
              <w:bottom w:w="48" w:type="dxa"/>
              <w:left w:w="75" w:type="dxa"/>
              <w:right w:w="75" w:type="dxa"/>
            </w:tcMar>
            <w:shd w:fill="F2F5F7"/>
          </w:tcPr>
          <w:p>
            <w:pPr>
              <w:spacing w:after="0" w:line="240" w:lineRule="auto"/>
              <w:jc w:val="center"/>
            </w:pPr>
            <w:r>
              <w:rPr>
                <w:b w:val="0"/>
                <w:color w:val="000000"/>
                <w:sz w:val="18"/>
              </w:rPr>
              <w:t>3.05</w:t>
            </w:r>
          </w:p>
        </w:tc>
      </w:tr>
    </w:tbl>
    <w:p>
      <w:pPr>
        <w:spacing w:after="0"/>
      </w:pPr>
    </w:p>
    <w:p>
      <w:r>
        <w:rPr>
          <w:b w:val="0"/>
          <w:sz w:val="18"/>
        </w:rPr>
        <w:t>RMS is local standard deviation about each channel mean, an estimate of AC RMS variation. Peak to peak is the measured local maximum minus minimum, not a multiple of RMS. Quiet / typical / high mean the 10th / 50th / 95th percentile across 20 ms windows.</w:t>
      </w:r>
    </w:p>
    <w:p>
      <w:r>
        <w:rPr>
          <w:b w:val="0"/>
          <w:sz w:val="18"/>
        </w:rPr>
        <w:t>Typical battery noise is about 2.0× / 1.7× the charger-connected typical level on arrays 1 / 2. Scope measurements after the PCB beads and capacitors show 61.3 mV peak to peak on battery and 53.0 mV with the charger. The displayed approximately 5.14 V RMS includes DC; AC rail RMS is unavailable. The scope sample rates differed, so those ripple amplitudes are indicative rather than a controlled comparison.</w:t>
      </w:r>
    </w:p>
    <w:p>
      <w:r>
        <w:rPr>
          <w:b/>
          <w:sz w:val="18"/>
        </w:rPr>
        <w:t>The evidence links the noise pattern to USB power conditions and supports regulated ADC and buffer supplies in the next board revision. It does not isolate rail ripple from ground coupling or host activity. These separate scope and ADC measurements were not synchronized.</w:t>
      </w:r>
    </w:p>
    <w:p>
      <w:pPr>
        <w:pStyle w:val="Heading1"/>
        <w:pageBreakBefore/>
      </w:pPr>
      <w:r>
        <w:t>Channel 11 baseline and Vmid insertion</w:t>
      </w:r>
    </w:p>
    <w:p>
      <w:r>
        <w:rPr>
          <w:b w:val="0"/>
        </w:rPr>
        <w:t>PZT5_L maps to channel 11 on ADC2 and ADC4. In normal scans both remain low across engines, clocks and sensor connection states. The firmware review found no channel 11 specific delay, arithmetic correction or payload mapping difference.</w:t>
      </w:r>
    </w:p>
    <w:p>
      <w:pPr>
        <w:keepNext/>
        <w:spacing w:after="40"/>
      </w:pPr>
      <w:r>
        <w:drawing>
          <wp:inline xmlns:a="http://schemas.openxmlformats.org/drawingml/2006/main" xmlns:pic="http://schemas.openxmlformats.org/drawingml/2006/picture">
            <wp:extent cx="6400800" cy="2944368"/>
            <wp:docPr id="3" name="Picture 3"/>
            <wp:cNvGraphicFramePr>
              <a:graphicFrameLocks noChangeAspect="1"/>
            </wp:cNvGraphicFramePr>
            <a:graphic>
              <a:graphicData uri="http://schemas.openxmlformats.org/drawingml/2006/picture">
                <pic:pic>
                  <pic:nvPicPr>
                    <pic:cNvPr id="0" name="baseline_vmid.png"/>
                    <pic:cNvPicPr/>
                  </pic:nvPicPr>
                  <pic:blipFill>
                    <a:blip r:embed="rId13"/>
                    <a:stretch>
                      <a:fillRect/>
                    </a:stretch>
                  </pic:blipFill>
                  <pic:spPr>
                    <a:xfrm>
                      <a:off x="0" y="0"/>
                      <a:ext cx="6400800" cy="2944368"/>
                    </a:xfrm>
                    <a:prstGeom prst="rect"/>
                  </pic:spPr>
                </pic:pic>
              </a:graphicData>
            </a:graphic>
          </wp:inline>
        </w:drawing>
      </w:r>
    </w:p>
    <w:p>
      <w:pPr>
        <w:pStyle w:val="Caption"/>
      </w:pPr>
      <w:r>
        <w:t>Figure 3  Off on off controls at 10 MHz blocking, repeat 1. Channel 11 is marked vertically; nominal Vmid is 1250 mV. Voltage conversion uses nominal 2.5 V Vref and 12-bit scaling.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642"/>
        <w:gridCol w:w="1642"/>
        <w:gridCol w:w="1642"/>
        <w:gridCol w:w="2059"/>
      </w:tblGrid>
      <w:tr>
        <w:trPr>
          <w:cantSplit/>
          <w:tblHeader/>
        </w:trPr>
        <w:tc>
          <w:tcPr>
            <w:tcW w:type="dxa" w:w="3096"/>
            <w:vAlign w:val="center"/>
            <w:tcMar>
              <w:top w:w="48" w:type="dxa"/>
              <w:bottom w:w="48" w:type="dxa"/>
              <w:left w:w="75" w:type="dxa"/>
              <w:right w:w="75" w:type="dxa"/>
            </w:tcMar>
            <w:shd w:fill="244A63"/>
          </w:tcPr>
          <w:p>
            <w:pPr>
              <w:spacing w:after="0" w:line="240" w:lineRule="auto"/>
              <w:jc w:val="left"/>
            </w:pPr>
            <w:r>
              <w:rPr>
                <w:b/>
                <w:color w:val="FFFFFF"/>
                <w:sz w:val="18"/>
              </w:rPr>
              <w:t>Channel 11 condition</w:t>
            </w:r>
          </w:p>
        </w:tc>
        <w:tc>
          <w:tcPr>
            <w:tcW w:type="dxa" w:w="1642"/>
            <w:vAlign w:val="center"/>
            <w:tcMar>
              <w:top w:w="48" w:type="dxa"/>
              <w:bottom w:w="48" w:type="dxa"/>
              <w:left w:w="75" w:type="dxa"/>
              <w:right w:w="75" w:type="dxa"/>
            </w:tcMar>
            <w:shd w:fill="244A63"/>
          </w:tcPr>
          <w:p>
            <w:pPr>
              <w:spacing w:after="0" w:line="240" w:lineRule="auto"/>
              <w:jc w:val="center"/>
            </w:pPr>
            <w:r>
              <w:rPr>
                <w:b/>
                <w:color w:val="FFFFFF"/>
                <w:sz w:val="18"/>
              </w:rPr>
              <w:t>Off before</w:t>
              <w:br/>
              <w:t>mV</w:t>
            </w:r>
          </w:p>
        </w:tc>
        <w:tc>
          <w:tcPr>
            <w:tcW w:type="dxa" w:w="1642"/>
            <w:vAlign w:val="center"/>
            <w:tcMar>
              <w:top w:w="48" w:type="dxa"/>
              <w:bottom w:w="48" w:type="dxa"/>
              <w:left w:w="75" w:type="dxa"/>
              <w:right w:w="75" w:type="dxa"/>
            </w:tcMar>
            <w:shd w:fill="244A63"/>
          </w:tcPr>
          <w:p>
            <w:pPr>
              <w:spacing w:after="0" w:line="240" w:lineRule="auto"/>
              <w:jc w:val="center"/>
            </w:pPr>
            <w:r>
              <w:rPr>
                <w:b/>
                <w:color w:val="FFFFFF"/>
                <w:sz w:val="18"/>
              </w:rPr>
              <w:t>Vmid on</w:t>
              <w:br/>
              <w:t>mV</w:t>
            </w:r>
          </w:p>
        </w:tc>
        <w:tc>
          <w:tcPr>
            <w:tcW w:type="dxa" w:w="1642"/>
            <w:vAlign w:val="center"/>
            <w:tcMar>
              <w:top w:w="48" w:type="dxa"/>
              <w:bottom w:w="48" w:type="dxa"/>
              <w:left w:w="75" w:type="dxa"/>
              <w:right w:w="75" w:type="dxa"/>
            </w:tcMar>
            <w:shd w:fill="244A63"/>
          </w:tcPr>
          <w:p>
            <w:pPr>
              <w:spacing w:after="0" w:line="240" w:lineRule="auto"/>
              <w:jc w:val="center"/>
            </w:pPr>
            <w:r>
              <w:rPr>
                <w:b/>
                <w:color w:val="FFFFFF"/>
                <w:sz w:val="18"/>
              </w:rPr>
              <w:t>Off after</w:t>
              <w:br/>
              <w:t>mV</w:t>
            </w:r>
          </w:p>
        </w:tc>
        <w:tc>
          <w:tcPr>
            <w:tcW w:type="dxa" w:w="2059"/>
            <w:vAlign w:val="center"/>
            <w:tcMar>
              <w:top w:w="48" w:type="dxa"/>
              <w:bottom w:w="48" w:type="dxa"/>
              <w:left w:w="75" w:type="dxa"/>
              <w:right w:w="75" w:type="dxa"/>
            </w:tcMar>
            <w:shd w:fill="244A63"/>
          </w:tcPr>
          <w:p>
            <w:pPr>
              <w:spacing w:after="0" w:line="240" w:lineRule="auto"/>
              <w:jc w:val="center"/>
            </w:pPr>
            <w:r>
              <w:rPr>
                <w:b/>
                <w:color w:val="FFFFFF"/>
                <w:sz w:val="18"/>
              </w:rPr>
              <w:t>On minus off</w:t>
              <w:br/>
              <w:t>mV</w:t>
            </w:r>
          </w:p>
        </w:tc>
      </w:tr>
      <w:tr>
        <w:trPr>
          <w:cantSplit/>
        </w:trPr>
        <w:tc>
          <w:tcPr>
            <w:tcW w:type="dxa" w:w="3096"/>
            <w:vAlign w:val="center"/>
            <w:tcMar>
              <w:top w:w="48" w:type="dxa"/>
              <w:bottom w:w="48" w:type="dxa"/>
              <w:left w:w="75" w:type="dxa"/>
              <w:right w:w="75" w:type="dxa"/>
            </w:tcMar>
            <w:shd w:fill="FFFFFF"/>
          </w:tcPr>
          <w:p>
            <w:pPr>
              <w:spacing w:after="0" w:line="240" w:lineRule="auto"/>
              <w:jc w:val="left"/>
            </w:pPr>
            <w:r>
              <w:rPr>
                <w:b w:val="0"/>
                <w:color w:val="000000"/>
                <w:sz w:val="18"/>
              </w:rPr>
              <w:t>Unplugged  ADC2</w:t>
            </w:r>
          </w:p>
        </w:tc>
        <w:tc>
          <w:tcPr>
            <w:tcW w:type="dxa" w:w="1642"/>
            <w:vAlign w:val="center"/>
            <w:tcMar>
              <w:top w:w="48" w:type="dxa"/>
              <w:bottom w:w="48" w:type="dxa"/>
              <w:left w:w="75" w:type="dxa"/>
              <w:right w:w="75" w:type="dxa"/>
            </w:tcMar>
            <w:shd w:fill="FFFFFF"/>
          </w:tcPr>
          <w:p>
            <w:pPr>
              <w:spacing w:after="0" w:line="240" w:lineRule="auto"/>
              <w:jc w:val="center"/>
            </w:pPr>
            <w:r>
              <w:rPr>
                <w:b w:val="0"/>
                <w:color w:val="000000"/>
                <w:sz w:val="18"/>
              </w:rPr>
              <w:t>1193.8</w:t>
            </w:r>
          </w:p>
        </w:tc>
        <w:tc>
          <w:tcPr>
            <w:tcW w:type="dxa" w:w="1642"/>
            <w:vAlign w:val="center"/>
            <w:tcMar>
              <w:top w:w="48" w:type="dxa"/>
              <w:bottom w:w="48" w:type="dxa"/>
              <w:left w:w="75" w:type="dxa"/>
              <w:right w:w="75" w:type="dxa"/>
            </w:tcMar>
            <w:shd w:fill="FFFFFF"/>
          </w:tcPr>
          <w:p>
            <w:pPr>
              <w:spacing w:after="0" w:line="240" w:lineRule="auto"/>
              <w:jc w:val="center"/>
            </w:pPr>
            <w:r>
              <w:rPr>
                <w:b w:val="0"/>
                <w:color w:val="000000"/>
                <w:sz w:val="18"/>
              </w:rPr>
              <w:t>1162.1</w:t>
            </w:r>
          </w:p>
        </w:tc>
        <w:tc>
          <w:tcPr>
            <w:tcW w:type="dxa" w:w="1642"/>
            <w:vAlign w:val="center"/>
            <w:tcMar>
              <w:top w:w="48" w:type="dxa"/>
              <w:bottom w:w="48" w:type="dxa"/>
              <w:left w:w="75" w:type="dxa"/>
              <w:right w:w="75" w:type="dxa"/>
            </w:tcMar>
            <w:shd w:fill="FFFFFF"/>
          </w:tcPr>
          <w:p>
            <w:pPr>
              <w:spacing w:after="0" w:line="240" w:lineRule="auto"/>
              <w:jc w:val="center"/>
            </w:pPr>
            <w:r>
              <w:rPr>
                <w:b w:val="0"/>
                <w:color w:val="000000"/>
                <w:sz w:val="18"/>
              </w:rPr>
              <w:t>1193.8</w:t>
            </w:r>
          </w:p>
        </w:tc>
        <w:tc>
          <w:tcPr>
            <w:tcW w:type="dxa" w:w="2059"/>
            <w:vAlign w:val="center"/>
            <w:tcMar>
              <w:top w:w="48" w:type="dxa"/>
              <w:bottom w:w="48" w:type="dxa"/>
              <w:left w:w="75" w:type="dxa"/>
              <w:right w:w="75" w:type="dxa"/>
            </w:tcMar>
            <w:shd w:fill="FFFFFF"/>
          </w:tcPr>
          <w:p>
            <w:pPr>
              <w:spacing w:after="0" w:line="240" w:lineRule="auto"/>
              <w:jc w:val="center"/>
            </w:pPr>
            <w:r>
              <w:rPr>
                <w:b w:val="0"/>
                <w:color w:val="000000"/>
                <w:sz w:val="18"/>
              </w:rPr>
              <w:t>-31.74</w:t>
            </w:r>
          </w:p>
        </w:tc>
      </w:tr>
      <w:tr>
        <w:trPr>
          <w:cantSplit/>
        </w:trPr>
        <w:tc>
          <w:tcPr>
            <w:tcW w:type="dxa" w:w="3096"/>
            <w:vAlign w:val="center"/>
            <w:tcMar>
              <w:top w:w="48" w:type="dxa"/>
              <w:bottom w:w="48" w:type="dxa"/>
              <w:left w:w="75" w:type="dxa"/>
              <w:right w:w="75" w:type="dxa"/>
            </w:tcMar>
            <w:shd w:fill="F2F5F7"/>
          </w:tcPr>
          <w:p>
            <w:pPr>
              <w:spacing w:after="0" w:line="240" w:lineRule="auto"/>
              <w:jc w:val="left"/>
            </w:pPr>
            <w:r>
              <w:rPr>
                <w:b w:val="0"/>
                <w:color w:val="000000"/>
                <w:sz w:val="18"/>
              </w:rPr>
              <w:t>Unplugged  ADC4</w:t>
            </w:r>
          </w:p>
        </w:tc>
        <w:tc>
          <w:tcPr>
            <w:tcW w:type="dxa" w:w="1642"/>
            <w:vAlign w:val="center"/>
            <w:tcMar>
              <w:top w:w="48" w:type="dxa"/>
              <w:bottom w:w="48" w:type="dxa"/>
              <w:left w:w="75" w:type="dxa"/>
              <w:right w:w="75" w:type="dxa"/>
            </w:tcMar>
            <w:shd w:fill="F2F5F7"/>
          </w:tcPr>
          <w:p>
            <w:pPr>
              <w:spacing w:after="0" w:line="240" w:lineRule="auto"/>
              <w:jc w:val="center"/>
            </w:pPr>
            <w:r>
              <w:rPr>
                <w:b w:val="0"/>
                <w:color w:val="000000"/>
                <w:sz w:val="18"/>
              </w:rPr>
              <w:t>1212.2</w:t>
            </w:r>
          </w:p>
        </w:tc>
        <w:tc>
          <w:tcPr>
            <w:tcW w:type="dxa" w:w="1642"/>
            <w:vAlign w:val="center"/>
            <w:tcMar>
              <w:top w:w="48" w:type="dxa"/>
              <w:bottom w:w="48" w:type="dxa"/>
              <w:left w:w="75" w:type="dxa"/>
              <w:right w:w="75" w:type="dxa"/>
            </w:tcMar>
            <w:shd w:fill="F2F5F7"/>
          </w:tcPr>
          <w:p>
            <w:pPr>
              <w:spacing w:after="0" w:line="240" w:lineRule="auto"/>
              <w:jc w:val="center"/>
            </w:pPr>
            <w:r>
              <w:rPr>
                <w:b w:val="0"/>
                <w:color w:val="000000"/>
                <w:sz w:val="18"/>
              </w:rPr>
              <w:t>1204.2</w:t>
            </w:r>
          </w:p>
        </w:tc>
        <w:tc>
          <w:tcPr>
            <w:tcW w:type="dxa" w:w="1642"/>
            <w:vAlign w:val="center"/>
            <w:tcMar>
              <w:top w:w="48" w:type="dxa"/>
              <w:bottom w:w="48" w:type="dxa"/>
              <w:left w:w="75" w:type="dxa"/>
              <w:right w:w="75" w:type="dxa"/>
            </w:tcMar>
            <w:shd w:fill="F2F5F7"/>
          </w:tcPr>
          <w:p>
            <w:pPr>
              <w:spacing w:after="0" w:line="240" w:lineRule="auto"/>
              <w:jc w:val="center"/>
            </w:pPr>
            <w:r>
              <w:rPr>
                <w:b w:val="0"/>
                <w:color w:val="000000"/>
                <w:sz w:val="18"/>
              </w:rPr>
              <w:t>1212.8</w:t>
            </w:r>
          </w:p>
        </w:tc>
        <w:tc>
          <w:tcPr>
            <w:tcW w:type="dxa" w:w="2059"/>
            <w:vAlign w:val="center"/>
            <w:tcMar>
              <w:top w:w="48" w:type="dxa"/>
              <w:bottom w:w="48" w:type="dxa"/>
              <w:left w:w="75" w:type="dxa"/>
              <w:right w:w="75" w:type="dxa"/>
            </w:tcMar>
            <w:shd w:fill="F2F5F7"/>
          </w:tcPr>
          <w:p>
            <w:pPr>
              <w:spacing w:after="0" w:line="240" w:lineRule="auto"/>
              <w:jc w:val="center"/>
            </w:pPr>
            <w:r>
              <w:rPr>
                <w:b w:val="0"/>
                <w:color w:val="000000"/>
                <w:sz w:val="18"/>
              </w:rPr>
              <w:t>-8.24</w:t>
            </w:r>
          </w:p>
        </w:tc>
      </w:tr>
      <w:tr>
        <w:trPr>
          <w:cantSplit/>
        </w:trPr>
        <w:tc>
          <w:tcPr>
            <w:tcW w:type="dxa" w:w="3096"/>
            <w:vAlign w:val="center"/>
            <w:tcMar>
              <w:top w:w="48" w:type="dxa"/>
              <w:bottom w:w="48" w:type="dxa"/>
              <w:left w:w="75" w:type="dxa"/>
              <w:right w:w="75" w:type="dxa"/>
            </w:tcMar>
            <w:shd w:fill="FFFFFF"/>
          </w:tcPr>
          <w:p>
            <w:pPr>
              <w:spacing w:after="0" w:line="240" w:lineRule="auto"/>
              <w:jc w:val="left"/>
            </w:pPr>
            <w:r>
              <w:rPr>
                <w:b w:val="0"/>
                <w:color w:val="000000"/>
                <w:sz w:val="18"/>
              </w:rPr>
              <w:t>Attached  ADC2</w:t>
            </w:r>
          </w:p>
        </w:tc>
        <w:tc>
          <w:tcPr>
            <w:tcW w:type="dxa" w:w="1642"/>
            <w:vAlign w:val="center"/>
            <w:tcMar>
              <w:top w:w="48" w:type="dxa"/>
              <w:bottom w:w="48" w:type="dxa"/>
              <w:left w:w="75" w:type="dxa"/>
              <w:right w:w="75" w:type="dxa"/>
            </w:tcMar>
            <w:shd w:fill="FFFFFF"/>
          </w:tcPr>
          <w:p>
            <w:pPr>
              <w:spacing w:after="0" w:line="240" w:lineRule="auto"/>
              <w:jc w:val="center"/>
            </w:pPr>
            <w:r>
              <w:rPr>
                <w:b w:val="0"/>
                <w:color w:val="000000"/>
                <w:sz w:val="18"/>
              </w:rPr>
              <w:t>1186.5</w:t>
            </w:r>
          </w:p>
        </w:tc>
        <w:tc>
          <w:tcPr>
            <w:tcW w:type="dxa" w:w="1642"/>
            <w:vAlign w:val="center"/>
            <w:tcMar>
              <w:top w:w="48" w:type="dxa"/>
              <w:bottom w:w="48" w:type="dxa"/>
              <w:left w:w="75" w:type="dxa"/>
              <w:right w:w="75" w:type="dxa"/>
            </w:tcMar>
            <w:shd w:fill="FFFFFF"/>
          </w:tcPr>
          <w:p>
            <w:pPr>
              <w:spacing w:after="0" w:line="240" w:lineRule="auto"/>
              <w:jc w:val="center"/>
            </w:pPr>
            <w:r>
              <w:rPr>
                <w:b w:val="0"/>
                <w:color w:val="000000"/>
                <w:sz w:val="18"/>
              </w:rPr>
              <w:t>1183.5</w:t>
            </w:r>
          </w:p>
        </w:tc>
        <w:tc>
          <w:tcPr>
            <w:tcW w:type="dxa" w:w="1642"/>
            <w:vAlign w:val="center"/>
            <w:tcMar>
              <w:top w:w="48" w:type="dxa"/>
              <w:bottom w:w="48" w:type="dxa"/>
              <w:left w:w="75" w:type="dxa"/>
              <w:right w:w="75" w:type="dxa"/>
            </w:tcMar>
            <w:shd w:fill="FFFFFF"/>
          </w:tcPr>
          <w:p>
            <w:pPr>
              <w:spacing w:after="0" w:line="240" w:lineRule="auto"/>
              <w:jc w:val="center"/>
            </w:pPr>
            <w:r>
              <w:rPr>
                <w:b w:val="0"/>
                <w:color w:val="000000"/>
                <w:sz w:val="18"/>
              </w:rPr>
              <w:t>1186.5</w:t>
            </w:r>
          </w:p>
        </w:tc>
        <w:tc>
          <w:tcPr>
            <w:tcW w:type="dxa" w:w="2059"/>
            <w:vAlign w:val="center"/>
            <w:tcMar>
              <w:top w:w="48" w:type="dxa"/>
              <w:bottom w:w="48" w:type="dxa"/>
              <w:left w:w="75" w:type="dxa"/>
              <w:right w:w="75" w:type="dxa"/>
            </w:tcMar>
            <w:shd w:fill="FFFFFF"/>
          </w:tcPr>
          <w:p>
            <w:pPr>
              <w:spacing w:after="0" w:line="240" w:lineRule="auto"/>
              <w:jc w:val="center"/>
            </w:pPr>
            <w:r>
              <w:rPr>
                <w:b w:val="0"/>
                <w:color w:val="000000"/>
                <w:sz w:val="18"/>
              </w:rPr>
              <w:t>-3.05</w:t>
            </w:r>
          </w:p>
        </w:tc>
      </w:tr>
      <w:tr>
        <w:trPr>
          <w:cantSplit/>
        </w:trPr>
        <w:tc>
          <w:tcPr>
            <w:tcW w:type="dxa" w:w="3096"/>
            <w:vAlign w:val="center"/>
            <w:tcMar>
              <w:top w:w="48" w:type="dxa"/>
              <w:bottom w:w="48" w:type="dxa"/>
              <w:left w:w="75" w:type="dxa"/>
              <w:right w:w="75" w:type="dxa"/>
            </w:tcMar>
            <w:shd w:fill="F2F5F7"/>
          </w:tcPr>
          <w:p>
            <w:pPr>
              <w:spacing w:after="0" w:line="240" w:lineRule="auto"/>
              <w:jc w:val="left"/>
            </w:pPr>
            <w:r>
              <w:rPr>
                <w:b w:val="0"/>
                <w:color w:val="000000"/>
                <w:sz w:val="18"/>
              </w:rPr>
              <w:t>Attached  ADC4</w:t>
            </w:r>
          </w:p>
        </w:tc>
        <w:tc>
          <w:tcPr>
            <w:tcW w:type="dxa" w:w="1642"/>
            <w:vAlign w:val="center"/>
            <w:tcMar>
              <w:top w:w="48" w:type="dxa"/>
              <w:bottom w:w="48" w:type="dxa"/>
              <w:left w:w="75" w:type="dxa"/>
              <w:right w:w="75" w:type="dxa"/>
            </w:tcMar>
            <w:shd w:fill="F2F5F7"/>
          </w:tcPr>
          <w:p>
            <w:pPr>
              <w:spacing w:after="0" w:line="240" w:lineRule="auto"/>
              <w:jc w:val="center"/>
            </w:pPr>
            <w:r>
              <w:rPr>
                <w:b w:val="0"/>
                <w:color w:val="000000"/>
                <w:sz w:val="18"/>
              </w:rPr>
              <w:t>1207.3</w:t>
            </w:r>
          </w:p>
        </w:tc>
        <w:tc>
          <w:tcPr>
            <w:tcW w:type="dxa" w:w="1642"/>
            <w:vAlign w:val="center"/>
            <w:tcMar>
              <w:top w:w="48" w:type="dxa"/>
              <w:bottom w:w="48" w:type="dxa"/>
              <w:left w:w="75" w:type="dxa"/>
              <w:right w:w="75" w:type="dxa"/>
            </w:tcMar>
            <w:shd w:fill="F2F5F7"/>
          </w:tcPr>
          <w:p>
            <w:pPr>
              <w:spacing w:after="0" w:line="240" w:lineRule="auto"/>
              <w:jc w:val="center"/>
            </w:pPr>
            <w:r>
              <w:rPr>
                <w:b w:val="0"/>
                <w:color w:val="000000"/>
                <w:sz w:val="18"/>
              </w:rPr>
              <w:t>1208.5</w:t>
            </w:r>
          </w:p>
        </w:tc>
        <w:tc>
          <w:tcPr>
            <w:tcW w:type="dxa" w:w="1642"/>
            <w:vAlign w:val="center"/>
            <w:tcMar>
              <w:top w:w="48" w:type="dxa"/>
              <w:bottom w:w="48" w:type="dxa"/>
              <w:left w:w="75" w:type="dxa"/>
              <w:right w:w="75" w:type="dxa"/>
            </w:tcMar>
            <w:shd w:fill="F2F5F7"/>
          </w:tcPr>
          <w:p>
            <w:pPr>
              <w:spacing w:after="0" w:line="240" w:lineRule="auto"/>
              <w:jc w:val="center"/>
            </w:pPr>
            <w:r>
              <w:rPr>
                <w:b w:val="0"/>
                <w:color w:val="000000"/>
                <w:sz w:val="18"/>
              </w:rPr>
              <w:t>1208.5</w:t>
            </w:r>
          </w:p>
        </w:tc>
        <w:tc>
          <w:tcPr>
            <w:tcW w:type="dxa" w:w="2059"/>
            <w:vAlign w:val="center"/>
            <w:tcMar>
              <w:top w:w="48" w:type="dxa"/>
              <w:bottom w:w="48" w:type="dxa"/>
              <w:left w:w="75" w:type="dxa"/>
              <w:right w:w="75" w:type="dxa"/>
            </w:tcMar>
            <w:shd w:fill="F2F5F7"/>
          </w:tcPr>
          <w:p>
            <w:pPr>
              <w:spacing w:after="0" w:line="240" w:lineRule="auto"/>
              <w:jc w:val="center"/>
            </w:pPr>
            <w:r>
              <w:rPr>
                <w:b w:val="0"/>
                <w:color w:val="000000"/>
                <w:sz w:val="18"/>
              </w:rPr>
              <w:t>+0.61</w:t>
            </w:r>
          </w:p>
        </w:tc>
      </w:tr>
    </w:tbl>
    <w:p>
      <w:pPr>
        <w:spacing w:after="0"/>
      </w:pPr>
    </w:p>
    <w:p>
      <w:r>
        <w:rPr>
          <w:b w:val="0"/>
          <w:sz w:val="18"/>
        </w:rPr>
        <w:t>With attached sensors, ADC2 channel 11 falls by 3.05 mV and returns exactly; its deficit relative to peer channels stays about 58.9 mV. ADC4 rises slightly but stays at that value after Vmid is disabled, so its increase is not a clear reversible improvement. Channel 11 remains lowest on both ADCs. ADC2 channel 12 improves reversibly by 13.43 mV.</w:t>
      </w:r>
    </w:p>
    <w:p>
      <w:pPr>
        <w:pStyle w:val="Heading2"/>
      </w:pPr>
      <w:r>
        <w:t>What the additional controls establish</w:t>
      </w:r>
    </w:p>
    <w:p>
      <w:pPr>
        <w:pStyle w:val="ListBullet"/>
        <w:spacing w:after="100"/>
      </w:pPr>
      <w:r>
        <w:t>Changing channel order raises channel 11 by roughly 12–19 mV without changing full-scan cadence. The deficit follows physical channel 11 rather than its original scan slot; a depressed reading also affects its successor.</w:t>
      </w:r>
    </w:p>
    <w:p>
      <w:pPr>
        <w:pStyle w:val="ListBullet"/>
        <w:spacing w:after="100"/>
      </w:pPr>
      <w:r>
        <w:t>Holding a single channel selected removes most of the channel 11 disparity: versus held channel 10, channel 11 is only 3.66 mV lower on ADC2 and 0.61 mV lower on ADC4. This test also changes cadence and active ADC count.</w:t>
      </w:r>
    </w:p>
    <w:p>
      <w:r>
        <w:rPr>
          <w:b/>
          <w:sz w:val="18"/>
        </w:rPr>
        <w:t>The shared MXO bias and scan history are therefore important. One resistor biases the common node, not each disconnected channel separately. Dynamic MUX settling, charge history and address-dependent coupling remain candidates. Attached sensors do not remove the offset, and Vmid insertion is not a baseline fix. The precise physical cause remains unresolved.</w:t>
      </w:r>
    </w:p>
    <w:p>
      <w:pPr>
        <w:pStyle w:val="Heading1"/>
        <w:pageBreakBefore/>
      </w:pPr>
      <w:r>
        <w:t>Conclusions and next work</w:t>
      </w:r>
    </w:p>
    <w:p>
      <w:pPr>
        <w:pStyle w:val="ListBullet"/>
        <w:spacing w:after="100"/>
      </w:pPr>
      <w:r>
        <w:t>Use manual LPSPI at 20 MHz as the validated speed baseline: 16.9 kHz per channel for both arrays and about 24 kHz for one array. Faster requested SPI gives diminishing gains; 30 MHz remains experimental.</w:t>
      </w:r>
    </w:p>
    <w:p>
      <w:pPr>
        <w:pStyle w:val="ListBullet"/>
        <w:spacing w:after="100"/>
      </w:pPr>
      <w:r>
        <w:t>Firmware USB changes keep sampling continuous under backpressure by omitting complete transmissions when necessary. Received gaps must stay visible. The GUI repair separates capture from display work and preserves raw archives; it does not repair missing transmissions.</w:t>
      </w:r>
    </w:p>
    <w:p>
      <w:pPr>
        <w:pStyle w:val="ListBullet"/>
        <w:spacing w:after="100"/>
      </w:pPr>
      <w:r>
        <w:t>USB power conditions change the common noise pattern. Regulate ADC analog and buffer supplies in the next revision, as already done on the second board design. The channel 11 DC offset requires separate investigation.</w:t>
      </w:r>
    </w:p>
    <w:p>
      <w:pPr>
        <w:pStyle w:val="ListBullet"/>
        <w:spacing w:after="100"/>
      </w:pPr>
      <w:r>
        <w:t>Vmid insertion changes baseline and scan history but does not correct channel 11. With attached strips it also reduces the tested 10 MHz blocking output rate by approximately 61%.</w:t>
      </w:r>
    </w:p>
    <w:p>
      <w:pPr>
        <w:pStyle w:val="Heading2"/>
      </w:pPr>
      <w:r>
        <w:t>Remaining tests</w:t>
      </w:r>
    </w:p>
    <w:p>
      <w:pPr>
        <w:pStyle w:val="ListBullet"/>
        <w:spacing w:after="100"/>
      </w:pPr>
      <w:r>
        <w:t>Ghosting with manual sensor pressing: press one sensor location at a time, record the intended response and all neighboring channels on both arrays, and compare Vmid off and on plus channel repeat settings. Check amplitude, delay, recovery and false responses.</w:t>
      </w:r>
    </w:p>
    <w:p>
      <w:pPr>
        <w:pStyle w:val="ListBullet"/>
        <w:spacing w:after="100"/>
      </w:pPr>
      <w:r>
        <w:t>Channel 11 isolation: scan a known low-impedance Vmid input on channel 11 and compare channels 10 and 12; observe CS together with MXO or the buffer output to separate voltage and timing effects.</w:t>
      </w:r>
    </w:p>
    <w:p>
      <w:pPr>
        <w:pStyle w:val="ListBullet"/>
        <w:spacing w:after="100"/>
      </w:pPr>
      <w:r>
        <w:t>Complete analog acceptance at 20 MHz. If 30 MHz is pursued, compare 20 → 30 → 20 MHz with repeatable pressed or driven inputs, settling checks and longer captures. Repeat one-array and two-array Vmid-on timing on the latest firmware before adopting historical rates as current targets.</w:t>
      </w:r>
    </w:p>
    <w:p>
      <w:pPr>
        <w:pStyle w:val="Heading2"/>
      </w:pPr>
      <w:r>
        <w:t>Remaining firmware and GUI development</w:t>
      </w:r>
    </w:p>
    <w:p>
      <w:r>
        <w:rPr>
          <w:b w:val="0"/>
        </w:rPr>
        <w:t>Add configurable sweep repetition with per-channel median transmission. Acquire N complete sweeps, calculate each channel’s median across those N values, and transmit one result frame. Preserve a selectable raw mode; expose N and raw or median mode in the GUI. This differs from the existing channel repeat setting, which retains the last conversion rather than computing a median.</w:t>
      </w:r>
    </w:p>
    <w:p>
      <w:r>
        <w:rPr>
          <w:b w:val="0"/>
        </w:rPr>
        <w:t>At an unchanged acquisition rate, N sweeps per frame would reduce transmitted values and display updates to approximately 1/N. Expected random-noise reduction must be measured; median reduction does not inherently remove a DC offset or coherent supply disturbance. Validate processing overhead, ghosting, peak retention and the added latency before selecting defaults. Coordinate firmware, parser and archive metadata so timestamps describe the aggregation interval and downstream analysis knows the effective output rate.</w:t>
      </w:r>
    </w:p>
    <w:p>
      <w:pPr>
        <w:pStyle w:val="Heading2"/>
      </w:pPr>
      <w:r>
        <w:t>Evidence and measurement notes</w:t>
      </w:r>
    </w:p>
    <w:p>
      <w:r>
        <w:rPr>
          <w:b w:val="0"/>
          <w:sz w:val="18"/>
        </w:rPr>
        <w:t>Source captures are retained in the TestBoard_7953 benchmarks directory. Timing tables were independently recalculated from selected raw frames. The production and 30 MHz matrices were previously independently checked in full. Baseline controls validate all 150 medians per off on off experiment against benchmark channel CSVs. Digital PASS is not analog accuracy sign off.</w:t>
      </w:r>
    </w:p>
    <w:p>
      <w:r>
        <w:rPr>
          <w:b w:val="0"/>
          <w:sz w:val="18"/>
        </w:rPr>
        <w:t>Timing sources: live_usb_production_adc_10_20 and live_usb_production_manual_lpspi_adc30, 7 October; historical Vmid-on source: 20261001T164158Z, 1 October. Noise sources: noise_engine_topology_20261008, noise_laptop_battery_20261008 and noise_charger_reconnected_20261008. Baseline sources: channel order, continuous-selection and both Vmid control sessions, 8 October. Supporting scope photos were supplied by the board designer.</w:t>
      </w:r>
    </w:p>
    <w:p>
      <w:r>
        <w:rPr>
          <w:b w:val="0"/>
          <w:sz w:val="18"/>
        </w:rPr>
        <w:t xml:space="preserve">[1] Texas Instruments ADS7953 datasheet SLAS605C, SPI limit and timing requirements. </w:t>
      </w:r>
      <w:hyperlink r:id="rId14">
        <w:r>
          <w:rPr>
            <w:color w:val="196A9C"/>
          </w:rPr>
          <w:t>TI source</w:t>
        </w:r>
      </w:hyperlink>
    </w:p>
    <w:sectPr w:rsidR="00FC693F" w:rsidRPr="0006063C" w:rsidSect="00034616">
      <w:headerReference w:type="default" r:id="rId9"/>
      <w:footerReference w:type="default" r:id="rId10"/>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8 October 2026   |   Page </w:t>
    </w:r>
    <w:r>
      <w:rPr>
        <w:sz w:val="16"/>
      </w:rPr>
    </w:r>
    <w:fldSimple w:instr="PAGE"/>
    <w:r>
      <w:rPr>
        <w:sz w:val="16"/>
      </w:rPr>
      <w:t xml:space="preserve"> of </w:t>
    </w:r>
    <w:r>
      <w:rPr>
        <w:sz w:val="16"/>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7"/>
      </w:rPr>
      <w:t>TestBoard 7953   Engineering test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180" w:after="12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before="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2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rPr>
      <w:rFonts w:ascii="Calibri" w:hAnsi="Calibri"/>
      <w:color w:val="000000"/>
    </w:rPr>
  </w:style>
  <w:style w:type="paragraph" w:styleId="BodyText">
    <w:name w:val="Body Text"/>
    <w:basedOn w:val="Normal"/>
    <w:link w:val="BodyTextChar"/>
    <w:uiPriority w:val="99"/>
    <w:unhideWhenUsed/>
    <w:rsid w:val="00AA1D8D"/>
    <w:pPr>
      <w:widowControl/>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rPr>
      <w:rFonts w:ascii="Calibri" w:hAnsi="Calibri"/>
      <w:color w:val="000000"/>
    </w:rPr>
  </w:style>
  <w:style w:type="paragraph" w:styleId="List2">
    <w:name w:val="List 2"/>
    <w:basedOn w:val="Normal"/>
    <w:uiPriority w:val="99"/>
    <w:unhideWhenUsed/>
    <w:rsid w:val="00326F90"/>
    <w:pPr>
      <w:widowControl/>
      <w:ind w:left="720" w:hanging="360"/>
      <w:contextualSpacing/>
    </w:pPr>
    <w:rPr>
      <w:rFonts w:ascii="Calibri" w:hAnsi="Calibri"/>
      <w:color w:val="000000"/>
    </w:rPr>
  </w:style>
  <w:style w:type="paragraph" w:styleId="List3">
    <w:name w:val="List 3"/>
    <w:basedOn w:val="Normal"/>
    <w:uiPriority w:val="99"/>
    <w:unhideWhenUsed/>
    <w:rsid w:val="00326F90"/>
    <w:pPr>
      <w:widowControl/>
      <w:ind w:left="1080" w:hanging="360"/>
      <w:contextualSpacing/>
    </w:pPr>
    <w:rPr>
      <w:rFonts w:ascii="Calibri" w:hAnsi="Calibri"/>
      <w:color w:val="000000"/>
    </w:rPr>
  </w:style>
  <w:style w:type="paragraph" w:styleId="ListBullet">
    <w:name w:val="List Bullet"/>
    <w:basedOn w:val="Normal"/>
    <w:uiPriority w:val="99"/>
    <w:unhideWhenUsed/>
    <w:rsid w:val="00326F90"/>
    <w:pPr>
      <w:widowControl/>
      <w:numPr>
        <w:numId w:val="1"/>
      </w:numPr>
      <w:contextualSpacing/>
    </w:pPr>
    <w:rPr>
      <w:rFonts w:ascii="Calibri" w:hAnsi="Calibri"/>
      <w:color w:val="000000"/>
    </w:rPr>
  </w:style>
  <w:style w:type="paragraph" w:styleId="ListBullet2">
    <w:name w:val="List Bullet 2"/>
    <w:basedOn w:val="Normal"/>
    <w:uiPriority w:val="99"/>
    <w:unhideWhenUsed/>
    <w:rsid w:val="00326F90"/>
    <w:pPr>
      <w:widowControl/>
      <w:numPr>
        <w:numId w:val="2"/>
      </w:numPr>
      <w:contextualSpacing/>
    </w:pPr>
    <w:rPr>
      <w:rFonts w:ascii="Calibri" w:hAnsi="Calibri"/>
      <w:color w:val="000000"/>
    </w:rPr>
  </w:style>
  <w:style w:type="paragraph" w:styleId="ListBullet3">
    <w:name w:val="List Bullet 3"/>
    <w:basedOn w:val="Normal"/>
    <w:uiPriority w:val="99"/>
    <w:unhideWhenUsed/>
    <w:rsid w:val="00326F90"/>
    <w:pPr>
      <w:widowControl/>
      <w:numPr>
        <w:numId w:val="3"/>
      </w:numPr>
      <w:contextualSpacing/>
    </w:pPr>
    <w:rPr>
      <w:rFonts w:ascii="Calibri" w:hAnsi="Calibri"/>
      <w:color w:val="000000"/>
    </w:rPr>
  </w:style>
  <w:style w:type="paragraph" w:styleId="ListNumber">
    <w:name w:val="List Number"/>
    <w:basedOn w:val="Normal"/>
    <w:uiPriority w:val="99"/>
    <w:unhideWhenUsed/>
    <w:rsid w:val="00326F90"/>
    <w:pPr>
      <w:widowControl/>
      <w:numPr>
        <w:numId w:val="5"/>
      </w:numPr>
      <w:contextualSpacing/>
    </w:pPr>
    <w:rPr>
      <w:rFonts w:ascii="Calibri" w:hAnsi="Calibri"/>
      <w:color w:val="000000"/>
    </w:rPr>
  </w:style>
  <w:style w:type="paragraph" w:styleId="ListNumber2">
    <w:name w:val="List Number 2"/>
    <w:basedOn w:val="Normal"/>
    <w:uiPriority w:val="99"/>
    <w:unhideWhenUsed/>
    <w:rsid w:val="0029639D"/>
    <w:pPr>
      <w:widowControl/>
      <w:numPr>
        <w:numId w:val="6"/>
      </w:numPr>
      <w:contextualSpacing/>
    </w:pPr>
    <w:rPr>
      <w:rFonts w:ascii="Calibri" w:hAnsi="Calibri"/>
      <w:color w:val="000000"/>
    </w:rPr>
  </w:style>
  <w:style w:type="paragraph" w:styleId="ListNumber3">
    <w:name w:val="List Number 3"/>
    <w:basedOn w:val="Normal"/>
    <w:uiPriority w:val="99"/>
    <w:unhideWhenUsed/>
    <w:rsid w:val="0029639D"/>
    <w:pPr>
      <w:widowControl/>
      <w:numPr>
        <w:numId w:val="7"/>
      </w:numPr>
      <w:contextualSpacing/>
    </w:pPr>
    <w:rPr>
      <w:rFonts w:ascii="Calibri" w:hAnsi="Calibri"/>
      <w:color w:val="000000"/>
    </w:rPr>
  </w:style>
  <w:style w:type="paragraph" w:styleId="ListContinue">
    <w:name w:val="List Continue"/>
    <w:basedOn w:val="Normal"/>
    <w:uiPriority w:val="99"/>
    <w:unhideWhenUsed/>
    <w:rsid w:val="0029639D"/>
    <w:pPr>
      <w:widowControl/>
      <w:spacing w:after="120"/>
      <w:ind w:left="360"/>
      <w:contextualSpacing/>
    </w:pPr>
    <w:rPr>
      <w:rFonts w:ascii="Calibri" w:hAnsi="Calibri"/>
      <w:color w:val="000000"/>
    </w:rPr>
  </w:style>
  <w:style w:type="paragraph" w:styleId="ListContinue2">
    <w:name w:val="List Continue 2"/>
    <w:basedOn w:val="Normal"/>
    <w:uiPriority w:val="99"/>
    <w:unhideWhenUsed/>
    <w:rsid w:val="0029639D"/>
    <w:pPr>
      <w:widowControl/>
      <w:spacing w:after="120"/>
      <w:ind w:left="720"/>
      <w:contextualSpacing/>
    </w:pPr>
    <w:rPr>
      <w:rFonts w:ascii="Calibri" w:hAnsi="Calibri"/>
      <w:color w:val="000000"/>
    </w:rPr>
  </w:style>
  <w:style w:type="paragraph" w:styleId="ListContinue3">
    <w:name w:val="List Continue 3"/>
    <w:basedOn w:val="Normal"/>
    <w:uiPriority w:val="99"/>
    <w:unhideWhenUsed/>
    <w:rsid w:val="0029639D"/>
    <w:pPr>
      <w:widowControl/>
      <w:spacing w:after="120"/>
      <w:ind w:left="1080"/>
      <w:contextualSpacing/>
    </w:pPr>
    <w:rPr>
      <w:rFonts w:ascii="Calibri" w:hAnsi="Calibri"/>
      <w:color w:val="000000"/>
    </w:r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40"/>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rPr>
      <w:rFonts w:ascii="Calibri" w:hAnsi="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ti.com/lit/ds/symlink/ads795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TestBoard 7953 Test Summary</dc:title>
  <dc:subject>Sampling performance noise baseline and development priorities</dc:subject>
  <dc:creator/>
  <cp:keywords>TestBoard_7953, ADS7953, benchmark, noise, Vmid</cp:keywords>
  <dc:description>generated by python-docx</dc:description>
  <cp:lastModifiedBy/>
  <cp:revision>1</cp:revision>
  <dcterms:created xsi:type="dcterms:W3CDTF">2013-12-23T23:15:00Z</dcterms:created>
  <dcterms:modified xsi:type="dcterms:W3CDTF">2013-12-23T23:15:00Z</dcterms:modified>
  <cp:category/>
</cp:coreProperties>
</file>