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left"/>
      </w:pPr>
    </w:p>
    <w:p>
      <w:pPr>
        <w:spacing w:after="120" w:before="0" w:line="276" w:lineRule="auto"/>
        <w:jc w:val="left"/>
      </w:pPr>
    </w:p>
    <w:p>
      <w:pPr>
        <w:spacing w:after="120" w:before="0" w:line="276" w:lineRule="auto"/>
        <w:jc w:val="left"/>
      </w:pPr>
    </w:p>
    <w:p>
      <w:pPr>
        <w:spacing w:after="240"/>
        <w:jc w:val="center"/>
      </w:pPr>
      <w:r>
        <w:rPr>
          <w:rFonts w:ascii="Arial" w:hAnsi="Arial"/>
          <w:b/>
          <w:i w:val="0"/>
          <w:color w:val="046BD2"/>
          <w:sz w:val="56"/>
        </w:rPr>
        <w:t>TREND TO SCRIPT (TTS)</w:t>
      </w:r>
    </w:p>
    <w:p>
      <w:pPr>
        <w:spacing w:after="720"/>
        <w:jc w:val="center"/>
      </w:pPr>
      <w:r>
        <w:rPr>
          <w:rFonts w:ascii="Arial" w:hAnsi="Arial"/>
          <w:b w:val="0"/>
          <w:i/>
          <w:color w:val="045CB4"/>
          <w:sz w:val="28"/>
        </w:rPr>
        <w:t>Enterprise-Grade Content Automation &amp; SEO Outlining Pipeline</w:t>
      </w:r>
    </w:p>
    <w:p>
      <w:pPr>
        <w:spacing w:after="2400"/>
        <w:jc w:val="center"/>
      </w:pPr>
      <w:r>
        <w:rPr>
          <w:rFonts w:ascii="Calibri" w:hAnsi="Calibri"/>
          <w:b/>
          <w:i w:val="0"/>
          <w:color w:val="046BD2"/>
          <w:sz w:val="24"/>
        </w:rPr>
        <w:t>━━━━━━━━━━━━━━━━━━━━━━━━━━━━━━━━━━━━━━━━</w:t>
      </w:r>
    </w:p>
    <w:p>
      <w:pPr>
        <w:spacing w:after="120"/>
        <w:jc w:val="center"/>
      </w:pPr>
      <w:r>
        <w:rPr>
          <w:rFonts w:ascii="Calibri" w:hAnsi="Calibri"/>
          <w:b/>
          <w:i w:val="0"/>
          <w:color w:val="334155"/>
          <w:sz w:val="22"/>
        </w:rPr>
        <w:t xml:space="preserve">Prepared for: </w:t>
      </w:r>
      <w:r>
        <w:rPr>
          <w:rFonts w:ascii="Calibri" w:hAnsi="Calibri"/>
          <w:b w:val="0"/>
          <w:i w:val="0"/>
          <w:color w:val="334155"/>
          <w:sz w:val="22"/>
        </w:rPr>
        <w:t>The Crazy Careers Content Strategy &amp; Engineering Team</w:t>
        <w:br/>
      </w:r>
      <w:r>
        <w:rPr>
          <w:rFonts w:ascii="Calibri" w:hAnsi="Calibri"/>
          <w:b/>
          <w:i w:val="0"/>
          <w:color w:val="334155"/>
          <w:sz w:val="22"/>
        </w:rPr>
        <w:t xml:space="preserve">Platform: </w:t>
      </w:r>
      <w:r>
        <w:rPr>
          <w:rFonts w:ascii="Calibri" w:hAnsi="Calibri"/>
          <w:b w:val="0"/>
          <w:i w:val="0"/>
          <w:color w:val="334155"/>
          <w:sz w:val="22"/>
        </w:rPr>
        <w:t>thecrazycareers.com</w:t>
        <w:br/>
      </w:r>
      <w:r>
        <w:rPr>
          <w:rFonts w:ascii="Calibri" w:hAnsi="Calibri"/>
          <w:b/>
          <w:i w:val="0"/>
          <w:color w:val="334155"/>
          <w:sz w:val="22"/>
        </w:rPr>
        <w:t xml:space="preserve">Date: </w:t>
      </w:r>
      <w:r>
        <w:rPr>
          <w:rFonts w:ascii="Calibri" w:hAnsi="Calibri"/>
          <w:b w:val="0"/>
          <w:i w:val="0"/>
          <w:color w:val="334155"/>
          <w:sz w:val="22"/>
        </w:rPr>
        <w:t>June 2026</w:t>
        <w:br/>
      </w:r>
      <w:r>
        <w:rPr>
          <w:rFonts w:ascii="Calibri" w:hAnsi="Calibri"/>
          <w:b/>
          <w:i w:val="0"/>
          <w:color w:val="334155"/>
          <w:sz w:val="22"/>
        </w:rPr>
        <w:t xml:space="preserve">Status: </w:t>
      </w:r>
      <w:r>
        <w:rPr>
          <w:rFonts w:ascii="Calibri" w:hAnsi="Calibri"/>
          <w:b w:val="0"/>
          <w:i w:val="0"/>
          <w:color w:val="166534"/>
          <w:sz w:val="22"/>
        </w:rPr>
        <w:t>Production Ready / Complete Specifications</w:t>
      </w:r>
    </w:p>
    <w:p>
      <w:r>
        <w:br w:type="page"/>
      </w:r>
    </w:p>
    <w:p>
      <w:pPr>
        <w:pStyle w:val="Heading1"/>
        <w:keepNext/>
        <w:spacing w:before="480" w:after="240"/>
      </w:pPr>
      <w:r>
        <w:rPr>
          <w:rFonts w:ascii="Calibri" w:hAnsi="Calibri"/>
          <w:b/>
          <w:i w:val="0"/>
          <w:color w:val="046BD2"/>
          <w:sz w:val="36"/>
        </w:rPr>
        <w:t>Table of Contents</w:t>
      </w:r>
    </w:p>
    <w:p>
      <w:pPr>
        <w:spacing w:after="120" w:before="0" w:line="276" w:lineRule="auto"/>
        <w:jc w:val="left"/>
      </w:pPr>
      <w:r>
        <w:rPr>
          <w:rFonts w:ascii="Calibri" w:hAnsi="Calibri"/>
          <w:b/>
          <w:i w:val="0"/>
          <w:color w:val="045CB4"/>
          <w:sz w:val="22"/>
        </w:rPr>
        <w:t xml:space="preserve">1.    </w:t>
      </w:r>
      <w:r>
        <w:rPr>
          <w:rFonts w:ascii="Calibri" w:hAnsi="Calibri"/>
          <w:b w:val="0"/>
          <w:i w:val="0"/>
          <w:color w:val="334155"/>
          <w:sz w:val="22"/>
        </w:rPr>
        <w:t>Executive Summary</w:t>
      </w:r>
      <w:r>
        <w:rPr>
          <w:rFonts w:ascii="Calibri" w:hAnsi="Calibri"/>
          <w:b w:val="0"/>
          <w:i w:val="0"/>
          <w:color w:val="94A3B8"/>
          <w:sz w:val="22"/>
        </w:rPr>
        <w:t xml:space="preserve"> ....................................................................................................</w:t>
        <w:br/>
      </w:r>
      <w:r>
        <w:rPr>
          <w:rFonts w:ascii="Calibri" w:hAnsi="Calibri"/>
          <w:b/>
          <w:i w:val="0"/>
          <w:color w:val="045CB4"/>
          <w:sz w:val="22"/>
        </w:rPr>
        <w:t xml:space="preserve">2.    </w:t>
      </w:r>
      <w:r>
        <w:rPr>
          <w:rFonts w:ascii="Calibri" w:hAnsi="Calibri"/>
          <w:b w:val="0"/>
          <w:i w:val="0"/>
          <w:color w:val="334155"/>
          <w:sz w:val="22"/>
        </w:rPr>
        <w:t>System Architecture &amp; Design</w:t>
      </w:r>
      <w:r>
        <w:rPr>
          <w:rFonts w:ascii="Calibri" w:hAnsi="Calibri"/>
          <w:b w:val="0"/>
          <w:i w:val="0"/>
          <w:color w:val="94A3B8"/>
          <w:sz w:val="22"/>
        </w:rPr>
        <w:t xml:space="preserve"> .........................................................................................</w:t>
        <w:br/>
      </w:r>
      <w:r>
        <w:rPr>
          <w:rFonts w:ascii="Calibri" w:hAnsi="Calibri"/>
          <w:b/>
          <w:i w:val="0"/>
          <w:color w:val="045CB4"/>
          <w:sz w:val="22"/>
        </w:rPr>
        <w:t xml:space="preserve">3.    </w:t>
      </w:r>
      <w:r>
        <w:rPr>
          <w:rFonts w:ascii="Calibri" w:hAnsi="Calibri"/>
          <w:b w:val="0"/>
          <w:i w:val="0"/>
          <w:color w:val="334155"/>
          <w:sz w:val="22"/>
        </w:rPr>
        <w:t>Component-Level Technical Specifications</w:t>
      </w:r>
      <w:r>
        <w:rPr>
          <w:rFonts w:ascii="Calibri" w:hAnsi="Calibri"/>
          <w:b w:val="0"/>
          <w:i w:val="0"/>
          <w:color w:val="94A3B8"/>
          <w:sz w:val="22"/>
        </w:rPr>
        <w:t xml:space="preserve"> ..........................................................................</w:t>
        <w:br/>
      </w:r>
      <w:r>
        <w:rPr>
          <w:rFonts w:ascii="Calibri" w:hAnsi="Calibri"/>
          <w:b/>
          <w:i w:val="0"/>
          <w:color w:val="045CB4"/>
          <w:sz w:val="22"/>
        </w:rPr>
        <w:t xml:space="preserve">   3.1</w:t>
      </w:r>
      <w:r>
        <w:rPr>
          <w:rFonts w:ascii="Calibri" w:hAnsi="Calibri"/>
          <w:b w:val="0"/>
          <w:i w:val="0"/>
          <w:color w:val="334155"/>
          <w:sz w:val="22"/>
        </w:rPr>
        <w:t>Web Interface &amp; User Management (app.py, models.py)</w:t>
      </w:r>
      <w:r>
        <w:rPr>
          <w:rFonts w:ascii="Calibri" w:hAnsi="Calibri"/>
          <w:b w:val="0"/>
          <w:i w:val="0"/>
          <w:color w:val="94A3B8"/>
          <w:sz w:val="22"/>
        </w:rPr>
        <w:t xml:space="preserve"> .............................................</w:t>
        <w:br/>
      </w:r>
      <w:r>
        <w:rPr>
          <w:rFonts w:ascii="Calibri" w:hAnsi="Calibri"/>
          <w:b/>
          <w:i w:val="0"/>
          <w:color w:val="045CB4"/>
          <w:sz w:val="22"/>
        </w:rPr>
        <w:t xml:space="preserve">   3.2</w:t>
      </w:r>
      <w:r>
        <w:rPr>
          <w:rFonts w:ascii="Calibri" w:hAnsi="Calibri"/>
          <w:b w:val="0"/>
          <w:i w:val="0"/>
          <w:color w:val="334155"/>
          <w:sz w:val="22"/>
        </w:rPr>
        <w:t>Trends Extraction &amp; Curation Services</w:t>
      </w:r>
      <w:r>
        <w:rPr>
          <w:rFonts w:ascii="Calibri" w:hAnsi="Calibri"/>
          <w:b w:val="0"/>
          <w:i w:val="0"/>
          <w:color w:val="94A3B8"/>
          <w:sz w:val="22"/>
        </w:rPr>
        <w:t xml:space="preserve"> ..................................................................</w:t>
        <w:br/>
      </w:r>
      <w:r>
        <w:rPr>
          <w:rFonts w:ascii="Calibri" w:hAnsi="Calibri"/>
          <w:b/>
          <w:i w:val="0"/>
          <w:color w:val="045CB4"/>
          <w:sz w:val="22"/>
        </w:rPr>
        <w:t xml:space="preserve">   3.3</w:t>
      </w:r>
      <w:r>
        <w:rPr>
          <w:rFonts w:ascii="Calibri" w:hAnsi="Calibri"/>
          <w:b w:val="0"/>
          <w:i w:val="0"/>
          <w:color w:val="334155"/>
          <w:sz w:val="22"/>
        </w:rPr>
        <w:t>Centralized Rate Limiting System</w:t>
      </w:r>
      <w:r>
        <w:rPr>
          <w:rFonts w:ascii="Calibri" w:hAnsi="Calibri"/>
          <w:b w:val="0"/>
          <w:i w:val="0"/>
          <w:color w:val="94A3B8"/>
          <w:sz w:val="22"/>
        </w:rPr>
        <w:t xml:space="preserve"> ........................................................................</w:t>
        <w:br/>
      </w:r>
      <w:r>
        <w:rPr>
          <w:rFonts w:ascii="Calibri" w:hAnsi="Calibri"/>
          <w:b/>
          <w:i w:val="0"/>
          <w:color w:val="045CB4"/>
          <w:sz w:val="22"/>
        </w:rPr>
        <w:t xml:space="preserve">   3.4</w:t>
      </w:r>
      <w:r>
        <w:rPr>
          <w:rFonts w:ascii="Calibri" w:hAnsi="Calibri"/>
          <w:b w:val="0"/>
          <w:i w:val="0"/>
          <w:color w:val="334155"/>
          <w:sz w:val="22"/>
        </w:rPr>
        <w:t>Orchestration Runner Engine (runner.py)</w:t>
      </w:r>
      <w:r>
        <w:rPr>
          <w:rFonts w:ascii="Calibri" w:hAnsi="Calibri"/>
          <w:b w:val="0"/>
          <w:i w:val="0"/>
          <w:color w:val="94A3B8"/>
          <w:sz w:val="22"/>
        </w:rPr>
        <w:t xml:space="preserve"> .............................................................</w:t>
        <w:br/>
      </w:r>
      <w:r>
        <w:rPr>
          <w:rFonts w:ascii="Calibri" w:hAnsi="Calibri"/>
          <w:b/>
          <w:i w:val="0"/>
          <w:color w:val="045CB4"/>
          <w:sz w:val="22"/>
        </w:rPr>
        <w:t xml:space="preserve">   3.5</w:t>
      </w:r>
      <w:r>
        <w:rPr>
          <w:rFonts w:ascii="Calibri" w:hAnsi="Calibri"/>
          <w:b w:val="0"/>
          <w:i w:val="0"/>
          <w:color w:val="334155"/>
          <w:sz w:val="22"/>
        </w:rPr>
        <w:t>API Communications &amp; Client Wrappers</w:t>
      </w:r>
      <w:r>
        <w:rPr>
          <w:rFonts w:ascii="Calibri" w:hAnsi="Calibri"/>
          <w:b w:val="0"/>
          <w:i w:val="0"/>
          <w:color w:val="94A3B8"/>
          <w:sz w:val="22"/>
        </w:rPr>
        <w:t xml:space="preserve"> ..............................................................</w:t>
        <w:br/>
      </w:r>
      <w:r>
        <w:rPr>
          <w:rFonts w:ascii="Calibri" w:hAnsi="Calibri"/>
          <w:b/>
          <w:i w:val="0"/>
          <w:color w:val="045CB4"/>
          <w:sz w:val="22"/>
        </w:rPr>
        <w:t xml:space="preserve">   3.6</w:t>
      </w:r>
      <w:r>
        <w:rPr>
          <w:rFonts w:ascii="Calibri" w:hAnsi="Calibri"/>
          <w:b w:val="0"/>
          <w:i w:val="0"/>
          <w:color w:val="334155"/>
          <w:sz w:val="22"/>
        </w:rPr>
        <w:t>Grounding Context and News Aggregation</w:t>
      </w:r>
      <w:r>
        <w:rPr>
          <w:rFonts w:ascii="Calibri" w:hAnsi="Calibri"/>
          <w:b w:val="0"/>
          <w:i w:val="0"/>
          <w:color w:val="94A3B8"/>
          <w:sz w:val="22"/>
        </w:rPr>
        <w:t xml:space="preserve"> ..............................................................</w:t>
        <w:br/>
      </w:r>
      <w:r>
        <w:rPr>
          <w:rFonts w:ascii="Calibri" w:hAnsi="Calibri"/>
          <w:b/>
          <w:i w:val="0"/>
          <w:color w:val="045CB4"/>
          <w:sz w:val="22"/>
        </w:rPr>
        <w:t xml:space="preserve">   3.7</w:t>
      </w:r>
      <w:r>
        <w:rPr>
          <w:rFonts w:ascii="Calibri" w:hAnsi="Calibri"/>
          <w:b w:val="0"/>
          <w:i w:val="0"/>
          <w:color w:val="334155"/>
          <w:sz w:val="22"/>
        </w:rPr>
        <w:t>Secure Delivery &amp; Attachment System</w:t>
      </w:r>
      <w:r>
        <w:rPr>
          <w:rFonts w:ascii="Calibri" w:hAnsi="Calibri"/>
          <w:b w:val="0"/>
          <w:i w:val="0"/>
          <w:color w:val="94A3B8"/>
          <w:sz w:val="22"/>
        </w:rPr>
        <w:t xml:space="preserve"> .................................................................</w:t>
        <w:br/>
      </w:r>
      <w:r>
        <w:rPr>
          <w:rFonts w:ascii="Calibri" w:hAnsi="Calibri"/>
          <w:b/>
          <w:i w:val="0"/>
          <w:color w:val="045CB4"/>
          <w:sz w:val="22"/>
        </w:rPr>
        <w:t xml:space="preserve">4.    </w:t>
      </w:r>
      <w:r>
        <w:rPr>
          <w:rFonts w:ascii="Calibri" w:hAnsi="Calibri"/>
          <w:b w:val="0"/>
          <w:i w:val="0"/>
          <w:color w:val="334155"/>
          <w:sz w:val="22"/>
        </w:rPr>
        <w:t>Detailed Prompt Design &amp; The 5-Step Pipeline</w:t>
      </w:r>
      <w:r>
        <w:rPr>
          <w:rFonts w:ascii="Calibri" w:hAnsi="Calibri"/>
          <w:b w:val="0"/>
          <w:i w:val="0"/>
          <w:color w:val="94A3B8"/>
          <w:sz w:val="22"/>
        </w:rPr>
        <w:t xml:space="preserve"> ..........................................................</w:t>
        <w:br/>
      </w:r>
      <w:r>
        <w:rPr>
          <w:rFonts w:ascii="Calibri" w:hAnsi="Calibri"/>
          <w:b/>
          <w:i w:val="0"/>
          <w:color w:val="045CB4"/>
          <w:sz w:val="22"/>
        </w:rPr>
        <w:t xml:space="preserve">5.    </w:t>
      </w:r>
      <w:r>
        <w:rPr>
          <w:rFonts w:ascii="Calibri" w:hAnsi="Calibri"/>
          <w:b w:val="0"/>
          <w:i w:val="0"/>
          <w:color w:val="334155"/>
          <w:sz w:val="22"/>
        </w:rPr>
        <w:t>Configuration, Variables, and Setup Guide</w:t>
      </w:r>
      <w:r>
        <w:rPr>
          <w:rFonts w:ascii="Calibri" w:hAnsi="Calibri"/>
          <w:b w:val="0"/>
          <w:i w:val="0"/>
          <w:color w:val="94A3B8"/>
          <w:sz w:val="22"/>
        </w:rPr>
        <w:t xml:space="preserve"> .............................................................</w:t>
        <w:br/>
      </w:r>
      <w:r>
        <w:rPr>
          <w:rFonts w:ascii="Calibri" w:hAnsi="Calibri"/>
          <w:b/>
          <w:i w:val="0"/>
          <w:color w:val="045CB4"/>
          <w:sz w:val="22"/>
        </w:rPr>
        <w:t xml:space="preserve">6.    </w:t>
      </w:r>
      <w:r>
        <w:rPr>
          <w:rFonts w:ascii="Calibri" w:hAnsi="Calibri"/>
          <w:b w:val="0"/>
          <w:i w:val="0"/>
          <w:color w:val="334155"/>
          <w:sz w:val="22"/>
        </w:rPr>
        <w:t>System Robustness, Security, and Error Handling Standards</w:t>
      </w:r>
      <w:r>
        <w:rPr>
          <w:rFonts w:ascii="Calibri" w:hAnsi="Calibri"/>
          <w:b w:val="0"/>
          <w:i w:val="0"/>
          <w:color w:val="94A3B8"/>
          <w:sz w:val="22"/>
        </w:rPr>
        <w:t xml:space="preserve"> ...............................................</w:t>
        <w:br/>
      </w:r>
    </w:p>
    <w:p>
      <w:r>
        <w:br w:type="page"/>
      </w:r>
    </w:p>
    <w:p>
      <w:pPr>
        <w:pStyle w:val="Heading1"/>
        <w:keepNext/>
        <w:spacing w:before="240" w:after="120"/>
      </w:pPr>
      <w:r>
        <w:rPr>
          <w:rFonts w:ascii="Calibri" w:hAnsi="Calibri"/>
          <w:b/>
          <w:i w:val="0"/>
          <w:color w:val="046BD2"/>
          <w:sz w:val="36"/>
        </w:rPr>
        <w:t>1. Executive Summary</w:t>
      </w:r>
    </w:p>
    <w:p>
      <w:pPr>
        <w:spacing w:after="120" w:before="0" w:line="276" w:lineRule="auto"/>
        <w:jc w:val="left"/>
      </w:pPr>
      <w:r>
        <w:rPr>
          <w:color w:val="334155"/>
        </w:rPr>
        <w:t xml:space="preserve">The </w:t>
      </w:r>
      <w:r>
        <w:rPr>
          <w:rFonts w:ascii="Calibri" w:hAnsi="Calibri"/>
          <w:b/>
          <w:i w:val="0"/>
          <w:color w:val="334155"/>
          <w:sz w:val="22"/>
        </w:rPr>
        <w:t>Trend to Script (TTS) Content Automation System</w:t>
      </w:r>
      <w:r>
        <w:t xml:space="preserve"> is an enterprise-grade, end-to-end software pipeline designed for </w:t>
      </w:r>
      <w:r>
        <w:rPr>
          <w:b/>
        </w:rPr>
        <w:t>The Crazy Careers (TCC)</w:t>
      </w:r>
      <w:r>
        <w:t xml:space="preserve"> (thecrazycareers.com), a career guidance and skills counseling portal serving millions of Indian students and early professionals (ages 15-27). The system identifies, curates, and automatically transforms regional search trends into publication-ready, deeply researched, SEO-optimized articles formatted for Elementor Page Builder in WordPress.</w:t>
      </w:r>
    </w:p>
    <w:p>
      <w:pPr>
        <w:spacing w:after="120" w:before="0" w:line="276" w:lineRule="auto"/>
        <w:jc w:val="left"/>
      </w:pPr>
      <w:r>
        <w:rPr>
          <w:rFonts w:ascii="Calibri" w:hAnsi="Calibri"/>
          <w:b w:val="0"/>
          <w:i w:val="0"/>
          <w:color w:val="334155"/>
          <w:sz w:val="22"/>
        </w:rPr>
        <w:t>In the modern digital publishing landscape, organic search engine visibility is critical. However, manually scraping trending search terms, analyzing keyword competitiveness, examining the SERP landscape, drafting structural outlines, producing comprehensive 1500-word articles with appropriate schema, and formatting them using custom stylesheets is a highly tedious workflow, typically taking between 4 and 6 hours per piece. TTS automates this entire lifecycle, reducing execution time to under 5 minutes while maintaining high standards of SEO optimization, editorial control, and design consistency.</w:t>
      </w:r>
    </w:p>
    <w:p>
      <w:pPr>
        <w:spacing w:after="120" w:before="0" w:line="276" w:lineRule="auto"/>
        <w:jc w:val="left"/>
      </w:pPr>
      <w:r>
        <w:rPr>
          <w:rFonts w:ascii="Calibri" w:hAnsi="Calibri"/>
          <w:b w:val="0"/>
          <w:i w:val="0"/>
          <w:color w:val="334155"/>
          <w:sz w:val="22"/>
        </w:rPr>
        <w:t>By leveraging a dual-provider LLM infrastructure (combining Google Gemini and Groq API systems), TTS splits workload efficiently. It uses Gemini for trend curation due to its analytical strength, and leverages Groq's high-speed Llama models for the computationally heavy five-step content pipeline. The system operates on a state-based architecture backed by a local SQLite database, offering personalized dashboards for multi-user teams. It is robustly secure against standard vulnerabilities, enforces strict API rate limits via custom spacing mechanisms, and handles execution asynchronously to avoid thread blocks.</w:t>
      </w:r>
    </w:p>
    <w:p>
      <w:pPr>
        <w:pStyle w:val="Heading1"/>
        <w:keepNext/>
        <w:spacing w:before="240" w:after="120"/>
      </w:pPr>
      <w:r>
        <w:rPr>
          <w:rFonts w:ascii="Calibri" w:hAnsi="Calibri"/>
          <w:b/>
          <w:i w:val="0"/>
          <w:color w:val="046BD2"/>
          <w:sz w:val="36"/>
        </w:rPr>
        <w:t>2. System Architecture &amp; Design</w:t>
      </w:r>
    </w:p>
    <w:p>
      <w:pPr>
        <w:spacing w:after="120" w:before="0" w:line="276" w:lineRule="auto"/>
        <w:jc w:val="left"/>
      </w:pPr>
      <w:r>
        <w:rPr>
          <w:rFonts w:ascii="Calibri" w:hAnsi="Calibri"/>
          <w:b w:val="0"/>
          <w:i w:val="0"/>
          <w:color w:val="334155"/>
          <w:sz w:val="22"/>
        </w:rPr>
        <w:t>The TTS platform is constructed on a decoupled architecture, separating trend monitoring and curation from content synthesis. This separates operations into two distinct, high-level phases:</w:t>
      </w:r>
    </w:p>
    <w:p>
      <w:pPr>
        <w:spacing w:after="120" w:before="0" w:line="276" w:lineRule="auto"/>
        <w:jc w:val="left"/>
      </w:pPr>
      <w:r>
        <w:rPr>
          <w:b/>
        </w:rPr>
        <w:t>Phase 1: Trend Extraction and Curation (The Instant Workflow)</w:t>
        <w:br/>
      </w:r>
      <w:r>
        <w:t>In this phase, the system monitors organic search queries in real time. The trends are fetched from Google Trends based on the user's selected location (e.g., India) and category (e.g., Jobs &amp; Education, Business). It uses the Trendspy API, falling back automatically to Google's standard RSS feeds if rate limits occur. The raw trends are evaluated by Gemini 2.0 Flash against TCC's Master Persona, filtering out irrelevant categories (such as sports, films, politics, and celebrity gossip). The remaining high-relevance trends are compiled into a curated digest and emailed to the team with an embedded 'Generate Content' action button.</w:t>
      </w:r>
    </w:p>
    <w:p>
      <w:pPr>
        <w:spacing w:after="120" w:before="0" w:line="276" w:lineRule="auto"/>
        <w:jc w:val="left"/>
      </w:pPr>
      <w:r>
        <w:rPr>
          <w:b/>
        </w:rPr>
        <w:t>Phase 2: Multi-Model Content Generation Pipeline (The Async Engine)</w:t>
        <w:br/>
      </w:r>
      <w:r>
        <w:t>When an editor clicks 'Generate Content' for a specific trend, the Flask application initiates a background worker thread. The thread executes a sequential 5-step LLM content generation pipeline. Each step's output serves as the prompt context for the next step. To manage API usage costs and avoid rate limits, the heavy lifting of the pipeline is offloaded to Groq's Llama models. Steps 1 to 3 (Keywords, SERP, Outline) run on the fast Llama-3.1-8b-instant model. Step 4 (Article Generation) and Step 5 (HTML Generation) run on the larger Llama-3.3-70b-versatile model. The final output is packaged into a standalone HTML file and emailed directly to the user as an attachment.</w:t>
      </w:r>
    </w:p>
    <w:p>
      <w:pPr>
        <w:pStyle w:val="Heading2"/>
        <w:keepNext/>
        <w:spacing w:before="240" w:after="120"/>
      </w:pPr>
      <w:r>
        <w:rPr>
          <w:rFonts w:ascii="Calibri" w:hAnsi="Calibri"/>
          <w:b/>
          <w:i w:val="0"/>
          <w:color w:val="045CB4"/>
          <w:sz w:val="28"/>
        </w:rPr>
        <w:t>LLM &amp; Provider Selection Strategy</w:t>
      </w:r>
    </w:p>
    <w:p>
      <w:pPr>
        <w:spacing w:after="120" w:before="0" w:line="276" w:lineRule="auto"/>
        <w:jc w:val="left"/>
      </w:pPr>
      <w:r>
        <w:rPr>
          <w:rFonts w:ascii="Calibri" w:hAnsi="Calibri"/>
          <w:b w:val="0"/>
          <w:i w:val="0"/>
          <w:color w:val="334155"/>
          <w:sz w:val="22"/>
        </w:rPr>
        <w:t>To ensure a balance of quality, execution speed, and budget efficiency, the system utilizes multiple models across two providers: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Pr>
                <w:rFonts w:ascii="Calibri" w:hAnsi="Calibri"/>
                <w:b/>
                <w:i w:val="0"/>
                <w:color w:val="046BD2"/>
                <w:sz w:val="22"/>
              </w:rPr>
              <w:t>Workflow Step</w:t>
            </w:r>
          </w:p>
        </w:tc>
        <w:tc>
          <w:tcPr>
            <w:tcW w:type="dxa" w:w="2160"/>
          </w:tcPr>
          <w:p>
            <w:pPr>
              <w:jc w:val="left"/>
            </w:pPr>
            <w:r>
              <w:rPr>
                <w:rFonts w:ascii="Calibri" w:hAnsi="Calibri"/>
                <w:b/>
                <w:i w:val="0"/>
                <w:color w:val="046BD2"/>
                <w:sz w:val="22"/>
              </w:rPr>
              <w:t>Selected Model</w:t>
            </w:r>
          </w:p>
        </w:tc>
        <w:tc>
          <w:tcPr>
            <w:tcW w:type="dxa" w:w="2160"/>
          </w:tcPr>
          <w:p>
            <w:pPr>
              <w:jc w:val="left"/>
            </w:pPr>
            <w:r>
              <w:rPr>
                <w:rFonts w:ascii="Calibri" w:hAnsi="Calibri"/>
                <w:b/>
                <w:i w:val="0"/>
                <w:color w:val="046BD2"/>
                <w:sz w:val="22"/>
              </w:rPr>
              <w:t>Provider</w:t>
            </w:r>
          </w:p>
        </w:tc>
        <w:tc>
          <w:tcPr>
            <w:tcW w:type="dxa" w:w="2160"/>
          </w:tcPr>
          <w:p>
            <w:pPr>
              <w:jc w:val="left"/>
            </w:pPr>
            <w:r>
              <w:rPr>
                <w:rFonts w:ascii="Calibri" w:hAnsi="Calibri"/>
                <w:b/>
                <w:i w:val="0"/>
                <w:color w:val="046BD2"/>
                <w:sz w:val="22"/>
              </w:rPr>
              <w:t>Key Rationale</w:t>
            </w:r>
          </w:p>
        </w:tc>
      </w:tr>
      <w:tr>
        <w:tc>
          <w:tcPr>
            <w:tcW w:type="dxa" w:w="2160"/>
          </w:tcPr>
          <w:p>
            <w:pPr>
              <w:spacing w:after="40"/>
            </w:pPr>
            <w:r>
              <w:rPr>
                <w:rFonts w:ascii="Calibri" w:hAnsi="Calibri"/>
                <w:b w:val="0"/>
                <w:i w:val="0"/>
                <w:color w:val="334155"/>
                <w:sz w:val="20"/>
              </w:rPr>
              <w:t>Trend Curation</w:t>
            </w:r>
          </w:p>
        </w:tc>
        <w:tc>
          <w:tcPr>
            <w:tcW w:type="dxa" w:w="2160"/>
          </w:tcPr>
          <w:p>
            <w:pPr>
              <w:spacing w:after="40"/>
            </w:pPr>
            <w:r>
              <w:rPr>
                <w:rFonts w:ascii="Calibri" w:hAnsi="Calibri"/>
                <w:b w:val="0"/>
                <w:i w:val="0"/>
                <w:color w:val="334155"/>
                <w:sz w:val="20"/>
              </w:rPr>
              <w:t>gemini-3.5-flash</w:t>
            </w:r>
          </w:p>
        </w:tc>
        <w:tc>
          <w:tcPr>
            <w:tcW w:type="dxa" w:w="2160"/>
          </w:tcPr>
          <w:p>
            <w:pPr>
              <w:spacing w:after="40"/>
            </w:pPr>
            <w:r>
              <w:rPr>
                <w:rFonts w:ascii="Calibri" w:hAnsi="Calibri"/>
                <w:b w:val="0"/>
                <w:i w:val="0"/>
                <w:color w:val="334155"/>
                <w:sz w:val="20"/>
              </w:rPr>
              <w:t>Google Gemini</w:t>
            </w:r>
          </w:p>
        </w:tc>
        <w:tc>
          <w:tcPr>
            <w:tcW w:type="dxa" w:w="2160"/>
          </w:tcPr>
          <w:p>
            <w:pPr>
              <w:spacing w:after="40"/>
            </w:pPr>
            <w:r>
              <w:rPr>
                <w:rFonts w:ascii="Calibri" w:hAnsi="Calibri"/>
                <w:b w:val="0"/>
                <w:i w:val="0"/>
                <w:color w:val="334155"/>
                <w:sz w:val="20"/>
              </w:rPr>
              <w:t>Excellent analytical filtering &amp; low latency (configurable via GEMINI_MODEL).</w:t>
            </w:r>
          </w:p>
        </w:tc>
      </w:tr>
      <w:tr>
        <w:tc>
          <w:tcPr>
            <w:tcW w:type="dxa" w:w="2160"/>
          </w:tcPr>
          <w:p>
            <w:pPr>
              <w:spacing w:after="40"/>
            </w:pPr>
            <w:r>
              <w:rPr>
                <w:rFonts w:ascii="Calibri" w:hAnsi="Calibri"/>
                <w:b w:val="0"/>
                <w:i w:val="0"/>
                <w:color w:val="334155"/>
                <w:sz w:val="20"/>
              </w:rPr>
              <w:t>Step 1: Keywords</w:t>
            </w:r>
          </w:p>
        </w:tc>
        <w:tc>
          <w:tcPr>
            <w:tcW w:type="dxa" w:w="2160"/>
          </w:tcPr>
          <w:p>
            <w:pPr>
              <w:spacing w:after="40"/>
            </w:pPr>
            <w:r>
              <w:rPr>
                <w:rFonts w:ascii="Calibri" w:hAnsi="Calibri"/>
                <w:b w:val="0"/>
                <w:i w:val="0"/>
                <w:color w:val="334155"/>
                <w:sz w:val="20"/>
              </w:rPr>
              <w:t>llama-3.1-8b-instant</w:t>
            </w:r>
          </w:p>
        </w:tc>
        <w:tc>
          <w:tcPr>
            <w:tcW w:type="dxa" w:w="2160"/>
          </w:tcPr>
          <w:p>
            <w:pPr>
              <w:spacing w:after="40"/>
            </w:pPr>
            <w:r>
              <w:rPr>
                <w:rFonts w:ascii="Calibri" w:hAnsi="Calibri"/>
                <w:b w:val="0"/>
                <w:i w:val="0"/>
                <w:color w:val="334155"/>
                <w:sz w:val="20"/>
              </w:rPr>
              <w:t>Groq Cloud</w:t>
            </w:r>
          </w:p>
        </w:tc>
        <w:tc>
          <w:tcPr>
            <w:tcW w:type="dxa" w:w="2160"/>
          </w:tcPr>
          <w:p>
            <w:pPr>
              <w:spacing w:after="40"/>
            </w:pPr>
            <w:r>
              <w:rPr>
                <w:rFonts w:ascii="Calibri" w:hAnsi="Calibri"/>
                <w:b w:val="0"/>
                <w:i w:val="0"/>
                <w:color w:val="334155"/>
                <w:sz w:val="20"/>
              </w:rPr>
              <w:t>Super-fast execution for text classification.</w:t>
            </w:r>
          </w:p>
        </w:tc>
      </w:tr>
      <w:tr>
        <w:tc>
          <w:tcPr>
            <w:tcW w:type="dxa" w:w="2160"/>
          </w:tcPr>
          <w:p>
            <w:pPr>
              <w:spacing w:after="40"/>
            </w:pPr>
            <w:r>
              <w:rPr>
                <w:rFonts w:ascii="Calibri" w:hAnsi="Calibri"/>
                <w:b w:val="0"/>
                <w:i w:val="0"/>
                <w:color w:val="334155"/>
                <w:sz w:val="20"/>
              </w:rPr>
              <w:t>Step 2: SERP</w:t>
            </w:r>
          </w:p>
        </w:tc>
        <w:tc>
          <w:tcPr>
            <w:tcW w:type="dxa" w:w="2160"/>
          </w:tcPr>
          <w:p>
            <w:pPr>
              <w:spacing w:after="40"/>
            </w:pPr>
            <w:r>
              <w:rPr>
                <w:rFonts w:ascii="Calibri" w:hAnsi="Calibri"/>
                <w:b w:val="0"/>
                <w:i w:val="0"/>
                <w:color w:val="334155"/>
                <w:sz w:val="20"/>
              </w:rPr>
              <w:t>llama-3.1-8b-instant</w:t>
            </w:r>
          </w:p>
        </w:tc>
        <w:tc>
          <w:tcPr>
            <w:tcW w:type="dxa" w:w="2160"/>
          </w:tcPr>
          <w:p>
            <w:pPr>
              <w:spacing w:after="40"/>
            </w:pPr>
            <w:r>
              <w:rPr>
                <w:rFonts w:ascii="Calibri" w:hAnsi="Calibri"/>
                <w:b w:val="0"/>
                <w:i w:val="0"/>
                <w:color w:val="334155"/>
                <w:sz w:val="20"/>
              </w:rPr>
              <w:t>Groq Cloud</w:t>
            </w:r>
          </w:p>
        </w:tc>
        <w:tc>
          <w:tcPr>
            <w:tcW w:type="dxa" w:w="2160"/>
          </w:tcPr>
          <w:p>
            <w:pPr>
              <w:spacing w:after="40"/>
            </w:pPr>
            <w:r>
              <w:rPr>
                <w:rFonts w:ascii="Calibri" w:hAnsi="Calibri"/>
                <w:b w:val="0"/>
                <w:i w:val="0"/>
                <w:color w:val="334155"/>
                <w:sz w:val="20"/>
              </w:rPr>
              <w:t>Fast, structured extraction of search intents.</w:t>
            </w:r>
          </w:p>
        </w:tc>
      </w:tr>
      <w:tr>
        <w:tc>
          <w:tcPr>
            <w:tcW w:type="dxa" w:w="2160"/>
          </w:tcPr>
          <w:p>
            <w:pPr>
              <w:spacing w:after="40"/>
            </w:pPr>
            <w:r>
              <w:rPr>
                <w:rFonts w:ascii="Calibri" w:hAnsi="Calibri"/>
                <w:b w:val="0"/>
                <w:i w:val="0"/>
                <w:color w:val="334155"/>
                <w:sz w:val="20"/>
              </w:rPr>
              <w:t>Step 3: Outline</w:t>
            </w:r>
          </w:p>
        </w:tc>
        <w:tc>
          <w:tcPr>
            <w:tcW w:type="dxa" w:w="2160"/>
          </w:tcPr>
          <w:p>
            <w:pPr>
              <w:spacing w:after="40"/>
            </w:pPr>
            <w:r>
              <w:rPr>
                <w:rFonts w:ascii="Calibri" w:hAnsi="Calibri"/>
                <w:b w:val="0"/>
                <w:i w:val="0"/>
                <w:color w:val="334155"/>
                <w:sz w:val="20"/>
              </w:rPr>
              <w:t>llama-3.1-8b-instant</w:t>
            </w:r>
          </w:p>
        </w:tc>
        <w:tc>
          <w:tcPr>
            <w:tcW w:type="dxa" w:w="2160"/>
          </w:tcPr>
          <w:p>
            <w:pPr>
              <w:spacing w:after="40"/>
            </w:pPr>
            <w:r>
              <w:rPr>
                <w:rFonts w:ascii="Calibri" w:hAnsi="Calibri"/>
                <w:b w:val="0"/>
                <w:i w:val="0"/>
                <w:color w:val="334155"/>
                <w:sz w:val="20"/>
              </w:rPr>
              <w:t>Groq Cloud</w:t>
            </w:r>
          </w:p>
        </w:tc>
        <w:tc>
          <w:tcPr>
            <w:tcW w:type="dxa" w:w="2160"/>
          </w:tcPr>
          <w:p>
            <w:pPr>
              <w:spacing w:after="40"/>
            </w:pPr>
            <w:r>
              <w:rPr>
                <w:rFonts w:ascii="Calibri" w:hAnsi="Calibri"/>
                <w:b w:val="0"/>
                <w:i w:val="0"/>
                <w:color w:val="334155"/>
                <w:sz w:val="20"/>
              </w:rPr>
              <w:t>Organizes outline hierarchies quickly.</w:t>
            </w:r>
          </w:p>
        </w:tc>
      </w:tr>
      <w:tr>
        <w:tc>
          <w:tcPr>
            <w:tcW w:type="dxa" w:w="2160"/>
          </w:tcPr>
          <w:p>
            <w:pPr>
              <w:spacing w:after="40"/>
            </w:pPr>
            <w:r>
              <w:rPr>
                <w:rFonts w:ascii="Calibri" w:hAnsi="Calibri"/>
                <w:b w:val="0"/>
                <w:i w:val="0"/>
                <w:color w:val="334155"/>
                <w:sz w:val="20"/>
              </w:rPr>
              <w:t>Step 4: Article</w:t>
            </w:r>
          </w:p>
        </w:tc>
        <w:tc>
          <w:tcPr>
            <w:tcW w:type="dxa" w:w="2160"/>
          </w:tcPr>
          <w:p>
            <w:pPr>
              <w:spacing w:after="40"/>
            </w:pPr>
            <w:r>
              <w:rPr>
                <w:rFonts w:ascii="Calibri" w:hAnsi="Calibri"/>
                <w:b w:val="0"/>
                <w:i w:val="0"/>
                <w:color w:val="334155"/>
                <w:sz w:val="20"/>
              </w:rPr>
              <w:t>llama-3.3-70b-versatile</w:t>
            </w:r>
          </w:p>
        </w:tc>
        <w:tc>
          <w:tcPr>
            <w:tcW w:type="dxa" w:w="2160"/>
          </w:tcPr>
          <w:p>
            <w:pPr>
              <w:spacing w:after="40"/>
            </w:pPr>
            <w:r>
              <w:rPr>
                <w:rFonts w:ascii="Calibri" w:hAnsi="Calibri"/>
                <w:b w:val="0"/>
                <w:i w:val="0"/>
                <w:color w:val="334155"/>
                <w:sz w:val="20"/>
              </w:rPr>
              <w:t>Groq Cloud</w:t>
            </w:r>
          </w:p>
        </w:tc>
        <w:tc>
          <w:tcPr>
            <w:tcW w:type="dxa" w:w="2160"/>
          </w:tcPr>
          <w:p>
            <w:pPr>
              <w:spacing w:after="40"/>
            </w:pPr>
            <w:r>
              <w:rPr>
                <w:rFonts w:ascii="Calibri" w:hAnsi="Calibri"/>
                <w:b w:val="0"/>
                <w:i w:val="0"/>
                <w:color w:val="334155"/>
                <w:sz w:val="20"/>
              </w:rPr>
              <w:t>High parameter count, deep vocabulary, expert counseling tone.</w:t>
            </w:r>
          </w:p>
        </w:tc>
      </w:tr>
      <w:tr>
        <w:tc>
          <w:tcPr>
            <w:tcW w:type="dxa" w:w="2160"/>
          </w:tcPr>
          <w:p>
            <w:pPr>
              <w:spacing w:after="40"/>
            </w:pPr>
            <w:r>
              <w:rPr>
                <w:rFonts w:ascii="Calibri" w:hAnsi="Calibri"/>
                <w:b w:val="0"/>
                <w:i w:val="0"/>
                <w:color w:val="334155"/>
                <w:sz w:val="20"/>
              </w:rPr>
              <w:t>Step 5: HTML Page</w:t>
            </w:r>
          </w:p>
        </w:tc>
        <w:tc>
          <w:tcPr>
            <w:tcW w:type="dxa" w:w="2160"/>
          </w:tcPr>
          <w:p>
            <w:pPr>
              <w:spacing w:after="40"/>
            </w:pPr>
            <w:r>
              <w:rPr>
                <w:rFonts w:ascii="Calibri" w:hAnsi="Calibri"/>
                <w:b w:val="0"/>
                <w:i w:val="0"/>
                <w:color w:val="334155"/>
                <w:sz w:val="20"/>
              </w:rPr>
              <w:t>llama-3.3-70b-versatile</w:t>
            </w:r>
          </w:p>
        </w:tc>
        <w:tc>
          <w:tcPr>
            <w:tcW w:type="dxa" w:w="2160"/>
          </w:tcPr>
          <w:p>
            <w:pPr>
              <w:spacing w:after="40"/>
            </w:pPr>
            <w:r>
              <w:rPr>
                <w:rFonts w:ascii="Calibri" w:hAnsi="Calibri"/>
                <w:b w:val="0"/>
                <w:i w:val="0"/>
                <w:color w:val="334155"/>
                <w:sz w:val="20"/>
              </w:rPr>
              <w:t>Groq Cloud</w:t>
            </w:r>
          </w:p>
        </w:tc>
        <w:tc>
          <w:tcPr>
            <w:tcW w:type="dxa" w:w="2160"/>
          </w:tcPr>
          <w:p>
            <w:pPr>
              <w:spacing w:after="40"/>
            </w:pPr>
            <w:r>
              <w:rPr>
                <w:rFonts w:ascii="Calibri" w:hAnsi="Calibri"/>
                <w:b w:val="0"/>
                <w:i w:val="0"/>
                <w:color w:val="334155"/>
                <w:sz w:val="20"/>
              </w:rPr>
              <w:t>Ensures compliance with CSS layout rules.</w:t>
            </w:r>
          </w:p>
        </w:tc>
      </w:tr>
    </w:tbl>
    <w:p>
      <w:pPr>
        <w:spacing w:after="120" w:before="240" w:line="276" w:lineRule="auto"/>
        <w:jc w:val="left"/>
      </w:pPr>
    </w:p>
    <w:p>
      <w:pPr>
        <w:pStyle w:val="Heading1"/>
        <w:keepNext/>
        <w:spacing w:before="240" w:after="120"/>
      </w:pPr>
      <w:r>
        <w:rPr>
          <w:rFonts w:ascii="Calibri" w:hAnsi="Calibri"/>
          <w:b/>
          <w:i w:val="0"/>
          <w:color w:val="046BD2"/>
          <w:sz w:val="36"/>
        </w:rPr>
        <w:t>3. Component-Level Technical Specifications</w:t>
      </w:r>
    </w:p>
    <w:p>
      <w:pPr>
        <w:pStyle w:val="Heading2"/>
        <w:keepNext/>
        <w:spacing w:before="240" w:after="120"/>
      </w:pPr>
      <w:r>
        <w:rPr>
          <w:rFonts w:ascii="Calibri" w:hAnsi="Calibri"/>
          <w:b/>
          <w:i w:val="0"/>
          <w:color w:val="045CB4"/>
          <w:sz w:val="28"/>
        </w:rPr>
        <w:t>3.1 Web Interface &amp; User Management (app.py, models.py)</w:t>
      </w:r>
    </w:p>
    <w:p>
      <w:pPr>
        <w:spacing w:after="120" w:before="0" w:line="276" w:lineRule="auto"/>
        <w:jc w:val="left"/>
      </w:pPr>
      <w:r>
        <w:rPr>
          <w:rFonts w:ascii="Calibri" w:hAnsi="Calibri"/>
          <w:b w:val="0"/>
          <w:i w:val="0"/>
          <w:color w:val="334155"/>
          <w:sz w:val="22"/>
        </w:rPr>
        <w:t>The web portal is built using Flask, using Flask-Login for secure session tracking and Bcrypt for password hashing. The database schema in models.py defines the User model:</w:t>
      </w:r>
    </w:p>
    <w:p>
      <w:pPr>
        <w:spacing w:after="120" w:before="120"/>
        <w:ind w:left="720"/>
      </w:pPr>
      <w:r>
        <w:rPr>
          <w:rFonts w:ascii="Courier New" w:hAnsi="Courier New"/>
          <w:b w:val="0"/>
          <w:i w:val="0"/>
          <w:color w:val="1E293B"/>
          <w:sz w:val="19"/>
        </w:rPr>
        <w:t>class User(db.Model, UserMixin):</w:t>
        <w:br/>
        <w:t xml:space="preserve">    id = db.Column(db.Integer, primary_key=True)</w:t>
        <w:br/>
        <w:t xml:space="preserve">    username = db.Column(db.String(80), unique=True, nullable=False)</w:t>
        <w:br/>
        <w:t xml:space="preserve">    email = db.Column(db.String(120), unique=True, nullable=False)</w:t>
        <w:br/>
        <w:t xml:space="preserve">    password_hash = db.Column(db.String(128), nullable=False)</w:t>
        <w:br/>
        <w:t xml:space="preserve">    receiver_email = db.Column(db.String(120), nullable=True)</w:t>
        <w:br/>
        <w:t xml:space="preserve">    author_name = db.Column(db.String(80), default='The Crazy Careers')</w:t>
        <w:br/>
        <w:t xml:space="preserve">    read_time = db.Column(db.String(20), default='5 min read')</w:t>
        <w:br/>
        <w:t xml:space="preserve">    publish_date = db.Column(db.String(20), default='Auto')</w:t>
        <w:br/>
        <w:t xml:space="preserve">    workflows_run = db.Column(db.Integer, default=0)</w:t>
      </w:r>
    </w:p>
    <w:p>
      <w:pPr>
        <w:spacing w:after="120" w:before="0" w:line="276" w:lineRule="auto"/>
        <w:jc w:val="left"/>
      </w:pPr>
      <w:r>
        <w:rPr>
          <w:rFonts w:ascii="Calibri" w:hAnsi="Calibri"/>
          <w:b w:val="0"/>
          <w:i w:val="0"/>
          <w:color w:val="334155"/>
          <w:sz w:val="22"/>
        </w:rPr>
        <w:t>Users configure their preferences directly in the dashboard interface. This allows individual team editors to customize the author byline, target reading time, or publish date metadata. Flask handles state mutations through secure AJAX POST routes protected by CSRF tokens.</w:t>
      </w:r>
    </w:p>
    <w:p>
      <w:pPr>
        <w:pStyle w:val="Heading2"/>
        <w:keepNext/>
        <w:spacing w:before="240" w:after="120"/>
      </w:pPr>
      <w:r>
        <w:rPr>
          <w:rFonts w:ascii="Calibri" w:hAnsi="Calibri"/>
          <w:b/>
          <w:i w:val="0"/>
          <w:color w:val="045CB4"/>
          <w:sz w:val="28"/>
        </w:rPr>
        <w:t>3.2 Trends Extraction &amp; Curation Services</w:t>
      </w:r>
    </w:p>
    <w:p>
      <w:pPr>
        <w:spacing w:after="120" w:before="0" w:line="276" w:lineRule="auto"/>
        <w:jc w:val="left"/>
      </w:pPr>
      <w:r>
        <w:rPr>
          <w:rFonts w:ascii="Calibri" w:hAnsi="Calibri"/>
          <w:b w:val="0"/>
          <w:i w:val="0"/>
          <w:color w:val="334155"/>
          <w:sz w:val="22"/>
        </w:rPr>
        <w:t>The trends_extractor.py module acts as the data retrieval layer. It tries to establish an API connection using trendspy to pull regional search volumes. Trendspy allows the application to query Google's internal category indices directly. The module extracts related search keywords and formats the numeric volume values. If Google blocks the API call or returns a rate limit, the module falls back to the standard XML Google Trends RSS feed via feedparser, extracting trending keywords without pre-classified categories.</w:t>
      </w:r>
    </w:p>
    <w:p>
      <w:pPr>
        <w:spacing w:after="120" w:before="0" w:line="276" w:lineRule="auto"/>
        <w:jc w:val="left"/>
      </w:pPr>
      <w:r>
        <w:rPr>
          <w:rFonts w:ascii="Calibri" w:hAnsi="Calibri"/>
          <w:b w:val="0"/>
          <w:i w:val="0"/>
          <w:color w:val="334155"/>
          <w:sz w:val="22"/>
        </w:rPr>
        <w:t>The llm_service.py module receives the trend list. It formats the list and directs a prompt to the Gemini API. The prompt mandates strict exclusion criteria: any trend matching politics, crime, sports, films, or celebrity gossip is discarded. The model selects the top 10 trends relevant to career guidance, drafts a 1-2 sentence contextual reason for why it is trending, and outputs a structured JSON array. To ensure the JSON structure is valid, the script disables thinking mode by setting thinking_budget=0 and uses regular expression fallbacks if parsing errors occur.</w:t>
      </w:r>
    </w:p>
    <w:p>
      <w:pPr>
        <w:pStyle w:val="Heading2"/>
        <w:keepNext/>
        <w:spacing w:before="240" w:after="120"/>
      </w:pPr>
      <w:r>
        <w:rPr>
          <w:rFonts w:ascii="Calibri" w:hAnsi="Calibri"/>
          <w:b/>
          <w:i w:val="0"/>
          <w:color w:val="045CB4"/>
          <w:sz w:val="28"/>
        </w:rPr>
        <w:t>3.3 Centralized Rate Limiting System (rate_limiter.py)</w:t>
      </w:r>
    </w:p>
    <w:p>
      <w:pPr>
        <w:spacing w:after="120" w:before="0" w:line="276" w:lineRule="auto"/>
        <w:jc w:val="left"/>
      </w:pPr>
      <w:r>
        <w:rPr>
          <w:rFonts w:ascii="Calibri" w:hAnsi="Calibri"/>
          <w:b w:val="0"/>
          <w:i w:val="0"/>
          <w:color w:val="334155"/>
          <w:sz w:val="22"/>
        </w:rPr>
        <w:t>To avoid 429 rate limit exceptions, especially on free API tiers, a centralized, thread-safe rate limiter is implemented as a singleton in rate_limiter.py. The class spaces requests out evenly to enforce requests-per-minute (RPM) and requests-per-day (RPD) quotas:</w:t>
      </w:r>
    </w:p>
    <w:p>
      <w:pPr>
        <w:ind w:left="720"/>
      </w:pPr>
      <w:r>
        <w:rPr>
          <w:rFonts w:ascii="Courier New" w:hAnsi="Courier New"/>
          <w:b w:val="0"/>
          <w:i w:val="0"/>
          <w:color w:val="1E293B"/>
          <w:sz w:val="19"/>
        </w:rPr>
        <w:t>class GeminiRateLimiter:</w:t>
        <w:br/>
        <w:t xml:space="preserve">    def __init__(self, rpm=None):</w:t>
        <w:br/>
        <w:t xml:space="preserve">        self.rpm = rpm or int(os.getenv("GEMINI_RPM", "15"))</w:t>
        <w:br/>
        <w:t xml:space="preserve">        self.min_spacing = 60.0 / self.rpm</w:t>
        <w:br/>
        <w:t xml:space="preserve">        self._lock = threading.Lock()</w:t>
        <w:br/>
        <w:t xml:space="preserve">        self._last_request_time = 0.0</w:t>
      </w:r>
    </w:p>
    <w:p>
      <w:pPr>
        <w:spacing w:after="120" w:before="0" w:line="276" w:lineRule="auto"/>
        <w:jc w:val="left"/>
      </w:pPr>
      <w:r>
        <w:rPr>
          <w:rFonts w:ascii="Calibri" w:hAnsi="Calibri"/>
          <w:b w:val="0"/>
          <w:i w:val="0"/>
          <w:color w:val="334155"/>
          <w:sz w:val="22"/>
        </w:rPr>
        <w:t>Both the trend extraction curation service and the background pipeline clients call wait_for_slot() prior to making any API call. The function calculates the difference since the last request and blocks execution if the minimum spacing window has not passed. This prevents sudden request spikes.</w:t>
      </w:r>
    </w:p>
    <w:p>
      <w:pPr>
        <w:pStyle w:val="Heading2"/>
        <w:keepNext/>
        <w:spacing w:before="240" w:after="120"/>
      </w:pPr>
      <w:r>
        <w:rPr>
          <w:rFonts w:ascii="Calibri" w:hAnsi="Calibri"/>
          <w:b/>
          <w:i w:val="0"/>
          <w:color w:val="045CB4"/>
          <w:sz w:val="28"/>
        </w:rPr>
        <w:t>3.4 Orchestration Runner Engine (runner.py)</w:t>
      </w:r>
    </w:p>
    <w:p>
      <w:pPr>
        <w:spacing w:after="120" w:before="0" w:line="276" w:lineRule="auto"/>
        <w:jc w:val="left"/>
      </w:pPr>
      <w:r>
        <w:rPr>
          <w:rFonts w:ascii="Calibri" w:hAnsi="Calibri"/>
          <w:b w:val="0"/>
          <w:i w:val="0"/>
          <w:color w:val="334155"/>
          <w:sz w:val="22"/>
        </w:rPr>
        <w:t>The pipeline/runner.py file is the central driver for content generation. When executed, it chains the five steps sequentially. It manages state transitions and communicates progress back to the user interface by invoking update_step(), complete_job(), and fail_job() methods on the thread-safe status tracking model. The runner captures detailed stack traces on failure, records the step at which the error occurred, and generates a structured email notification displaying the error context. It also saves a backup copy of the final HTML output locally in the output/ directory to protect against email server failures.</w:t>
      </w:r>
    </w:p>
    <w:p>
      <w:pPr>
        <w:pStyle w:val="Heading2"/>
        <w:keepNext/>
        <w:spacing w:before="240" w:after="120"/>
      </w:pPr>
      <w:r>
        <w:rPr>
          <w:rFonts w:ascii="Calibri" w:hAnsi="Calibri"/>
          <w:b/>
          <w:i w:val="0"/>
          <w:color w:val="045CB4"/>
          <w:sz w:val="28"/>
        </w:rPr>
        <w:t>3.5 API Communications &amp; Client Wrappers</w:t>
      </w:r>
    </w:p>
    <w:p>
      <w:pPr>
        <w:spacing w:after="120" w:before="0" w:line="276" w:lineRule="auto"/>
        <w:jc w:val="left"/>
      </w:pPr>
      <w:r>
        <w:rPr>
          <w:rFonts w:ascii="Calibri" w:hAnsi="Calibri"/>
          <w:b w:val="0"/>
          <w:i w:val="0"/>
          <w:color w:val="334155"/>
          <w:sz w:val="22"/>
        </w:rPr>
        <w:t>API communications are split between pipeline/gemini_client.py and pipeline/groq_client.py. Each client implements robust error handling and exponential backoff retry mechanisms. The clients search for '503', '429', 'RESOURCE_EXHAUSTED', and 'UNAVAILABLE' status codes within the returned exceptions. Upon catching a rate limit warning, they parse the retry delay requested by the server using regular expressions. If no explicit delay is provided, they apply exponential backoff (doubling wait times, capped at 60 seconds) to retry the request up to five times before raising a final exception.</w:t>
      </w:r>
    </w:p>
    <w:p>
      <w:pPr>
        <w:pStyle w:val="Heading2"/>
        <w:keepNext/>
        <w:spacing w:before="240" w:after="120"/>
      </w:pPr>
      <w:r>
        <w:rPr>
          <w:rFonts w:ascii="Calibri" w:hAnsi="Calibri"/>
          <w:b/>
          <w:i w:val="0"/>
          <w:color w:val="045CB4"/>
          <w:sz w:val="28"/>
        </w:rPr>
        <w:t>3.6 Grounding Context and News Aggregation</w:t>
      </w:r>
    </w:p>
    <w:p>
      <w:pPr>
        <w:spacing w:after="120" w:before="0" w:line="276" w:lineRule="auto"/>
        <w:jc w:val="left"/>
      </w:pPr>
      <w:r>
        <w:rPr>
          <w:rFonts w:ascii="Calibri" w:hAnsi="Calibri"/>
          <w:b w:val="0"/>
          <w:i w:val="0"/>
          <w:color w:val="334155"/>
          <w:sz w:val="22"/>
        </w:rPr>
        <w:t>In services/news_service.py, the system integrates a grounding context retrieval step. Before generating the full article (Step 4), it queries Google News via RSS using the trending keyword. It parses the RSS XML data and extracts the top 5 relevant headlines along with their source URLs. This contextual data is injected directly into the Step 4 prompt. Grounding the LLM with real-time news data ensures that the resulting article contains correct, up-to-date details for the current year, mitigating potential model hallucinations.</w:t>
      </w:r>
    </w:p>
    <w:p>
      <w:pPr>
        <w:pStyle w:val="Heading2"/>
        <w:keepNext/>
        <w:spacing w:before="240" w:after="120"/>
      </w:pPr>
      <w:r>
        <w:rPr>
          <w:rFonts w:ascii="Calibri" w:hAnsi="Calibri"/>
          <w:b/>
          <w:i w:val="0"/>
          <w:color w:val="045CB4"/>
          <w:sz w:val="28"/>
        </w:rPr>
        <w:t>3.7 Secure Delivery &amp; Attachment System</w:t>
      </w:r>
    </w:p>
    <w:p>
      <w:pPr>
        <w:spacing w:after="120" w:before="0" w:line="276" w:lineRule="auto"/>
        <w:jc w:val="left"/>
      </w:pPr>
      <w:r>
        <w:rPr>
          <w:rFonts w:ascii="Calibri" w:hAnsi="Calibri"/>
          <w:b w:val="0"/>
          <w:i w:val="0"/>
          <w:color w:val="334155"/>
          <w:sz w:val="22"/>
        </w:rPr>
        <w:t>Emails are dispatched via services/email_service.py using standard SMTP. Trends alerts are constructed as multipart HTML emails. The email templates are styled with CSS gradients, rounded corners, and clear layout separation. Crucially, the final generated article is packaged and sent as a downloadable, standalone .html file attachment (using send_html_file_email) instead of being embedded in the message body. This prevents email clients from clipping long emails, avoids rendering issues with complex inline styles, and makes it easy for the editorial team to save or preview the article directly in a browser.</w:t>
      </w:r>
    </w:p>
    <w:p>
      <w:pPr>
        <w:pStyle w:val="Heading1"/>
        <w:keepNext/>
        <w:spacing w:before="240" w:after="120"/>
      </w:pPr>
      <w:r>
        <w:rPr>
          <w:rFonts w:ascii="Calibri" w:hAnsi="Calibri"/>
          <w:b/>
          <w:i w:val="0"/>
          <w:color w:val="046BD2"/>
          <w:sz w:val="36"/>
        </w:rPr>
        <w:t>4. Detailed Prompt Design &amp; The 5-Step Pipeline</w:t>
      </w:r>
    </w:p>
    <w:p>
      <w:pPr>
        <w:spacing w:after="120" w:before="0" w:line="276" w:lineRule="auto"/>
        <w:jc w:val="left"/>
      </w:pPr>
      <w:r>
        <w:rPr>
          <w:rFonts w:ascii="Calibri" w:hAnsi="Calibri"/>
          <w:b w:val="0"/>
          <w:i w:val="0"/>
          <w:color w:val="334155"/>
          <w:sz w:val="22"/>
        </w:rPr>
        <w:t>A core asset of the TTS system is the structured prompt chains. Every prompt contains TCC's MASTER_PERSONA as a system instruction, enforcing an expert career counselor voice, target audience focus (Indian students/young professionals), and niche restrictions (career development, startups, future skills, excluding generic viral news).</w:t>
      </w:r>
    </w:p>
    <w:p>
      <w:pPr>
        <w:pStyle w:val="Heading2"/>
        <w:keepNext/>
        <w:spacing w:before="240" w:after="120"/>
      </w:pPr>
      <w:r>
        <w:rPr>
          <w:rFonts w:ascii="Calibri" w:hAnsi="Calibri"/>
          <w:b/>
          <w:i w:val="0"/>
          <w:color w:val="045CB4"/>
          <w:sz w:val="28"/>
        </w:rPr>
        <w:t>Step 1: Keyword Research (Groq / llama-3.1-8b-instant)</w:t>
      </w:r>
    </w:p>
    <w:p>
      <w:pPr>
        <w:spacing w:after="120" w:before="0" w:line="276" w:lineRule="auto"/>
        <w:jc w:val="left"/>
      </w:pPr>
      <w:r>
        <w:rPr>
          <w:rFonts w:ascii="Calibri" w:hAnsi="Calibri"/>
          <w:b w:val="0"/>
          <w:i w:val="0"/>
          <w:color w:val="334155"/>
          <w:sz w:val="22"/>
        </w:rPr>
        <w:t>Inputs: Trending Topic keyword.</w:t>
        <w:br/>
        <w:t>Objective: Categorize keywords into search intent buckets and identify optimization targets.</w:t>
        <w:br/>
        <w:t>Execution: The prompt instructs the model to pull the top 20 keywords associated with the topic in India and sort them into three buckets: Navigation/Transactional (Bucket A), Year-stamped (Bucket B), and Ownable Gold (Bucket C). Bucket C contains informational and decision-stage keywords, from which the model recommends one primary keyword, 3-5 secondary keywords, and questions for the FAQ section.</w:t>
      </w:r>
    </w:p>
    <w:p>
      <w:pPr>
        <w:pStyle w:val="Heading2"/>
        <w:keepNext/>
        <w:spacing w:before="240" w:after="120"/>
      </w:pPr>
      <w:r>
        <w:rPr>
          <w:rFonts w:ascii="Calibri" w:hAnsi="Calibri"/>
          <w:b/>
          <w:i w:val="0"/>
          <w:color w:val="045CB4"/>
          <w:sz w:val="28"/>
        </w:rPr>
        <w:t>Step 2: SERP &amp; Competitor Analysis (Groq / llama-3.1-8b-instant)</w:t>
      </w:r>
    </w:p>
    <w:p>
      <w:pPr>
        <w:spacing w:after="120" w:before="0" w:line="276" w:lineRule="auto"/>
        <w:jc w:val="left"/>
      </w:pPr>
      <w:r>
        <w:rPr>
          <w:rFonts w:ascii="Calibri" w:hAnsi="Calibri"/>
          <w:b w:val="0"/>
          <w:i w:val="0"/>
          <w:color w:val="334155"/>
          <w:sz w:val="22"/>
        </w:rPr>
        <w:t>Inputs: Keywords from Step 1.</w:t>
        <w:br/>
        <w:t>Objective: Outline the competitor layout and identify organic search gaps.</w:t>
        <w:br/>
        <w:t>Execution: The prompt directs the model to analyze search engine results. Competitors are classified into Tier 1 (authoritative government portals, which should not be targeted), Tier 2 (coaching and edtech brands, analyzed for depth), and Tier 3 (smaller peer sites, targeted for ranking). The model flags search gaps, such as Quora/Reddit threads, weak domains ranking high, or video content opportunities, and provides a strategy to outrank peer competitors.</w:t>
      </w:r>
    </w:p>
    <w:p>
      <w:pPr>
        <w:pStyle w:val="Heading2"/>
        <w:keepNext/>
        <w:spacing w:before="240" w:after="120"/>
      </w:pPr>
      <w:r>
        <w:rPr>
          <w:rFonts w:ascii="Calibri" w:hAnsi="Calibri"/>
          <w:b/>
          <w:i w:val="0"/>
          <w:color w:val="045CB4"/>
          <w:sz w:val="28"/>
        </w:rPr>
        <w:t>Step 3: Content Outline (Groq / llama-3.1-8b-instant)</w:t>
      </w:r>
    </w:p>
    <w:p>
      <w:pPr>
        <w:spacing w:after="120" w:before="0" w:line="276" w:lineRule="auto"/>
        <w:jc w:val="left"/>
      </w:pPr>
      <w:r>
        <w:rPr>
          <w:rFonts w:ascii="Calibri" w:hAnsi="Calibri"/>
          <w:b w:val="0"/>
          <w:i w:val="0"/>
          <w:color w:val="334155"/>
          <w:sz w:val="22"/>
        </w:rPr>
        <w:t>Inputs: Step 1 Keywords and Step 2 SERP Analysis.</w:t>
        <w:br/>
        <w:t>Objective: Build a structural page map optimized for SEO.</w:t>
        <w:br/>
        <w:t>Execution: The model defines metadata, including the SEO page title, an evergreen URL slug (without a year), a meta description (max 155 characters), and the search intent. It outlines the H2/H3 section structure, specifying word counts, target keywords, content requirements, and semantic outline details.</w:t>
      </w:r>
    </w:p>
    <w:p>
      <w:pPr>
        <w:pStyle w:val="Heading2"/>
        <w:keepNext/>
        <w:spacing w:before="240" w:after="120"/>
      </w:pPr>
      <w:r>
        <w:rPr>
          <w:rFonts w:ascii="Calibri" w:hAnsi="Calibri"/>
          <w:b/>
          <w:i w:val="0"/>
          <w:color w:val="045CB4"/>
          <w:sz w:val="28"/>
        </w:rPr>
        <w:t>Step 4: Full Article + FAQ + Schema (Groq / llama-3.3-70b-versatile)</w:t>
      </w:r>
    </w:p>
    <w:p>
      <w:pPr>
        <w:spacing w:after="120" w:before="0" w:line="276" w:lineRule="auto"/>
        <w:jc w:val="left"/>
      </w:pPr>
      <w:r>
        <w:rPr>
          <w:rFonts w:ascii="Calibri" w:hAnsi="Calibri"/>
          <w:b w:val="0"/>
          <w:i w:val="0"/>
          <w:color w:val="334155"/>
          <w:sz w:val="22"/>
        </w:rPr>
        <w:t>Inputs: Content Outline from Step 3 and news context from Google News.</w:t>
        <w:br/>
        <w:t>Objective: Write the final long-form article in markdown.</w:t>
        <w:br/>
        <w:t>Execution: The model drafts a comprehensive article. The prompt enforces writing guidelines: a career counselor tone, active voice, short sentences, and the exclusion of filler words (e.g., 'In today's world'). The model places the primary keyword in the first 100 words and naturally integrates secondary keywords. It also includes 8-10 featured-snippet-ready FAQs and generates JSON-LD FAQPage and Article schemas.</w:t>
      </w:r>
    </w:p>
    <w:p>
      <w:pPr>
        <w:pStyle w:val="Heading2"/>
        <w:keepNext/>
        <w:spacing w:before="240" w:after="120"/>
      </w:pPr>
      <w:r>
        <w:rPr>
          <w:rFonts w:ascii="Calibri" w:hAnsi="Calibri"/>
          <w:b/>
          <w:i w:val="0"/>
          <w:color w:val="045CB4"/>
          <w:sz w:val="28"/>
        </w:rPr>
        <w:t>Step 5: Styled HTML for Elementor (Groq / llama-3.3-70b-versatile)</w:t>
      </w:r>
    </w:p>
    <w:p>
      <w:pPr>
        <w:spacing w:after="120" w:before="0" w:line="276" w:lineRule="auto"/>
        <w:jc w:val="left"/>
      </w:pPr>
      <w:r>
        <w:rPr>
          <w:rFonts w:ascii="Calibri" w:hAnsi="Calibri"/>
          <w:b w:val="0"/>
          <w:i w:val="0"/>
          <w:color w:val="334155"/>
          <w:sz w:val="22"/>
        </w:rPr>
        <w:t>Inputs: Markdown article block from Step 4.</w:t>
        <w:br/>
        <w:t>Objective: Format and style the article as clean HTML with inline CSS.</w:t>
        <w:br/>
        <w:t>Execution: The model compiles the markdown draft into clean HTML, embedding styles directly within a &lt;style&gt; block at the top. The output strictly uses TCC's brand color system, utilizing primary blue (#046bd2), dark blue (#045cb4), body slate (#334155), heading dark slate (#1e293b), and pink accents (#f542b0). Required elements include a gradient hero banner, category badges, author chips, a two-column Table of Contents grid, key metric strips, styled info boxes (info/warning/tip), comparison tables, and interactive FAQ accordions.</w:t>
      </w:r>
    </w:p>
    <w:p>
      <w:pPr>
        <w:pStyle w:val="Heading1"/>
        <w:keepNext/>
        <w:spacing w:before="240" w:after="120"/>
      </w:pPr>
      <w:r>
        <w:rPr>
          <w:rFonts w:ascii="Calibri" w:hAnsi="Calibri"/>
          <w:b/>
          <w:i w:val="0"/>
          <w:color w:val="046BD2"/>
          <w:sz w:val="36"/>
        </w:rPr>
        <w:t>5. Configuration, Variables, and Setup Guide</w:t>
      </w:r>
    </w:p>
    <w:p>
      <w:pPr>
        <w:spacing w:after="120" w:before="0" w:line="276" w:lineRule="auto"/>
        <w:jc w:val="left"/>
      </w:pPr>
      <w:r>
        <w:rPr>
          <w:rFonts w:ascii="Calibri" w:hAnsi="Calibri"/>
          <w:b w:val="0"/>
          <w:i w:val="0"/>
          <w:color w:val="334155"/>
          <w:sz w:val="22"/>
        </w:rPr>
        <w:t>The system requires a .env file located at the project root directory. Below is a detailed listing of the required environment configuration variables: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i w:val="0"/>
                <w:color w:val="046BD2"/>
                <w:sz w:val="22"/>
              </w:rPr>
              <w:t>Environment Key</w:t>
            </w:r>
          </w:p>
        </w:tc>
        <w:tc>
          <w:tcPr>
            <w:tcW w:type="dxa" w:w="2880"/>
          </w:tcPr>
          <w:p>
            <w:r>
              <w:rPr>
                <w:rFonts w:ascii="Calibri" w:hAnsi="Calibri"/>
                <w:b/>
                <w:i w:val="0"/>
                <w:color w:val="046BD2"/>
                <w:sz w:val="22"/>
              </w:rPr>
              <w:t>Configuration Value / Example</w:t>
            </w:r>
          </w:p>
        </w:tc>
        <w:tc>
          <w:tcPr>
            <w:tcW w:type="dxa" w:w="2880"/>
          </w:tcPr>
          <w:p>
            <w:r>
              <w:rPr>
                <w:rFonts w:ascii="Calibri" w:hAnsi="Calibri"/>
                <w:b/>
                <w:i w:val="0"/>
                <w:color w:val="046BD2"/>
                <w:sz w:val="22"/>
              </w:rPr>
              <w:t>Role &amp; Importance</w:t>
            </w:r>
          </w:p>
        </w:tc>
      </w:tr>
      <w:tr>
        <w:tc>
          <w:tcPr>
            <w:tcW w:type="dxa" w:w="2880"/>
          </w:tcPr>
          <w:p>
            <w:pPr>
              <w:spacing w:after="40"/>
            </w:pPr>
            <w:r>
              <w:rPr>
                <w:rFonts w:ascii="Calibri" w:hAnsi="Calibri"/>
                <w:b w:val="0"/>
                <w:i w:val="0"/>
                <w:color w:val="334155"/>
                <w:sz w:val="19"/>
              </w:rPr>
              <w:t>SECRET_KEY</w:t>
            </w:r>
          </w:p>
        </w:tc>
        <w:tc>
          <w:tcPr>
            <w:tcW w:type="dxa" w:w="2880"/>
          </w:tcPr>
          <w:p>
            <w:pPr>
              <w:spacing w:after="40"/>
            </w:pPr>
            <w:r>
              <w:rPr>
                <w:rFonts w:ascii="Calibri" w:hAnsi="Calibri"/>
                <w:b w:val="0"/>
                <w:i w:val="0"/>
                <w:color w:val="334155"/>
                <w:sz w:val="19"/>
              </w:rPr>
              <w:t>64-character random hex string</w:t>
            </w:r>
          </w:p>
        </w:tc>
        <w:tc>
          <w:tcPr>
            <w:tcW w:type="dxa" w:w="2880"/>
          </w:tcPr>
          <w:p>
            <w:pPr>
              <w:spacing w:after="40"/>
            </w:pPr>
            <w:r>
              <w:rPr>
                <w:rFonts w:ascii="Calibri" w:hAnsi="Calibri"/>
                <w:b w:val="0"/>
                <w:i w:val="0"/>
                <w:color w:val="334155"/>
                <w:sz w:val="19"/>
              </w:rPr>
              <w:t>Crucial security key used by Flask to encrypt session cookies and sign CSRF tokens. Must crash the app if missing.</w:t>
            </w:r>
          </w:p>
        </w:tc>
      </w:tr>
      <w:tr>
        <w:tc>
          <w:tcPr>
            <w:tcW w:type="dxa" w:w="2880"/>
          </w:tcPr>
          <w:p>
            <w:pPr>
              <w:spacing w:after="40"/>
            </w:pPr>
            <w:r>
              <w:rPr>
                <w:rFonts w:ascii="Calibri" w:hAnsi="Calibri"/>
                <w:b w:val="0"/>
                <w:i w:val="0"/>
                <w:color w:val="334155"/>
                <w:sz w:val="19"/>
              </w:rPr>
              <w:t>DATABASE_URL</w:t>
            </w:r>
          </w:p>
        </w:tc>
        <w:tc>
          <w:tcPr>
            <w:tcW w:type="dxa" w:w="2880"/>
          </w:tcPr>
          <w:p>
            <w:pPr>
              <w:spacing w:after="40"/>
            </w:pPr>
            <w:r>
              <w:rPr>
                <w:rFonts w:ascii="Calibri" w:hAnsi="Calibri"/>
                <w:b w:val="0"/>
                <w:i w:val="0"/>
                <w:color w:val="334155"/>
                <w:sz w:val="19"/>
              </w:rPr>
              <w:t>sqlite:///trendtoscript.db</w:t>
            </w:r>
          </w:p>
        </w:tc>
        <w:tc>
          <w:tcPr>
            <w:tcW w:type="dxa" w:w="2880"/>
          </w:tcPr>
          <w:p>
            <w:pPr>
              <w:spacing w:after="40"/>
            </w:pPr>
            <w:r>
              <w:rPr>
                <w:rFonts w:ascii="Calibri" w:hAnsi="Calibri"/>
                <w:b w:val="0"/>
                <w:i w:val="0"/>
                <w:color w:val="334155"/>
                <w:sz w:val="19"/>
              </w:rPr>
              <w:t>Defines the database connection URI. Defaults to SQLite for local development.</w:t>
            </w:r>
          </w:p>
        </w:tc>
      </w:tr>
      <w:tr>
        <w:tc>
          <w:tcPr>
            <w:tcW w:type="dxa" w:w="2880"/>
          </w:tcPr>
          <w:p>
            <w:pPr>
              <w:spacing w:after="40"/>
            </w:pPr>
            <w:r>
              <w:rPr>
                <w:rFonts w:ascii="Calibri" w:hAnsi="Calibri"/>
                <w:b w:val="0"/>
                <w:i w:val="0"/>
                <w:color w:val="334155"/>
                <w:sz w:val="19"/>
              </w:rPr>
              <w:t>GEMINI_API_KEY</w:t>
            </w:r>
          </w:p>
        </w:tc>
        <w:tc>
          <w:tcPr>
            <w:tcW w:type="dxa" w:w="2880"/>
          </w:tcPr>
          <w:p>
            <w:pPr>
              <w:spacing w:after="40"/>
            </w:pPr>
            <w:r>
              <w:rPr>
                <w:rFonts w:ascii="Calibri" w:hAnsi="Calibri"/>
                <w:b w:val="0"/>
                <w:i w:val="0"/>
                <w:color w:val="334155"/>
                <w:sz w:val="19"/>
              </w:rPr>
              <w:t>AIzaSy...</w:t>
            </w:r>
          </w:p>
        </w:tc>
        <w:tc>
          <w:tcPr>
            <w:tcW w:type="dxa" w:w="2880"/>
          </w:tcPr>
          <w:p>
            <w:pPr>
              <w:spacing w:after="40"/>
            </w:pPr>
            <w:r>
              <w:rPr>
                <w:rFonts w:ascii="Calibri" w:hAnsi="Calibri"/>
                <w:b w:val="0"/>
                <w:i w:val="0"/>
                <w:color w:val="334155"/>
                <w:sz w:val="19"/>
              </w:rPr>
              <w:t>API key used to authenticate with Google Gemini API for curation tasks.</w:t>
            </w:r>
          </w:p>
        </w:tc>
      </w:tr>
      <w:tr>
        <w:tc>
          <w:tcPr>
            <w:tcW w:type="dxa" w:w="2880"/>
          </w:tcPr>
          <w:p>
            <w:pPr>
              <w:spacing w:after="40"/>
            </w:pPr>
            <w:r>
              <w:rPr>
                <w:rFonts w:ascii="Calibri" w:hAnsi="Calibri"/>
                <w:b w:val="0"/>
                <w:i w:val="0"/>
                <w:color w:val="334155"/>
                <w:sz w:val="19"/>
              </w:rPr>
              <w:t>GROQ_API_KEY</w:t>
            </w:r>
          </w:p>
        </w:tc>
        <w:tc>
          <w:tcPr>
            <w:tcW w:type="dxa" w:w="2880"/>
          </w:tcPr>
          <w:p>
            <w:pPr>
              <w:spacing w:after="40"/>
            </w:pPr>
            <w:r>
              <w:rPr>
                <w:rFonts w:ascii="Calibri" w:hAnsi="Calibri"/>
                <w:b w:val="0"/>
                <w:i w:val="0"/>
                <w:color w:val="334155"/>
                <w:sz w:val="19"/>
              </w:rPr>
              <w:t>gsk_...</w:t>
            </w:r>
          </w:p>
        </w:tc>
        <w:tc>
          <w:tcPr>
            <w:tcW w:type="dxa" w:w="2880"/>
          </w:tcPr>
          <w:p>
            <w:pPr>
              <w:spacing w:after="40"/>
            </w:pPr>
            <w:r>
              <w:rPr>
                <w:rFonts w:ascii="Calibri" w:hAnsi="Calibri"/>
                <w:b w:val="0"/>
                <w:i w:val="0"/>
                <w:color w:val="334155"/>
                <w:sz w:val="19"/>
              </w:rPr>
              <w:t>API key used to authenticate with Groq Cloud API for pipeline execution.</w:t>
            </w:r>
          </w:p>
        </w:tc>
      </w:tr>
      <w:tr>
        <w:tc>
          <w:tcPr>
            <w:tcW w:type="dxa" w:w="2880"/>
          </w:tcPr>
          <w:p>
            <w:pPr>
              <w:spacing w:after="40"/>
            </w:pPr>
            <w:r>
              <w:rPr>
                <w:rFonts w:ascii="Calibri" w:hAnsi="Calibri"/>
                <w:b w:val="0"/>
                <w:i w:val="0"/>
                <w:color w:val="334155"/>
                <w:sz w:val="19"/>
              </w:rPr>
              <w:t>SENDER_EMAIL</w:t>
            </w:r>
          </w:p>
        </w:tc>
        <w:tc>
          <w:tcPr>
            <w:tcW w:type="dxa" w:w="2880"/>
          </w:tcPr>
          <w:p>
            <w:pPr>
              <w:spacing w:after="40"/>
            </w:pPr>
            <w:r>
              <w:rPr>
                <w:rFonts w:ascii="Calibri" w:hAnsi="Calibri"/>
                <w:b w:val="0"/>
                <w:i w:val="0"/>
                <w:color w:val="334155"/>
                <w:sz w:val="19"/>
              </w:rPr>
              <w:t>notifications@thecrazycareers.com</w:t>
            </w:r>
          </w:p>
        </w:tc>
        <w:tc>
          <w:tcPr>
            <w:tcW w:type="dxa" w:w="2880"/>
          </w:tcPr>
          <w:p>
            <w:pPr>
              <w:spacing w:after="40"/>
            </w:pPr>
            <w:r>
              <w:rPr>
                <w:rFonts w:ascii="Calibri" w:hAnsi="Calibri"/>
                <w:b w:val="0"/>
                <w:i w:val="0"/>
                <w:color w:val="334155"/>
                <w:sz w:val="19"/>
              </w:rPr>
              <w:t>The SMTP email address from which trends and articles are dispatched.</w:t>
            </w:r>
          </w:p>
        </w:tc>
      </w:tr>
      <w:tr>
        <w:tc>
          <w:tcPr>
            <w:tcW w:type="dxa" w:w="2880"/>
          </w:tcPr>
          <w:p>
            <w:pPr>
              <w:spacing w:after="40"/>
            </w:pPr>
            <w:r>
              <w:rPr>
                <w:rFonts w:ascii="Calibri" w:hAnsi="Calibri"/>
                <w:b w:val="0"/>
                <w:i w:val="0"/>
                <w:color w:val="334155"/>
                <w:sz w:val="19"/>
              </w:rPr>
              <w:t>SENDER_PASSWORD</w:t>
            </w:r>
          </w:p>
        </w:tc>
        <w:tc>
          <w:tcPr>
            <w:tcW w:type="dxa" w:w="2880"/>
          </w:tcPr>
          <w:p>
            <w:pPr>
              <w:spacing w:after="40"/>
            </w:pPr>
            <w:r>
              <w:rPr>
                <w:rFonts w:ascii="Calibri" w:hAnsi="Calibri"/>
                <w:b w:val="0"/>
                <w:i w:val="0"/>
                <w:color w:val="334155"/>
                <w:sz w:val="19"/>
              </w:rPr>
              <w:t>smtp_password_here</w:t>
            </w:r>
          </w:p>
        </w:tc>
        <w:tc>
          <w:tcPr>
            <w:tcW w:type="dxa" w:w="2880"/>
          </w:tcPr>
          <w:p>
            <w:pPr>
              <w:spacing w:after="40"/>
            </w:pPr>
            <w:r>
              <w:rPr>
                <w:rFonts w:ascii="Calibri" w:hAnsi="Calibri"/>
                <w:b w:val="0"/>
                <w:i w:val="0"/>
                <w:color w:val="334155"/>
                <w:sz w:val="19"/>
              </w:rPr>
              <w:t>SMTP authentication password or application password.</w:t>
            </w:r>
          </w:p>
        </w:tc>
      </w:tr>
      <w:tr>
        <w:tc>
          <w:tcPr>
            <w:tcW w:type="dxa" w:w="2880"/>
          </w:tcPr>
          <w:p>
            <w:pPr>
              <w:spacing w:after="40"/>
            </w:pPr>
            <w:r>
              <w:rPr>
                <w:rFonts w:ascii="Calibri" w:hAnsi="Calibri"/>
                <w:b w:val="0"/>
                <w:i w:val="0"/>
                <w:color w:val="334155"/>
                <w:sz w:val="19"/>
              </w:rPr>
              <w:t>RECEIVER_EMAIL</w:t>
            </w:r>
          </w:p>
        </w:tc>
        <w:tc>
          <w:tcPr>
            <w:tcW w:type="dxa" w:w="2880"/>
          </w:tcPr>
          <w:p>
            <w:pPr>
              <w:spacing w:after="40"/>
            </w:pPr>
            <w:r>
              <w:rPr>
                <w:rFonts w:ascii="Calibri" w:hAnsi="Calibri"/>
                <w:b w:val="0"/>
                <w:i w:val="0"/>
                <w:color w:val="334155"/>
                <w:sz w:val="19"/>
              </w:rPr>
              <w:t>aman@thecrazycareers.com</w:t>
            </w:r>
          </w:p>
        </w:tc>
        <w:tc>
          <w:tcPr>
            <w:tcW w:type="dxa" w:w="2880"/>
          </w:tcPr>
          <w:p>
            <w:pPr>
              <w:spacing w:after="40"/>
            </w:pPr>
            <w:r>
              <w:rPr>
                <w:rFonts w:ascii="Calibri" w:hAnsi="Calibri"/>
                <w:b w:val="0"/>
                <w:i w:val="0"/>
                <w:color w:val="334155"/>
                <w:sz w:val="19"/>
              </w:rPr>
              <w:t>Fallback destination email address if the current user has not configured a receiver email.</w:t>
            </w:r>
          </w:p>
        </w:tc>
      </w:tr>
      <w:tr>
        <w:tc>
          <w:tcPr>
            <w:tcW w:type="dxa" w:w="2880"/>
          </w:tcPr>
          <w:p>
            <w:pPr>
              <w:spacing w:after="40"/>
            </w:pPr>
            <w:r>
              <w:rPr>
                <w:rFonts w:ascii="Calibri" w:hAnsi="Calibri"/>
                <w:b w:val="0"/>
                <w:i w:val="0"/>
                <w:color w:val="334155"/>
                <w:sz w:val="19"/>
              </w:rPr>
              <w:t>GEMINI_RPM</w:t>
            </w:r>
          </w:p>
        </w:tc>
        <w:tc>
          <w:tcPr>
            <w:tcW w:type="dxa" w:w="2880"/>
          </w:tcPr>
          <w:p>
            <w:pPr>
              <w:spacing w:after="40"/>
            </w:pPr>
            <w:r>
              <w:rPr>
                <w:rFonts w:ascii="Calibri" w:hAnsi="Calibri"/>
                <w:b w:val="0"/>
                <w:i w:val="0"/>
                <w:color w:val="334155"/>
                <w:sz w:val="19"/>
              </w:rPr>
              <w:t>15</w:t>
            </w:r>
          </w:p>
        </w:tc>
        <w:tc>
          <w:tcPr>
            <w:tcW w:type="dxa" w:w="2880"/>
          </w:tcPr>
          <w:p>
            <w:pPr>
              <w:spacing w:after="40"/>
            </w:pPr>
            <w:r>
              <w:rPr>
                <w:rFonts w:ascii="Calibri" w:hAnsi="Calibri"/>
                <w:b w:val="0"/>
                <w:i w:val="0"/>
                <w:color w:val="334155"/>
                <w:sz w:val="19"/>
              </w:rPr>
              <w:t>Strict rate limit spacing parameter (requests per minute).</w:t>
            </w:r>
          </w:p>
        </w:tc>
      </w:tr>
      <w:tr>
        <w:tc>
          <w:tcPr>
            <w:tcW w:type="dxa" w:w="2880"/>
          </w:tcPr>
          <w:p>
            <w:pPr>
              <w:spacing w:after="40"/>
            </w:pPr>
            <w:r>
              <w:rPr>
                <w:rFonts w:ascii="Calibri" w:hAnsi="Calibri"/>
                <w:b w:val="0"/>
                <w:i w:val="0"/>
                <w:color w:val="334155"/>
                <w:sz w:val="19"/>
              </w:rPr>
              <w:t>PORT</w:t>
            </w:r>
          </w:p>
        </w:tc>
        <w:tc>
          <w:tcPr>
            <w:tcW w:type="dxa" w:w="2880"/>
          </w:tcPr>
          <w:p>
            <w:pPr>
              <w:spacing w:after="40"/>
            </w:pPr>
            <w:r>
              <w:rPr>
                <w:rFonts w:ascii="Calibri" w:hAnsi="Calibri"/>
                <w:b w:val="0"/>
                <w:i w:val="0"/>
                <w:color w:val="334155"/>
                <w:sz w:val="19"/>
              </w:rPr>
              <w:t>5000</w:t>
            </w:r>
          </w:p>
        </w:tc>
        <w:tc>
          <w:tcPr>
            <w:tcW w:type="dxa" w:w="2880"/>
          </w:tcPr>
          <w:p>
            <w:pPr>
              <w:spacing w:after="40"/>
            </w:pPr>
            <w:r>
              <w:rPr>
                <w:rFonts w:ascii="Calibri" w:hAnsi="Calibri"/>
                <w:b w:val="0"/>
                <w:i w:val="0"/>
                <w:color w:val="334155"/>
                <w:sz w:val="19"/>
              </w:rPr>
              <w:t>The network port on which the Flask server runs.</w:t>
            </w:r>
          </w:p>
        </w:tc>
      </w:tr>
    </w:tbl>
    <w:p>
      <w:pPr>
        <w:spacing w:after="120" w:before="240" w:line="276" w:lineRule="auto"/>
        <w:jc w:val="left"/>
      </w:pPr>
    </w:p>
    <w:p>
      <w:pPr>
        <w:pStyle w:val="Heading2"/>
        <w:keepNext/>
        <w:spacing w:before="240" w:after="120"/>
      </w:pPr>
      <w:r>
        <w:rPr>
          <w:rFonts w:ascii="Calibri" w:hAnsi="Calibri"/>
          <w:b/>
          <w:i w:val="0"/>
          <w:color w:val="045CB4"/>
          <w:sz w:val="28"/>
        </w:rPr>
        <w:t>Deployment Options Comparison</w:t>
      </w:r>
    </w:p>
    <w:p>
      <w:pPr>
        <w:spacing w:after="120" w:before="0" w:line="276" w:lineRule="auto"/>
        <w:jc w:val="left"/>
      </w:pPr>
      <w:r>
        <w:rPr>
          <w:rFonts w:ascii="Calibri" w:hAnsi="Calibri"/>
          <w:b w:val="0"/>
          <w:i w:val="0"/>
          <w:color w:val="334155"/>
          <w:sz w:val="22"/>
        </w:rPr>
        <w:t>To transition the local application to production, three main deployment configurations are recommended: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i w:val="0"/>
                <w:color w:val="046BD2"/>
                <w:sz w:val="22"/>
              </w:rPr>
              <w:t>Target Environment</w:t>
            </w:r>
          </w:p>
        </w:tc>
        <w:tc>
          <w:tcPr>
            <w:tcW w:type="dxa" w:w="2160"/>
          </w:tcPr>
          <w:p>
            <w:r>
              <w:rPr>
                <w:rFonts w:ascii="Calibri" w:hAnsi="Calibri"/>
                <w:b/>
                <w:i w:val="0"/>
                <w:color w:val="046BD2"/>
                <w:sz w:val="22"/>
              </w:rPr>
              <w:t>Hosting Cost</w:t>
            </w:r>
          </w:p>
        </w:tc>
        <w:tc>
          <w:tcPr>
            <w:tcW w:type="dxa" w:w="2160"/>
          </w:tcPr>
          <w:p>
            <w:r>
              <w:rPr>
                <w:rFonts w:ascii="Calibri" w:hAnsi="Calibri"/>
                <w:b/>
                <w:i w:val="0"/>
                <w:color w:val="046BD2"/>
                <w:sz w:val="22"/>
              </w:rPr>
              <w:t>Best Suited For</w:t>
            </w:r>
          </w:p>
        </w:tc>
        <w:tc>
          <w:tcPr>
            <w:tcW w:type="dxa" w:w="2160"/>
          </w:tcPr>
          <w:p>
            <w:r>
              <w:rPr>
                <w:rFonts w:ascii="Calibri" w:hAnsi="Calibri"/>
                <w:b/>
                <w:i w:val="0"/>
                <w:color w:val="046BD2"/>
                <w:sz w:val="22"/>
              </w:rPr>
              <w:t>Infrastructure Overview</w:t>
            </w:r>
          </w:p>
        </w:tc>
      </w:tr>
      <w:tr>
        <w:tc>
          <w:tcPr>
            <w:tcW w:type="dxa" w:w="2160"/>
          </w:tcPr>
          <w:p>
            <w:pPr>
              <w:spacing w:after="40"/>
            </w:pPr>
            <w:r>
              <w:rPr>
                <w:rFonts w:ascii="Calibri" w:hAnsi="Calibri"/>
                <w:b w:val="0"/>
                <w:i w:val="0"/>
                <w:color w:val="334155"/>
                <w:sz w:val="19"/>
              </w:rPr>
              <w:t>Render / Railway</w:t>
            </w:r>
          </w:p>
        </w:tc>
        <w:tc>
          <w:tcPr>
            <w:tcW w:type="dxa" w:w="2160"/>
          </w:tcPr>
          <w:p>
            <w:pPr>
              <w:spacing w:after="40"/>
            </w:pPr>
            <w:r>
              <w:rPr>
                <w:rFonts w:ascii="Calibri" w:hAnsi="Calibri"/>
                <w:b w:val="0"/>
                <w:i w:val="0"/>
                <w:color w:val="334155"/>
                <w:sz w:val="19"/>
              </w:rPr>
              <w:t>Free / $5 per month</w:t>
            </w:r>
          </w:p>
        </w:tc>
        <w:tc>
          <w:tcPr>
            <w:tcW w:type="dxa" w:w="2160"/>
          </w:tcPr>
          <w:p>
            <w:pPr>
              <w:spacing w:after="40"/>
            </w:pPr>
            <w:r>
              <w:rPr>
                <w:rFonts w:ascii="Calibri" w:hAnsi="Calibri"/>
                <w:b w:val="0"/>
                <w:i w:val="0"/>
                <w:color w:val="334155"/>
                <w:sz w:val="19"/>
              </w:rPr>
              <w:t>Prototyping &amp; Testing</w:t>
            </w:r>
          </w:p>
        </w:tc>
        <w:tc>
          <w:tcPr>
            <w:tcW w:type="dxa" w:w="2160"/>
          </w:tcPr>
          <w:p>
            <w:pPr>
              <w:spacing w:after="40"/>
            </w:pPr>
            <w:r>
              <w:rPr>
                <w:rFonts w:ascii="Calibri" w:hAnsi="Calibri"/>
                <w:b w:val="0"/>
                <w:i w:val="0"/>
                <w:color w:val="334155"/>
                <w:sz w:val="19"/>
              </w:rPr>
              <w:t>Quick deployment, but subject to container sleep times on free tiers.</w:t>
            </w:r>
          </w:p>
        </w:tc>
      </w:tr>
      <w:tr>
        <w:tc>
          <w:tcPr>
            <w:tcW w:type="dxa" w:w="2160"/>
          </w:tcPr>
          <w:p>
            <w:pPr>
              <w:spacing w:after="40"/>
            </w:pPr>
            <w:r>
              <w:rPr>
                <w:rFonts w:ascii="Calibri" w:hAnsi="Calibri"/>
                <w:b w:val="0"/>
                <w:i w:val="0"/>
                <w:color w:val="334155"/>
                <w:sz w:val="19"/>
              </w:rPr>
              <w:t>VPS (e.g. Hetzner CX11)</w:t>
            </w:r>
          </w:p>
        </w:tc>
        <w:tc>
          <w:tcPr>
            <w:tcW w:type="dxa" w:w="2160"/>
          </w:tcPr>
          <w:p>
            <w:pPr>
              <w:spacing w:after="40"/>
            </w:pPr>
            <w:r>
              <w:rPr>
                <w:rFonts w:ascii="Calibri" w:hAnsi="Calibri"/>
                <w:b w:val="0"/>
                <w:i w:val="0"/>
                <w:color w:val="334155"/>
                <w:sz w:val="19"/>
              </w:rPr>
              <w:t>~$4.50 per month</w:t>
            </w:r>
          </w:p>
        </w:tc>
        <w:tc>
          <w:tcPr>
            <w:tcW w:type="dxa" w:w="2160"/>
          </w:tcPr>
          <w:p>
            <w:pPr>
              <w:spacing w:after="40"/>
            </w:pPr>
            <w:r>
              <w:rPr>
                <w:rFonts w:ascii="Calibri" w:hAnsi="Calibri"/>
                <w:b w:val="0"/>
                <w:i w:val="0"/>
                <w:color w:val="334155"/>
                <w:sz w:val="19"/>
              </w:rPr>
              <w:t>Always-on Production</w:t>
            </w:r>
          </w:p>
        </w:tc>
        <w:tc>
          <w:tcPr>
            <w:tcW w:type="dxa" w:w="2160"/>
          </w:tcPr>
          <w:p>
            <w:pPr>
              <w:spacing w:after="40"/>
            </w:pPr>
            <w:r>
              <w:rPr>
                <w:rFonts w:ascii="Calibri" w:hAnsi="Calibri"/>
                <w:b w:val="0"/>
                <w:i w:val="0"/>
                <w:color w:val="334155"/>
                <w:sz w:val="19"/>
              </w:rPr>
              <w:t>A dedicated virtual private server running Docker or Gunicorn behind Nginx. Recommended for active teams.</w:t>
            </w:r>
          </w:p>
        </w:tc>
      </w:tr>
      <w:tr>
        <w:tc>
          <w:tcPr>
            <w:tcW w:type="dxa" w:w="2160"/>
          </w:tcPr>
          <w:p>
            <w:pPr>
              <w:spacing w:after="40"/>
            </w:pPr>
            <w:r>
              <w:rPr>
                <w:rFonts w:ascii="Calibri" w:hAnsi="Calibri"/>
                <w:b w:val="0"/>
                <w:i w:val="0"/>
                <w:color w:val="334155"/>
                <w:sz w:val="19"/>
              </w:rPr>
              <w:t>Google Cloud Run</w:t>
            </w:r>
          </w:p>
        </w:tc>
        <w:tc>
          <w:tcPr>
            <w:tcW w:type="dxa" w:w="2160"/>
          </w:tcPr>
          <w:p>
            <w:pPr>
              <w:spacing w:after="40"/>
            </w:pPr>
            <w:r>
              <w:rPr>
                <w:rFonts w:ascii="Calibri" w:hAnsi="Calibri"/>
                <w:b w:val="0"/>
                <w:i w:val="0"/>
                <w:color w:val="334155"/>
                <w:sz w:val="19"/>
              </w:rPr>
              <w:t>Pay-per-request / Free tier</w:t>
            </w:r>
          </w:p>
        </w:tc>
        <w:tc>
          <w:tcPr>
            <w:tcW w:type="dxa" w:w="2160"/>
          </w:tcPr>
          <w:p>
            <w:pPr>
              <w:spacing w:after="40"/>
            </w:pPr>
            <w:r>
              <w:rPr>
                <w:rFonts w:ascii="Calibri" w:hAnsi="Calibri"/>
                <w:b w:val="0"/>
                <w:i w:val="0"/>
                <w:color w:val="334155"/>
                <w:sz w:val="19"/>
              </w:rPr>
              <w:t>Bursty / Sporadic Use</w:t>
            </w:r>
          </w:p>
        </w:tc>
        <w:tc>
          <w:tcPr>
            <w:tcW w:type="dxa" w:w="2160"/>
          </w:tcPr>
          <w:p>
            <w:pPr>
              <w:spacing w:after="40"/>
            </w:pPr>
            <w:r>
              <w:rPr>
                <w:rFonts w:ascii="Calibri" w:hAnsi="Calibri"/>
                <w:b w:val="0"/>
                <w:i w:val="0"/>
                <w:color w:val="334155"/>
                <w:sz w:val="19"/>
              </w:rPr>
              <w:t>Serverless hosting. Ideal for teams running workflows only a few times a day.</w:t>
            </w:r>
          </w:p>
        </w:tc>
      </w:tr>
    </w:tbl>
    <w:p>
      <w:pPr>
        <w:spacing w:after="120" w:before="240" w:line="276" w:lineRule="auto"/>
        <w:jc w:val="left"/>
      </w:pPr>
    </w:p>
    <w:p>
      <w:pPr>
        <w:pStyle w:val="Heading1"/>
        <w:keepNext/>
        <w:spacing w:before="240" w:after="120"/>
      </w:pPr>
      <w:r>
        <w:rPr>
          <w:rFonts w:ascii="Calibri" w:hAnsi="Calibri"/>
          <w:b/>
          <w:i w:val="0"/>
          <w:color w:val="046BD2"/>
          <w:sz w:val="36"/>
        </w:rPr>
        <w:t>6. System Robustness, Security, and Error Handling Standards</w:t>
      </w:r>
    </w:p>
    <w:p>
      <w:pPr>
        <w:spacing w:after="120" w:before="0" w:line="276" w:lineRule="auto"/>
        <w:jc w:val="left"/>
      </w:pPr>
      <w:r>
        <w:rPr>
          <w:rFonts w:ascii="Calibri" w:hAnsi="Calibri"/>
          <w:b w:val="0"/>
          <w:i w:val="0"/>
          <w:color w:val="334155"/>
          <w:sz w:val="22"/>
        </w:rPr>
        <w:t>To ensure a production-grade system, the codebase has been structured with several security and stability features:</w:t>
      </w:r>
    </w:p>
    <w:p>
      <w:pPr>
        <w:spacing w:after="120" w:before="0" w:line="276" w:lineRule="auto"/>
        <w:jc w:val="left"/>
      </w:pPr>
      <w:r>
        <w:rPr>
          <w:b/>
        </w:rPr>
        <w:t>SEC-01/09: Strict Secret Key Enforcement</w:t>
        <w:br/>
      </w:r>
      <w:r>
        <w:t>The application validates that the SECRET_KEY environment variable is configured on startup. If the key is missing or set to an insecure default, the server crashes immediately with a descriptive error. This prevents the application from running with vulnerable session signing keys.</w:t>
      </w:r>
    </w:p>
    <w:p>
      <w:pPr>
        <w:spacing w:after="120" w:before="0" w:line="276" w:lineRule="auto"/>
        <w:jc w:val="left"/>
      </w:pPr>
      <w:r>
        <w:rPr>
          <w:b/>
        </w:rPr>
        <w:t>SEC-02: CSRF Protection</w:t>
        <w:br/>
      </w:r>
      <w:r>
        <w:t>All state-mutating requests (such as POST forms and AJAX submissions) are protected by Flask-WTF CSRF tokens. AJAX requests submit the token within the 'X-CSRFToken' header, protecting the system against Cross-Site Request Forgery.</w:t>
      </w:r>
    </w:p>
    <w:p>
      <w:pPr>
        <w:spacing w:after="120" w:before="0" w:line="276" w:lineRule="auto"/>
        <w:jc w:val="left"/>
      </w:pPr>
      <w:r>
        <w:rPr>
          <w:b/>
        </w:rPr>
        <w:t>SEC-03: XSS Prevention &amp; Input Sanitization</w:t>
        <w:br/>
      </w:r>
      <w:r>
        <w:t>Any variable injected into HTML bodies is escaped using python's built-in html.escape. This prevents cross-site scripting vulnerabilities when rendering trend names, categories, or explanations sourced from external APIs.</w:t>
      </w:r>
    </w:p>
    <w:p>
      <w:pPr>
        <w:spacing w:after="120" w:before="0" w:line="276" w:lineRule="auto"/>
        <w:jc w:val="left"/>
      </w:pPr>
      <w:r>
        <w:rPr>
          <w:b/>
        </w:rPr>
        <w:t>SEC-05: Strict Input Validation</w:t>
        <w:br/>
      </w:r>
      <w:r>
        <w:t>Form inputs are validated on the backend. Email fields are matched against standard regular expressions to block malformed or dangerous inputs, ensuring data integrity.</w:t>
      </w:r>
    </w:p>
    <w:p>
      <w:pPr>
        <w:spacing w:after="120" w:before="0" w:line="276" w:lineRule="auto"/>
        <w:jc w:val="left"/>
      </w:pPr>
      <w:r>
        <w:rPr>
          <w:b/>
        </w:rPr>
        <w:t>SEC-07: Anti-User Enumeration Controls</w:t>
        <w:br/>
      </w:r>
      <w:r>
        <w:t>Authentication endpoints return generic error messages (e.g., 'An account with those details already exists' or 'Invalid username or password'). This prevents malicious actors from checking if a specific username or email is registered in the database.</w:t>
      </w:r>
    </w:p>
    <w:p>
      <w:pPr>
        <w:spacing w:after="120" w:before="0" w:line="276" w:lineRule="auto"/>
        <w:jc w:val="left"/>
      </w:pPr>
      <w:r>
        <w:rPr>
          <w:b/>
        </w:rPr>
        <w:t>CRASH-03: SMTP Connection Timeout Guards</w:t>
        <w:br/>
      </w:r>
      <w:r>
        <w:t>To prevent the application from hanging if SMTP services are slow, connection requests are configured with a strict 30-second timeout. This prevents slow network operations from blocking Flask thread pools.</w:t>
      </w:r>
    </w:p>
    <w:p>
      <w:pPr>
        <w:spacing w:after="120" w:before="0" w:line="276" w:lineRule="auto"/>
        <w:jc w:val="left"/>
      </w:pPr>
      <w:r>
        <w:rPr>
          <w:b/>
        </w:rPr>
        <w:t>CRASH-05: Thread-Safe In-Memory Cleanup</w:t>
        <w:br/>
      </w:r>
      <w:r>
        <w:t>The pipeline status is stored in an in-memory dictionary protected by thread locks. To prevent memory leaks over time, a daemon thread runs a scheduled cleanup task to remove completed or failed job metadata from memory exactly one hour after execution.</w:t>
      </w:r>
    </w:p>
    <w:p>
      <w:pPr>
        <w:spacing w:after="120" w:before="0" w:line="276" w:lineRule="auto"/>
        <w:jc w:val="left"/>
      </w:pPr>
      <w:r>
        <w:rPr>
          <w:b/>
        </w:rPr>
        <w:t>PIPE-06: Attribute Injection Prevention</w:t>
        <w:br/>
      </w:r>
      <w:r>
        <w:t>When the pipeline wraps the generated content into a final standalone HTML file, variables injected into HTML attributes (like the &lt;title&gt; tag) are escaped. This prevents attribute breaks or injection vulnerabilities.</w:t>
      </w:r>
    </w:p>
    <w:p>
      <w:pPr>
        <w:spacing w:after="120" w:before="0" w:line="276" w:lineRule="auto"/>
        <w:jc w:val="left"/>
      </w:pPr>
    </w:p>
    <w:p>
      <w:pPr>
        <w:jc w:val="center"/>
      </w:pPr>
      <w:r>
        <w:rPr>
          <w:rFonts w:ascii="Calibri" w:hAnsi="Calibri"/>
          <w:b/>
          <w:i w:val="0"/>
          <w:color w:val="94A3B8"/>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