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left"/>
      </w:pPr>
    </w:p>
    <w:p>
      <w:pPr>
        <w:spacing w:after="120" w:before="0" w:line="276" w:lineRule="auto"/>
        <w:jc w:val="left"/>
      </w:pPr>
    </w:p>
    <w:p>
      <w:pPr>
        <w:spacing w:after="120" w:before="0" w:line="276" w:lineRule="auto"/>
        <w:jc w:val="left"/>
      </w:pPr>
    </w:p>
    <w:p>
      <w:pPr>
        <w:spacing w:after="240"/>
        <w:jc w:val="center"/>
      </w:pPr>
      <w:r>
        <w:rPr>
          <w:rFonts w:ascii="Arial" w:hAnsi="Arial"/>
          <w:b/>
          <w:i w:val="0"/>
          <w:color w:val="046BD2"/>
          <w:sz w:val="52"/>
        </w:rPr>
        <w:t>TREND TO SCRIPT (TTS)</w:t>
      </w:r>
    </w:p>
    <w:p>
      <w:pPr>
        <w:spacing w:after="720"/>
        <w:jc w:val="center"/>
      </w:pPr>
      <w:r>
        <w:rPr>
          <w:rFonts w:ascii="Arial" w:hAnsi="Arial"/>
          <w:b w:val="0"/>
          <w:i/>
          <w:color w:val="045CB4"/>
          <w:sz w:val="28"/>
        </w:rPr>
        <w:t>User &amp; Developer Guide: Comprehensive System Operations &amp; Setup Manual</w:t>
      </w:r>
    </w:p>
    <w:p>
      <w:pPr>
        <w:spacing w:after="2400"/>
        <w:jc w:val="center"/>
      </w:pPr>
      <w:r>
        <w:rPr>
          <w:rFonts w:ascii="Calibri" w:hAnsi="Calibri"/>
          <w:b/>
          <w:i w:val="0"/>
          <w:color w:val="046BD2"/>
          <w:sz w:val="24"/>
        </w:rPr>
        <w:t>━━━━━━━━━━━━━━━━━━━━━━━━━━━━━━━━━━━━━━━━</w:t>
      </w:r>
    </w:p>
    <w:p>
      <w:pPr>
        <w:spacing w:after="120"/>
        <w:jc w:val="center"/>
      </w:pPr>
      <w:r>
        <w:rPr>
          <w:rFonts w:ascii="Calibri" w:hAnsi="Calibri"/>
          <w:b/>
          <w:i w:val="0"/>
          <w:color w:val="334155"/>
          <w:sz w:val="22"/>
        </w:rPr>
        <w:t xml:space="preserve">Classification: </w:t>
      </w:r>
      <w:r>
        <w:rPr>
          <w:rFonts w:ascii="Calibri" w:hAnsi="Calibri"/>
          <w:b w:val="0"/>
          <w:i w:val="0"/>
          <w:color w:val="334155"/>
          <w:sz w:val="22"/>
        </w:rPr>
        <w:t>Operational &amp; Deployment Manual</w:t>
        <w:br/>
      </w:r>
      <w:r>
        <w:rPr>
          <w:rFonts w:ascii="Calibri" w:hAnsi="Calibri"/>
          <w:b/>
          <w:i w:val="0"/>
          <w:color w:val="334155"/>
          <w:sz w:val="22"/>
        </w:rPr>
        <w:t xml:space="preserve">Target Audience: </w:t>
      </w:r>
      <w:r>
        <w:rPr>
          <w:rFonts w:ascii="Calibri" w:hAnsi="Calibri"/>
          <w:b w:val="0"/>
          <w:i w:val="0"/>
          <w:color w:val="334155"/>
          <w:sz w:val="22"/>
        </w:rPr>
        <w:t>Content Editors (End Users) &amp; System Developers / DevOps</w:t>
        <w:br/>
      </w:r>
      <w:r>
        <w:rPr>
          <w:rFonts w:ascii="Calibri" w:hAnsi="Calibri"/>
          <w:b/>
          <w:i w:val="0"/>
          <w:color w:val="334155"/>
          <w:sz w:val="22"/>
        </w:rPr>
        <w:t xml:space="preserve">Date: </w:t>
      </w:r>
      <w:r>
        <w:rPr>
          <w:rFonts w:ascii="Calibri" w:hAnsi="Calibri"/>
          <w:b w:val="0"/>
          <w:i w:val="0"/>
          <w:color w:val="334155"/>
          <w:sz w:val="22"/>
        </w:rPr>
        <w:t>June 2026</w:t>
        <w:br/>
      </w:r>
      <w:r>
        <w:rPr>
          <w:rFonts w:ascii="Calibri" w:hAnsi="Calibri"/>
          <w:b/>
          <w:i w:val="0"/>
          <w:color w:val="334155"/>
          <w:sz w:val="22"/>
        </w:rPr>
        <w:t xml:space="preserve">System Status: </w:t>
      </w:r>
      <w:r>
        <w:rPr>
          <w:rFonts w:ascii="Calibri" w:hAnsi="Calibri"/>
          <w:b w:val="0"/>
          <w:i w:val="0"/>
          <w:color w:val="166534"/>
          <w:sz w:val="22"/>
        </w:rPr>
        <w:t>Production Ready / Fully Stable</w:t>
      </w:r>
    </w:p>
    <w:p>
      <w:r>
        <w:br w:type="page"/>
      </w:r>
    </w:p>
    <w:p>
      <w:pPr>
        <w:pStyle w:val="Heading1"/>
        <w:keepNext/>
        <w:spacing w:before="480" w:after="240"/>
      </w:pPr>
      <w:r>
        <w:rPr>
          <w:rFonts w:ascii="Calibri" w:hAnsi="Calibri"/>
          <w:b/>
          <w:i w:val="0"/>
          <w:color w:val="046BD2"/>
          <w:sz w:val="36"/>
        </w:rPr>
        <w:t>Table of Contents</w:t>
      </w:r>
    </w:p>
    <w:p>
      <w:pPr>
        <w:spacing w:after="120" w:before="0" w:line="276" w:lineRule="auto"/>
        <w:jc w:val="left"/>
      </w:pPr>
      <w:r>
        <w:rPr>
          <w:rFonts w:ascii="Calibri" w:hAnsi="Calibri"/>
          <w:b/>
          <w:i w:val="0"/>
          <w:color w:val="045CB4"/>
          <w:sz w:val="22"/>
        </w:rPr>
        <w:t xml:space="preserve">1.    </w:t>
      </w:r>
      <w:r>
        <w:rPr>
          <w:rFonts w:ascii="Calibri" w:hAnsi="Calibri"/>
          <w:b w:val="0"/>
          <w:i w:val="0"/>
          <w:color w:val="334155"/>
          <w:sz w:val="22"/>
        </w:rPr>
        <w:t>User Guide for Content Editors</w:t>
      </w:r>
      <w:r>
        <w:rPr>
          <w:rFonts w:ascii="Calibri" w:hAnsi="Calibri"/>
          <w:b w:val="0"/>
          <w:i w:val="0"/>
          <w:color w:val="94A3B8"/>
          <w:sz w:val="22"/>
        </w:rPr>
        <w:t xml:space="preserve"> ....................................................................................................</w:t>
        <w:br/>
      </w:r>
      <w:r>
        <w:rPr>
          <w:rFonts w:ascii="Calibri" w:hAnsi="Calibri"/>
          <w:b/>
          <w:i w:val="0"/>
          <w:color w:val="045CB4"/>
          <w:sz w:val="22"/>
        </w:rPr>
        <w:t xml:space="preserve">   1.1</w:t>
      </w:r>
      <w:r>
        <w:rPr>
          <w:rFonts w:ascii="Calibri" w:hAnsi="Calibri"/>
          <w:b w:val="0"/>
          <w:i w:val="0"/>
          <w:color w:val="334155"/>
          <w:sz w:val="22"/>
        </w:rPr>
        <w:t>Introduction &amp; Workflow Lifecycle</w:t>
      </w:r>
      <w:r>
        <w:rPr>
          <w:rFonts w:ascii="Calibri" w:hAnsi="Calibri"/>
          <w:b w:val="0"/>
          <w:i w:val="0"/>
          <w:color w:val="94A3B8"/>
          <w:sz w:val="22"/>
        </w:rPr>
        <w:t xml:space="preserve"> ..................................................................................</w:t>
        <w:br/>
      </w:r>
      <w:r>
        <w:rPr>
          <w:rFonts w:ascii="Calibri" w:hAnsi="Calibri"/>
          <w:b/>
          <w:i w:val="0"/>
          <w:color w:val="045CB4"/>
          <w:sz w:val="22"/>
        </w:rPr>
        <w:t xml:space="preserve">   1.2</w:t>
      </w:r>
      <w:r>
        <w:rPr>
          <w:rFonts w:ascii="Calibri" w:hAnsi="Calibri"/>
          <w:b w:val="0"/>
          <w:i w:val="0"/>
          <w:color w:val="334155"/>
          <w:sz w:val="22"/>
        </w:rPr>
        <w:t>System Dashboard &amp; Settings UI</w:t>
      </w:r>
      <w:r>
        <w:rPr>
          <w:rFonts w:ascii="Calibri" w:hAnsi="Calibri"/>
          <w:b w:val="0"/>
          <w:i w:val="0"/>
          <w:color w:val="94A3B8"/>
          <w:sz w:val="22"/>
        </w:rPr>
        <w:t xml:space="preserve"> ..................................................................................</w:t>
        <w:br/>
      </w:r>
      <w:r>
        <w:rPr>
          <w:rFonts w:ascii="Calibri" w:hAnsi="Calibri"/>
          <w:b/>
          <w:i w:val="0"/>
          <w:color w:val="045CB4"/>
          <w:sz w:val="22"/>
        </w:rPr>
        <w:t xml:space="preserve">   1.3</w:t>
      </w:r>
      <w:r>
        <w:rPr>
          <w:rFonts w:ascii="Calibri" w:hAnsi="Calibri"/>
          <w:b w:val="0"/>
          <w:i w:val="0"/>
          <w:color w:val="334155"/>
          <w:sz w:val="22"/>
        </w:rPr>
        <w:t>Interacting with Curation Digests</w:t>
      </w:r>
      <w:r>
        <w:rPr>
          <w:rFonts w:ascii="Calibri" w:hAnsi="Calibri"/>
          <w:b w:val="0"/>
          <w:i w:val="0"/>
          <w:color w:val="94A3B8"/>
          <w:sz w:val="22"/>
        </w:rPr>
        <w:t xml:space="preserve"> ..................................................................................</w:t>
        <w:br/>
      </w:r>
      <w:r>
        <w:rPr>
          <w:rFonts w:ascii="Calibri" w:hAnsi="Calibri"/>
          <w:b/>
          <w:i w:val="0"/>
          <w:color w:val="045CB4"/>
          <w:sz w:val="22"/>
        </w:rPr>
        <w:t xml:space="preserve">   1.4</w:t>
      </w:r>
      <w:r>
        <w:rPr>
          <w:rFonts w:ascii="Calibri" w:hAnsi="Calibri"/>
          <w:b w:val="0"/>
          <w:i w:val="0"/>
          <w:color w:val="334155"/>
          <w:sz w:val="22"/>
        </w:rPr>
        <w:t>Tracking the Pipeline and Reviewing Content</w:t>
      </w:r>
      <w:r>
        <w:rPr>
          <w:rFonts w:ascii="Calibri" w:hAnsi="Calibri"/>
          <w:b w:val="0"/>
          <w:i w:val="0"/>
          <w:color w:val="94A3B8"/>
          <w:sz w:val="22"/>
        </w:rPr>
        <w:t xml:space="preserve"> ....................................................................</w:t>
        <w:br/>
      </w:r>
      <w:r>
        <w:rPr>
          <w:rFonts w:ascii="Calibri" w:hAnsi="Calibri"/>
          <w:b/>
          <w:i w:val="0"/>
          <w:color w:val="045CB4"/>
          <w:sz w:val="22"/>
        </w:rPr>
        <w:t xml:space="preserve">2.    </w:t>
      </w:r>
      <w:r>
        <w:rPr>
          <w:rFonts w:ascii="Calibri" w:hAnsi="Calibri"/>
          <w:b w:val="0"/>
          <w:i w:val="0"/>
          <w:color w:val="334155"/>
          <w:sz w:val="22"/>
        </w:rPr>
        <w:t>Developer &amp; Deployment Manual</w:t>
      </w:r>
      <w:r>
        <w:rPr>
          <w:rFonts w:ascii="Calibri" w:hAnsi="Calibri"/>
          <w:b w:val="0"/>
          <w:i w:val="0"/>
          <w:color w:val="94A3B8"/>
          <w:sz w:val="22"/>
        </w:rPr>
        <w:t xml:space="preserve"> ........................................................................................</w:t>
        <w:br/>
      </w:r>
      <w:r>
        <w:rPr>
          <w:rFonts w:ascii="Calibri" w:hAnsi="Calibri"/>
          <w:b/>
          <w:i w:val="0"/>
          <w:color w:val="045CB4"/>
          <w:sz w:val="22"/>
        </w:rPr>
        <w:t xml:space="preserve">   2.1</w:t>
      </w:r>
      <w:r>
        <w:rPr>
          <w:rFonts w:ascii="Calibri" w:hAnsi="Calibri"/>
          <w:b w:val="0"/>
          <w:i w:val="0"/>
          <w:color w:val="334155"/>
          <w:sz w:val="22"/>
        </w:rPr>
        <w:t>System Dependencies &amp; Key Prerequisites</w:t>
      </w:r>
      <w:r>
        <w:rPr>
          <w:rFonts w:ascii="Calibri" w:hAnsi="Calibri"/>
          <w:b w:val="0"/>
          <w:i w:val="0"/>
          <w:color w:val="94A3B8"/>
          <w:sz w:val="22"/>
        </w:rPr>
        <w:t xml:space="preserve"> .................................................................</w:t>
        <w:br/>
      </w:r>
      <w:r>
        <w:rPr>
          <w:rFonts w:ascii="Calibri" w:hAnsi="Calibri"/>
          <w:b/>
          <w:i w:val="0"/>
          <w:color w:val="045CB4"/>
          <w:sz w:val="22"/>
        </w:rPr>
        <w:t xml:space="preserve">   2.2</w:t>
      </w:r>
      <w:r>
        <w:rPr>
          <w:rFonts w:ascii="Calibri" w:hAnsi="Calibri"/>
          <w:b w:val="0"/>
          <w:i w:val="0"/>
          <w:color w:val="334155"/>
          <w:sz w:val="22"/>
        </w:rPr>
        <w:t>Local Installation &amp; Setup Guide</w:t>
      </w:r>
      <w:r>
        <w:rPr>
          <w:rFonts w:ascii="Calibri" w:hAnsi="Calibri"/>
          <w:b w:val="0"/>
          <w:i w:val="0"/>
          <w:color w:val="94A3B8"/>
          <w:sz w:val="22"/>
        </w:rPr>
        <w:t xml:space="preserve"> ..................................................................................</w:t>
        <w:br/>
      </w:r>
      <w:r>
        <w:rPr>
          <w:rFonts w:ascii="Calibri" w:hAnsi="Calibri"/>
          <w:b/>
          <w:i w:val="0"/>
          <w:color w:val="045CB4"/>
          <w:sz w:val="22"/>
        </w:rPr>
        <w:t xml:space="preserve">   2.3</w:t>
      </w:r>
      <w:r>
        <w:rPr>
          <w:rFonts w:ascii="Calibri" w:hAnsi="Calibri"/>
          <w:b w:val="0"/>
          <w:i w:val="0"/>
          <w:color w:val="334155"/>
          <w:sz w:val="22"/>
        </w:rPr>
        <w:t>Cloud Deployment Procedures</w:t>
      </w:r>
      <w:r>
        <w:rPr>
          <w:rFonts w:ascii="Calibri" w:hAnsi="Calibri"/>
          <w:b w:val="0"/>
          <w:i w:val="0"/>
          <w:color w:val="94A3B8"/>
          <w:sz w:val="22"/>
        </w:rPr>
        <w:t xml:space="preserve"> .....................................................................................</w:t>
        <w:br/>
      </w:r>
      <w:r>
        <w:rPr>
          <w:rFonts w:ascii="Calibri" w:hAnsi="Calibri"/>
          <w:b/>
          <w:i w:val="0"/>
          <w:color w:val="045CB4"/>
          <w:sz w:val="22"/>
        </w:rPr>
        <w:t xml:space="preserve">   2.4</w:t>
      </w:r>
      <w:r>
        <w:rPr>
          <w:rFonts w:ascii="Calibri" w:hAnsi="Calibri"/>
          <w:b w:val="0"/>
          <w:i w:val="0"/>
          <w:color w:val="334155"/>
          <w:sz w:val="22"/>
        </w:rPr>
        <w:t>Optimal Environment Design for API Error Mitigation</w:t>
      </w:r>
      <w:r>
        <w:rPr>
          <w:rFonts w:ascii="Calibri" w:hAnsi="Calibri"/>
          <w:b w:val="0"/>
          <w:i w:val="0"/>
          <w:color w:val="94A3B8"/>
          <w:sz w:val="22"/>
        </w:rPr>
        <w:t xml:space="preserve"> ......................................................</w:t>
        <w:br/>
      </w:r>
    </w:p>
    <w:p>
      <w:r>
        <w:br w:type="page"/>
      </w:r>
    </w:p>
    <w:p>
      <w:pPr>
        <w:pStyle w:val="Heading1"/>
        <w:keepNext/>
        <w:spacing w:before="240" w:after="120"/>
      </w:pPr>
      <w:r>
        <w:rPr>
          <w:rFonts w:ascii="Calibri" w:hAnsi="Calibri"/>
          <w:b/>
          <w:i w:val="0"/>
          <w:color w:val="046BD2"/>
          <w:sz w:val="36"/>
        </w:rPr>
        <w:t>1. User Guide for Content Editors</w:t>
      </w:r>
    </w:p>
    <w:p>
      <w:pPr>
        <w:pStyle w:val="Heading2"/>
        <w:keepNext/>
        <w:spacing w:before="240" w:after="120"/>
      </w:pPr>
      <w:r>
        <w:rPr>
          <w:rFonts w:ascii="Calibri" w:hAnsi="Calibri"/>
          <w:b/>
          <w:i w:val="0"/>
          <w:color w:val="045CB4"/>
          <w:sz w:val="28"/>
        </w:rPr>
        <w:t>1.1 Introduction &amp; Workflow Lifecycle</w:t>
      </w:r>
    </w:p>
    <w:p>
      <w:pPr>
        <w:spacing w:after="120" w:before="0" w:line="276" w:lineRule="auto"/>
        <w:jc w:val="left"/>
      </w:pPr>
      <w:r>
        <w:rPr>
          <w:rFonts w:ascii="Calibri" w:hAnsi="Calibri"/>
          <w:b w:val="0"/>
          <w:i w:val="0"/>
          <w:color w:val="334155"/>
          <w:sz w:val="22"/>
        </w:rPr>
        <w:t>The Trend to Script (TTS) application is an automation tool designed to help content creators at The Crazy Careers (TCC) discover search trends and instantly draft them into SEO-ready articles. The lifecycle of the workflow consists of the following phases:</w:t>
      </w:r>
    </w:p>
    <w:p>
      <w:pPr>
        <w:spacing w:after="120" w:before="0" w:line="276" w:lineRule="auto"/>
        <w:jc w:val="left"/>
      </w:pPr>
      <w:r>
        <w:rPr>
          <w:b/>
        </w:rPr>
        <w:t xml:space="preserve">• Trend Fetching: </w:t>
      </w:r>
      <w:r>
        <w:t>The system monitors regional searches in selected niches (e.g. Education, Career Planning, Business).</w:t>
        <w:br/>
      </w:r>
      <w:r>
        <w:rPr>
          <w:b/>
        </w:rPr>
        <w:t xml:space="preserve">• Curation: </w:t>
      </w:r>
      <w:r>
        <w:t>An AI filter removes irrelevant trends (sports, gossip, politics) and drafts a short explanation of why the remaining topics are trending.</w:t>
        <w:br/>
      </w:r>
      <w:r>
        <w:rPr>
          <w:b/>
        </w:rPr>
        <w:t xml:space="preserve">• Digest Email: </w:t>
      </w:r>
      <w:r>
        <w:t>The team receives a clean dashboard digest in their inbox with a one-click generation link.</w:t>
        <w:br/>
      </w:r>
      <w:r>
        <w:rPr>
          <w:b/>
        </w:rPr>
        <w:t xml:space="preserve">• 5-Step Pipeline: </w:t>
      </w:r>
      <w:r>
        <w:t>Clicking the link triggers background tasks that compile target keywords, competitor SERP layouts, a structured outline, a grounded draft incorporating live Google News, and a styled HTML file.</w:t>
        <w:br/>
      </w:r>
      <w:r>
        <w:rPr>
          <w:b/>
        </w:rPr>
        <w:t xml:space="preserve">• Copy &amp; Publish: </w:t>
      </w:r>
      <w:r>
        <w:t>The editor receives a standalone .html file, previews it in a browser, and copies it directly into WordPress.</w:t>
      </w:r>
    </w:p>
    <w:p>
      <w:pPr>
        <w:pStyle w:val="Heading2"/>
        <w:keepNext/>
        <w:spacing w:before="240" w:after="120"/>
      </w:pPr>
      <w:r>
        <w:rPr>
          <w:rFonts w:ascii="Calibri" w:hAnsi="Calibri"/>
          <w:b/>
          <w:i w:val="0"/>
          <w:color w:val="045CB4"/>
          <w:sz w:val="28"/>
        </w:rPr>
        <w:t>1.2 System Dashboard &amp; Settings UI</w:t>
      </w:r>
    </w:p>
    <w:p>
      <w:pPr>
        <w:spacing w:after="120" w:before="0" w:line="276" w:lineRule="auto"/>
        <w:jc w:val="left"/>
      </w:pPr>
      <w:r>
        <w:rPr>
          <w:rFonts w:ascii="Calibri" w:hAnsi="Calibri"/>
          <w:b w:val="0"/>
          <w:i w:val="0"/>
          <w:color w:val="334155"/>
          <w:sz w:val="22"/>
        </w:rPr>
        <w:t>When logging into the Flask application dashboard, users are presented with two primary panels: the settings panel and the workflow controller panel.</w:t>
      </w:r>
    </w:p>
    <w:p>
      <w:pPr>
        <w:spacing w:after="120" w:before="0" w:line="276" w:lineRule="auto"/>
        <w:jc w:val="left"/>
      </w:pPr>
      <w:r>
        <w:rPr>
          <w:rFonts w:ascii="Calibri" w:hAnsi="Calibri"/>
          <w:b w:val="0"/>
          <w:i w:val="0"/>
          <w:color w:val="334155"/>
          <w:sz w:val="22"/>
        </w:rPr>
        <w:t>The Settings Panel allows editors to configure metadata for generated articles. Key fields include:</w:t>
      </w:r>
    </w:p>
    <w:p>
      <w:pPr>
        <w:spacing w:after="120" w:before="0" w:line="276" w:lineRule="auto"/>
        <w:jc w:val="left"/>
      </w:pPr>
      <w:r>
        <w:rPr>
          <w:b/>
        </w:rPr>
        <w:t xml:space="preserve">1. Receiver Email: </w:t>
      </w:r>
      <w:r>
        <w:t>The destination email address where curated trends and finished articles are delivered.</w:t>
        <w:br/>
      </w:r>
      <w:r>
        <w:rPr>
          <w:b/>
        </w:rPr>
        <w:t xml:space="preserve">2. Author Name: </w:t>
      </w:r>
      <w:r>
        <w:t>The custom byline attached to the article draft and the metadata schema (default: 'The Crazy Careers').</w:t>
        <w:br/>
      </w:r>
      <w:r>
        <w:rPr>
          <w:b/>
        </w:rPr>
        <w:t xml:space="preserve">3. Read Time: </w:t>
      </w:r>
      <w:r>
        <w:t>The estimated reading duration displayed at the top of the article (e.g., '6 min read').</w:t>
        <w:br/>
      </w:r>
      <w:r>
        <w:rPr>
          <w:b/>
        </w:rPr>
        <w:t xml:space="preserve">4. Publish Date: </w:t>
      </w:r>
      <w:r>
        <w:t>The calendar publication date injected into the HTML templates (defaults to 'Auto' for the current day).</w:t>
      </w:r>
    </w:p>
    <w:p>
      <w:pPr>
        <w:spacing w:after="120" w:before="0" w:line="276" w:lineRule="auto"/>
        <w:jc w:val="left"/>
      </w:pPr>
      <w:r>
        <w:rPr>
          <w:rFonts w:ascii="Calibri" w:hAnsi="Calibri"/>
          <w:b w:val="0"/>
          <w:i w:val="0"/>
          <w:color w:val="334155"/>
          <w:sz w:val="22"/>
        </w:rPr>
        <w:t>The Workflow Controller Panel contains selectors to filter trends:</w:t>
      </w:r>
    </w:p>
    <w:p>
      <w:pPr>
        <w:spacing w:after="120" w:before="0" w:line="276" w:lineRule="auto"/>
        <w:jc w:val="left"/>
      </w:pPr>
      <w:r>
        <w:rPr>
          <w:b/>
        </w:rPr>
        <w:t xml:space="preserve">• Geographic Region Selector: </w:t>
      </w:r>
      <w:r>
        <w:t>Dropdown to choose the source country index (e.g., 'IN' for India, 'US' for United States).</w:t>
        <w:br/>
      </w:r>
      <w:r>
        <w:rPr>
          <w:b/>
        </w:rPr>
        <w:t xml:space="preserve">• Category Selector: </w:t>
      </w:r>
      <w:r>
        <w:t>Allows users to filter by specific topic groups (e.g., 'All Categories', 'Jobs &amp; Education', 'Business').</w:t>
        <w:br/>
      </w:r>
      <w:r>
        <w:rPr>
          <w:b/>
        </w:rPr>
        <w:t xml:space="preserve">• Duration Filter: </w:t>
      </w:r>
      <w:r>
        <w:t>Filters trends based on timestamp age ('All Time', 'Past 4 Hours', 'Past 24 Hours', 'Past 48 Hours').</w:t>
      </w:r>
    </w:p>
    <w:p>
      <w:pPr>
        <w:spacing w:after="120" w:before="0" w:line="276" w:lineRule="auto"/>
        <w:jc w:val="left"/>
      </w:pPr>
      <w:r>
        <w:rPr>
          <w:rFonts w:ascii="Calibri" w:hAnsi="Calibri"/>
          <w:b w:val="0"/>
          <w:i w:val="0"/>
          <w:color w:val="334155"/>
          <w:sz w:val="22"/>
        </w:rPr>
        <w:t>Clicking the 'Trigger Workflow' button fetches trends using the selected settings, filters them via LLM, saves the configurations, sends a notification email to the receiver address, and updates the workflow run count.</w:t>
      </w:r>
    </w:p>
    <w:p>
      <w:pPr>
        <w:pStyle w:val="Heading2"/>
        <w:keepNext/>
        <w:spacing w:before="240" w:after="120"/>
      </w:pPr>
      <w:r>
        <w:rPr>
          <w:rFonts w:ascii="Calibri" w:hAnsi="Calibri"/>
          <w:b/>
          <w:i w:val="0"/>
          <w:color w:val="045CB4"/>
          <w:sz w:val="28"/>
        </w:rPr>
        <w:t>1.3 Interacting with Curation Digests</w:t>
      </w:r>
    </w:p>
    <w:p>
      <w:pPr>
        <w:spacing w:after="120" w:before="0" w:line="276" w:lineRule="auto"/>
        <w:jc w:val="left"/>
      </w:pPr>
      <w:r>
        <w:rPr>
          <w:rFonts w:ascii="Calibri" w:hAnsi="Calibri"/>
          <w:b w:val="0"/>
          <w:i w:val="0"/>
          <w:color w:val="334155"/>
          <w:sz w:val="22"/>
        </w:rPr>
        <w:t>After triggering a workflow, the receiver email address will get an email titled 'Trending Topics - [Date] | Trend to Script'. This digest is the primary interface for content generation:</w:t>
      </w:r>
    </w:p>
    <w:p>
      <w:pPr>
        <w:spacing w:after="120" w:before="0" w:line="276" w:lineRule="auto"/>
        <w:jc w:val="left"/>
      </w:pPr>
      <w:r>
        <w:rPr>
          <w:b/>
        </w:rPr>
        <w:t xml:space="preserve">• Trend Overview: </w:t>
      </w:r>
      <w:r>
        <w:t>Lists trending topics along with search volume (e.g., '100,000+ searches') and a brief explanation of why the topic is currently trending.</w:t>
        <w:br/>
      </w:r>
      <w:r>
        <w:rPr>
          <w:b/>
        </w:rPr>
        <w:t xml:space="preserve">• Action Button: </w:t>
      </w:r>
      <w:r>
        <w:t>Every trend block contains a 'Generate Content' action button. Clicking this button sends a GET request to the Flask server, triggering the 5-step background content creation pipeline.</w:t>
      </w:r>
    </w:p>
    <w:p>
      <w:pPr>
        <w:pStyle w:val="Heading2"/>
        <w:keepNext/>
        <w:spacing w:before="240" w:after="120"/>
      </w:pPr>
      <w:r>
        <w:rPr>
          <w:rFonts w:ascii="Calibri" w:hAnsi="Calibri"/>
          <w:b/>
          <w:i w:val="0"/>
          <w:color w:val="045CB4"/>
          <w:sz w:val="28"/>
        </w:rPr>
        <w:t>1.4 Tracking the Pipeline and Reviewing Content</w:t>
      </w:r>
    </w:p>
    <w:p>
      <w:pPr>
        <w:spacing w:after="120" w:before="0" w:line="276" w:lineRule="auto"/>
        <w:jc w:val="left"/>
      </w:pPr>
      <w:r>
        <w:rPr>
          <w:rFonts w:ascii="Calibri" w:hAnsi="Calibri"/>
          <w:b w:val="0"/>
          <w:i w:val="0"/>
          <w:color w:val="334155"/>
          <w:sz w:val="22"/>
        </w:rPr>
        <w:t>Clicking the generation button redirects the user to the progress tracking screen (script_view.html). This screen displays the generation status:</w:t>
      </w:r>
    </w:p>
    <w:p>
      <w:pPr>
        <w:spacing w:after="120" w:before="0" w:line="276" w:lineRule="auto"/>
        <w:jc w:val="left"/>
      </w:pPr>
      <w:r>
        <w:rPr>
          <w:b/>
        </w:rPr>
        <w:t xml:space="preserve">• Step Progress Card: </w:t>
      </w:r>
      <w:r>
        <w:t>Displays the status (Pending, Running, or Complete) and output character counts for each of the 5 pipeline steps (Keyword Research, SERP Analysis, Content Outline, Article Drafting, and HTML Formatting).</w:t>
        <w:br/>
      </w:r>
      <w:r>
        <w:rPr>
          <w:b/>
        </w:rPr>
        <w:t xml:space="preserve">• Asynchronous Execution: </w:t>
      </w:r>
      <w:r>
        <w:t>The pipeline runs in a background thread, so the editor can close the browser window or navigate away without interrupting execution. The server will complete the generation and email the output.</w:t>
        <w:br/>
      </w:r>
      <w:r>
        <w:rPr>
          <w:b/>
        </w:rPr>
        <w:t xml:space="preserve">• Receiving and Publishing: </w:t>
      </w:r>
      <w:r>
        <w:t>Once the pipeline finishes, the editor receives an email containing a standalone .html file attachment. Opening this file in a browser shows the pre-styled article layout, including a hero banner, key metrics, styled callout blocks, table layouts, and interactive FAQ accordions. The editor can view the page source, copy the HTML block, and paste it directly into an Elementor Custom HTML widget in WordPress.</w:t>
      </w:r>
    </w:p>
    <w:p>
      <w:r>
        <w:br w:type="page"/>
      </w:r>
    </w:p>
    <w:p>
      <w:pPr>
        <w:pStyle w:val="Heading1"/>
        <w:keepNext/>
        <w:spacing w:before="240" w:after="120"/>
      </w:pPr>
      <w:r>
        <w:rPr>
          <w:rFonts w:ascii="Calibri" w:hAnsi="Calibri"/>
          <w:b/>
          <w:i w:val="0"/>
          <w:color w:val="046BD2"/>
          <w:sz w:val="36"/>
        </w:rPr>
        <w:t>2. Developer &amp; Deployment Manual</w:t>
      </w:r>
    </w:p>
    <w:p>
      <w:pPr>
        <w:pStyle w:val="Heading2"/>
        <w:keepNext/>
        <w:spacing w:before="240" w:after="120"/>
      </w:pPr>
      <w:r>
        <w:rPr>
          <w:rFonts w:ascii="Calibri" w:hAnsi="Calibri"/>
          <w:b/>
          <w:i w:val="0"/>
          <w:color w:val="045CB4"/>
          <w:sz w:val="28"/>
        </w:rPr>
        <w:t>2.1 System Dependencies &amp; Key Prerequisites</w:t>
      </w:r>
    </w:p>
    <w:p>
      <w:pPr>
        <w:spacing w:after="120" w:before="0" w:line="276" w:lineRule="auto"/>
        <w:jc w:val="left"/>
      </w:pPr>
      <w:r>
        <w:rPr>
          <w:rFonts w:ascii="Calibri" w:hAnsi="Calibri"/>
          <w:b w:val="0"/>
          <w:i w:val="0"/>
          <w:color w:val="334155"/>
          <w:sz w:val="22"/>
        </w:rPr>
        <w:t>To run or deploy the TTS application, developers must meet the following hardware and software requirements:</w:t>
      </w:r>
    </w:p>
    <w:p>
      <w:pPr>
        <w:spacing w:after="120" w:before="0" w:line="276" w:lineRule="auto"/>
        <w:jc w:val="left"/>
      </w:pPr>
      <w:r>
        <w:rPr>
          <w:b/>
        </w:rPr>
        <w:t xml:space="preserve">• Runtime Environment: </w:t>
      </w:r>
      <w:r>
        <w:t>Python 3.10 or newer. A virtual environment wrapper (venv) is highly recommended.</w:t>
        <w:br/>
      </w:r>
      <w:r>
        <w:rPr>
          <w:b/>
        </w:rPr>
        <w:t xml:space="preserve">• Database Engine: </w:t>
      </w:r>
      <w:r>
        <w:t>SQLite (default for local development and single-node setups). No separate database server installation is required.</w:t>
        <w:br/>
      </w:r>
      <w:r>
        <w:rPr>
          <w:b/>
        </w:rPr>
        <w:t xml:space="preserve">• API Keys and External Credentials: </w:t>
        <w:br/>
      </w:r>
      <w:r>
        <w:rPr>
          <w:i/>
        </w:rPr>
        <w:t xml:space="preserve">  - Google Gemini API Key: </w:t>
      </w:r>
      <w:r>
        <w:t>Required to curate and filter trends. Default is gemini-3.5-flash (configurable via GEMINI_MODEL).</w:t>
        <w:br/>
      </w:r>
      <w:r>
        <w:rPr>
          <w:i/>
        </w:rPr>
        <w:t xml:space="preserve">  - Groq Cloud API Key: </w:t>
      </w:r>
      <w:r>
        <w:t>Required to run the five-step content pipeline. Must support the llama-3.1-8b-instant and llama-3.3-70b-versatile models.</w:t>
        <w:br/>
      </w:r>
      <w:r>
        <w:rPr>
          <w:i/>
        </w:rPr>
        <w:t xml:space="preserve">  - SMTP Server Credentials: </w:t>
      </w:r>
      <w:r>
        <w:t>Required to dispatch emails. E.g., Gmail's SMTP server (smtp.gmail.com) on port 587 with an App Password.</w:t>
        <w:br/>
      </w:r>
      <w:r>
        <w:rPr>
          <w:b/>
        </w:rPr>
        <w:t xml:space="preserve">• Network Access: </w:t>
      </w:r>
      <w:r>
        <w:t>Outgoing internet access is required to connect to the Google Trends RSS feed, Google News, the Google Gemini API endpoint, and the Groq API endpoint.</w:t>
      </w:r>
    </w:p>
    <w:p>
      <w:pPr>
        <w:pStyle w:val="Heading2"/>
        <w:keepNext/>
        <w:spacing w:before="240" w:after="120"/>
      </w:pPr>
      <w:r>
        <w:rPr>
          <w:rFonts w:ascii="Calibri" w:hAnsi="Calibri"/>
          <w:b/>
          <w:i w:val="0"/>
          <w:color w:val="045CB4"/>
          <w:sz w:val="28"/>
        </w:rPr>
        <w:t>2.2 Local Installation &amp; Setup Guide</w:t>
      </w:r>
    </w:p>
    <w:p>
      <w:pPr>
        <w:spacing w:after="120" w:before="0" w:line="276" w:lineRule="auto"/>
        <w:jc w:val="left"/>
      </w:pPr>
      <w:r>
        <w:rPr>
          <w:rFonts w:ascii="Calibri" w:hAnsi="Calibri"/>
          <w:b w:val="0"/>
          <w:i w:val="0"/>
          <w:color w:val="334155"/>
          <w:sz w:val="22"/>
        </w:rPr>
        <w:t>Follow this step-by-step guide to run the application locally on a Windows development system:</w:t>
      </w:r>
    </w:p>
    <w:p>
      <w:pPr>
        <w:spacing w:after="120" w:before="0" w:line="276" w:lineRule="auto"/>
        <w:jc w:val="left"/>
      </w:pPr>
      <w:r>
        <w:rPr>
          <w:rFonts w:ascii="Calibri" w:hAnsi="Calibri"/>
          <w:b w:val="0"/>
          <w:i w:val="0"/>
          <w:color w:val="334155"/>
          <w:sz w:val="22"/>
        </w:rPr>
        <w:t>1. Clone the project repository from GitHub:</w:t>
      </w:r>
    </w:p>
    <w:p>
      <w:pPr>
        <w:spacing w:before="60" w:after="60"/>
        <w:ind w:left="720"/>
      </w:pPr>
      <w:r>
        <w:rPr>
          <w:rFonts w:ascii="Courier New" w:hAnsi="Courier New"/>
          <w:b w:val="0"/>
          <w:i w:val="0"/>
          <w:color w:val="1E293B"/>
          <w:sz w:val="19"/>
        </w:rPr>
        <w:t>git clone https://github.com/sheran101GIT/Trends2script.git</w:t>
        <w:br/>
        <w:t>cd Trends2script</w:t>
      </w:r>
    </w:p>
    <w:p>
      <w:pPr>
        <w:spacing w:after="120" w:before="0" w:line="276" w:lineRule="auto"/>
        <w:jc w:val="left"/>
      </w:pPr>
      <w:r>
        <w:rPr>
          <w:rFonts w:ascii="Calibri" w:hAnsi="Calibri"/>
          <w:b w:val="0"/>
          <w:i w:val="0"/>
          <w:color w:val="334155"/>
          <w:sz w:val="22"/>
        </w:rPr>
        <w:t>2. Initialize a Python virtual environment and activate it:</w:t>
      </w:r>
    </w:p>
    <w:p>
      <w:pPr>
        <w:spacing w:before="60" w:after="60"/>
        <w:ind w:left="720"/>
      </w:pPr>
      <w:r>
        <w:rPr>
          <w:rFonts w:ascii="Courier New" w:hAnsi="Courier New"/>
          <w:b w:val="0"/>
          <w:i w:val="0"/>
          <w:color w:val="1E293B"/>
          <w:sz w:val="19"/>
        </w:rPr>
        <w:t>python -m venv .venv</w:t>
        <w:br/>
        <w:t>.venv\Scripts\activate</w:t>
      </w:r>
    </w:p>
    <w:p>
      <w:pPr>
        <w:spacing w:after="120" w:before="0" w:line="276" w:lineRule="auto"/>
        <w:jc w:val="left"/>
      </w:pPr>
      <w:r>
        <w:rPr>
          <w:rFonts w:ascii="Calibri" w:hAnsi="Calibri"/>
          <w:b w:val="0"/>
          <w:i w:val="0"/>
          <w:color w:val="334155"/>
          <w:sz w:val="22"/>
        </w:rPr>
        <w:t>3. Install all system dependencies specified in requirements.txt:</w:t>
      </w:r>
    </w:p>
    <w:p>
      <w:pPr>
        <w:spacing w:before="60" w:after="60"/>
        <w:ind w:left="720"/>
      </w:pPr>
      <w:r>
        <w:rPr>
          <w:rFonts w:ascii="Courier New" w:hAnsi="Courier New"/>
          <w:b w:val="0"/>
          <w:i w:val="0"/>
          <w:color w:val="1E293B"/>
          <w:sz w:val="19"/>
        </w:rPr>
        <w:t>pip install -r requirements.txt</w:t>
      </w:r>
    </w:p>
    <w:p>
      <w:pPr>
        <w:spacing w:after="120" w:before="0" w:line="276" w:lineRule="auto"/>
        <w:jc w:val="left"/>
      </w:pPr>
      <w:r>
        <w:rPr>
          <w:rFonts w:ascii="Calibri" w:hAnsi="Calibri"/>
          <w:b w:val="0"/>
          <w:i w:val="0"/>
          <w:color w:val="334155"/>
          <w:sz w:val="22"/>
        </w:rPr>
        <w:t>4. Create and configure your local environment settings file (.env):</w:t>
      </w:r>
    </w:p>
    <w:p>
      <w:pPr>
        <w:spacing w:before="60" w:after="60"/>
        <w:ind w:left="720"/>
      </w:pPr>
      <w:r>
        <w:rPr>
          <w:rFonts w:ascii="Courier New" w:hAnsi="Courier New"/>
          <w:b w:val="0"/>
          <w:i w:val="0"/>
          <w:color w:val="1E293B"/>
          <w:sz w:val="19"/>
        </w:rPr>
        <w:t>copy .env.example .env</w:t>
      </w:r>
    </w:p>
    <w:p>
      <w:pPr>
        <w:spacing w:after="120" w:before="0" w:line="276" w:lineRule="auto"/>
        <w:jc w:val="left"/>
      </w:pPr>
      <w:r>
        <w:rPr>
          <w:rFonts w:ascii="Calibri" w:hAnsi="Calibri"/>
          <w:b w:val="0"/>
          <w:i w:val="0"/>
          <w:color w:val="334155"/>
          <w:sz w:val="22"/>
        </w:rPr>
        <w:t>Open the .env file and fill in your API keys, database settings, and SMTP server details:</w:t>
      </w:r>
    </w:p>
    <w:p>
      <w:pPr>
        <w:spacing w:before="60" w:after="60"/>
        <w:ind w:left="720"/>
      </w:pPr>
      <w:r>
        <w:rPr>
          <w:rFonts w:ascii="Courier New" w:hAnsi="Courier New"/>
          <w:b w:val="0"/>
          <w:i w:val="0"/>
          <w:color w:val="1E293B"/>
          <w:sz w:val="19"/>
        </w:rPr>
        <w:t>SECRET_KEY=generate_a_random_key_here</w:t>
        <w:br/>
        <w:t>DATABASE_URL=sqlite:///trendtoscript.db</w:t>
        <w:br/>
        <w:t>GEMINI_API_KEY=your_gemini_api_key</w:t>
        <w:br/>
        <w:t>GEMINI_MODEL=gemini-3.5-flash</w:t>
        <w:br/>
        <w:t>GROQ_API_KEY=your_groq_api_key</w:t>
        <w:br/>
        <w:t>SENDER_EMAIL=your_sending_gmail@gmail.com</w:t>
        <w:br/>
        <w:t>SENDER_PASSWORD=your_gmail_app_password</w:t>
        <w:br/>
        <w:t>RECEIVER_EMAIL=your_destination_email@gmail.com</w:t>
        <w:br/>
        <w:t>GEMINI_RPM=15</w:t>
      </w:r>
    </w:p>
    <w:p>
      <w:pPr>
        <w:spacing w:after="120" w:before="0" w:line="276" w:lineRule="auto"/>
        <w:jc w:val="left"/>
      </w:pPr>
      <w:r>
        <w:rPr>
          <w:rFonts w:ascii="Calibri" w:hAnsi="Calibri"/>
          <w:b w:val="0"/>
          <w:i w:val="0"/>
          <w:color w:val="334155"/>
          <w:sz w:val="22"/>
        </w:rPr>
        <w:t>5. Generate a secure random SECRET_KEY to prevent session tampering:</w:t>
      </w:r>
    </w:p>
    <w:p>
      <w:pPr>
        <w:spacing w:before="60" w:after="60"/>
        <w:ind w:left="720"/>
      </w:pPr>
      <w:r>
        <w:rPr>
          <w:rFonts w:ascii="Courier New" w:hAnsi="Courier New"/>
          <w:b w:val="0"/>
          <w:i w:val="0"/>
          <w:color w:val="1E293B"/>
          <w:sz w:val="19"/>
        </w:rPr>
        <w:t>python -c "import secrets; print(secrets.token_hex(64))"</w:t>
      </w:r>
    </w:p>
    <w:p>
      <w:pPr>
        <w:spacing w:after="120" w:before="0" w:line="276" w:lineRule="auto"/>
        <w:jc w:val="left"/>
      </w:pPr>
      <w:r>
        <w:rPr>
          <w:rFonts w:ascii="Calibri" w:hAnsi="Calibri"/>
          <w:b w:val="0"/>
          <w:i w:val="0"/>
          <w:color w:val="334155"/>
          <w:sz w:val="22"/>
        </w:rPr>
        <w:t>Copy the generated hex string and assign it as the SECRET_KEY value inside your .env file.</w:t>
      </w:r>
    </w:p>
    <w:p>
      <w:pPr>
        <w:spacing w:after="120" w:before="0" w:line="276" w:lineRule="auto"/>
        <w:jc w:val="left"/>
      </w:pPr>
      <w:r>
        <w:rPr>
          <w:rFonts w:ascii="Calibri" w:hAnsi="Calibri"/>
          <w:b w:val="0"/>
          <w:i w:val="0"/>
          <w:color w:val="334155"/>
          <w:sz w:val="22"/>
        </w:rPr>
        <w:t>6. Launch the development server:</w:t>
      </w:r>
    </w:p>
    <w:p>
      <w:pPr>
        <w:spacing w:before="60" w:after="60"/>
        <w:ind w:left="720"/>
      </w:pPr>
      <w:r>
        <w:rPr>
          <w:rFonts w:ascii="Courier New" w:hAnsi="Courier New"/>
          <w:b w:val="0"/>
          <w:i w:val="0"/>
          <w:color w:val="1E293B"/>
          <w:sz w:val="19"/>
        </w:rPr>
        <w:t>flask run</w:t>
      </w:r>
    </w:p>
    <w:p>
      <w:pPr>
        <w:spacing w:after="120" w:before="0" w:line="276" w:lineRule="auto"/>
        <w:jc w:val="left"/>
      </w:pPr>
      <w:r>
        <w:rPr>
          <w:rFonts w:ascii="Calibri" w:hAnsi="Calibri"/>
          <w:b w:val="0"/>
          <w:i w:val="0"/>
          <w:color w:val="334155"/>
          <w:sz w:val="22"/>
        </w:rPr>
        <w:t>Open a web browser and navigate to http://127.0.0.1:5000 to access the application UI. The SQLite database tables are automatically initialized on the first start.</w:t>
      </w:r>
    </w:p>
    <w:p>
      <w:pPr>
        <w:pStyle w:val="Heading2"/>
        <w:keepNext/>
        <w:spacing w:before="240" w:after="120"/>
      </w:pPr>
      <w:r>
        <w:rPr>
          <w:rFonts w:ascii="Calibri" w:hAnsi="Calibri"/>
          <w:b/>
          <w:i w:val="0"/>
          <w:color w:val="045CB4"/>
          <w:sz w:val="28"/>
        </w:rPr>
        <w:t>2.3 Cloud Deployment Procedures</w:t>
      </w:r>
    </w:p>
    <w:p>
      <w:pPr>
        <w:spacing w:after="120" w:before="0" w:line="276" w:lineRule="auto"/>
        <w:jc w:val="left"/>
      </w:pPr>
      <w:r>
        <w:rPr>
          <w:rFonts w:ascii="Calibri" w:hAnsi="Calibri"/>
          <w:b w:val="0"/>
          <w:i w:val="0"/>
          <w:color w:val="334155"/>
          <w:sz w:val="22"/>
        </w:rPr>
        <w:t>When deploying to production, choose one of the following setups:</w:t>
      </w:r>
    </w:p>
    <w:p>
      <w:pPr>
        <w:spacing w:after="120" w:before="0" w:line="276" w:lineRule="auto"/>
        <w:jc w:val="left"/>
      </w:pPr>
      <w:r>
        <w:rPr>
          <w:b/>
        </w:rPr>
        <w:t>Option A: Dockerized Deployment on a Virtual Private Server (Hetzner, AWS, or DigitalOcean)</w:t>
        <w:br/>
      </w:r>
      <w:r>
        <w:t>1. Set up a Linux VPS CX11 instance, install Docker, and ensure Nginx or Caddy is configured as a reverse proxy with Let's Encrypt SSL certificates.</w:t>
        <w:br/>
        <w:t>2. Transfer the application repository to the server.</w:t>
        <w:br/>
        <w:t>3. Create a .env file on the host containing your API keys, configuration variables, and production values.</w:t>
        <w:br/>
        <w:t>4. Run docker-compose to build and start the application container in detached mode:</w:t>
      </w:r>
    </w:p>
    <w:p>
      <w:pPr>
        <w:spacing w:before="60" w:after="60"/>
        <w:ind w:left="720"/>
      </w:pPr>
      <w:r>
        <w:rPr>
          <w:rFonts w:ascii="Courier New" w:hAnsi="Courier New"/>
          <w:b w:val="0"/>
          <w:i w:val="0"/>
          <w:color w:val="1E293B"/>
          <w:sz w:val="19"/>
        </w:rPr>
        <w:t>docker-compose up --build -d</w:t>
      </w:r>
    </w:p>
    <w:p>
      <w:pPr>
        <w:spacing w:after="120" w:before="0" w:line="276" w:lineRule="auto"/>
        <w:jc w:val="left"/>
      </w:pPr>
      <w:r>
        <w:rPr>
          <w:b/>
        </w:rPr>
        <w:t>Option B: Serverless Deployment on Railway, Render, or Google Cloud Run</w:t>
        <w:br/>
      </w:r>
      <w:r>
        <w:t>1. Link the GitHub repository directly to your hosting provider's dashboard.</w:t>
        <w:br/>
        <w:t>2. Set the build command to install dependencies and select Gunicorn as the production server engine.</w:t>
        <w:br/>
        <w:t>3. Configure all environment variables in the provider's dashboard settings under 'Variables' or 'Secrets'.</w:t>
        <w:br/>
        <w:t>4. Bind the application port to the dynamic environmental port ($PORT). Set Gunicorn's timeout parameter to at least 600 seconds to prevent workers from timing out during long-running background tasks:</w:t>
      </w:r>
    </w:p>
    <w:p>
      <w:pPr>
        <w:spacing w:before="60" w:after="60"/>
        <w:ind w:left="720"/>
      </w:pPr>
      <w:r>
        <w:rPr>
          <w:rFonts w:ascii="Courier New" w:hAnsi="Courier New"/>
          <w:b w:val="0"/>
          <w:i w:val="0"/>
          <w:color w:val="1E293B"/>
          <w:sz w:val="19"/>
        </w:rPr>
        <w:t>gunicorn --timeout 600 --bind 0.0.0.0:$PORT app:app</w:t>
      </w:r>
    </w:p>
    <w:p>
      <w:pPr>
        <w:pStyle w:val="Heading2"/>
        <w:keepNext/>
        <w:spacing w:before="240" w:after="120"/>
      </w:pPr>
      <w:r>
        <w:rPr>
          <w:rFonts w:ascii="Calibri" w:hAnsi="Calibri"/>
          <w:b/>
          <w:i w:val="0"/>
          <w:color w:val="045CB4"/>
          <w:sz w:val="28"/>
        </w:rPr>
        <w:t>2.4 Optimal Environment Design for API Error Mitigation</w:t>
      </w:r>
    </w:p>
    <w:p>
      <w:pPr>
        <w:spacing w:after="120" w:before="0" w:line="276" w:lineRule="auto"/>
        <w:jc w:val="left"/>
      </w:pPr>
      <w:r>
        <w:rPr>
          <w:rFonts w:ascii="Calibri" w:hAnsi="Calibri"/>
          <w:b w:val="0"/>
          <w:i w:val="0"/>
          <w:color w:val="334155"/>
          <w:sz w:val="22"/>
        </w:rPr>
        <w:t>To prevent API connection errors and rate-limiting issues in production, configure the hosting environment according to these guidelines:</w:t>
      </w:r>
    </w:p>
    <w:p>
      <w:pPr>
        <w:spacing w:after="120" w:before="0" w:line="276" w:lineRule="auto"/>
        <w:jc w:val="left"/>
      </w:pPr>
      <w:r>
        <w:rPr>
          <w:b/>
        </w:rPr>
        <w:t xml:space="preserve">1. Enforce Centralized Rate Limiter Spacing: </w:t>
      </w:r>
      <w:r>
        <w:t>Set the GEMINI_RPM configuration variable to 10 or 15 in your production settings. This instructs the rate limiter to space requests out by at least 4 seconds, preventing 429 exceptions on the Gemini API.</w:t>
      </w:r>
    </w:p>
    <w:p>
      <w:pPr>
        <w:spacing w:after="120" w:before="0" w:line="276" w:lineRule="auto"/>
        <w:jc w:val="left"/>
      </w:pPr>
      <w:r>
        <w:rPr>
          <w:b/>
        </w:rPr>
        <w:t xml:space="preserve">2. Set a Safe Network Timeout on SMTP: </w:t>
      </w:r>
      <w:r>
        <w:t>Confirm that _SMTP_TIMEOUT is configured to 30 seconds. Slow or unresponsive email servers can block Flask thread pools. Setting a strict timeout limits blocks to 30 seconds before failing gracefully.</w:t>
      </w:r>
    </w:p>
    <w:p>
      <w:pPr>
        <w:spacing w:after="120" w:before="0" w:line="276" w:lineRule="auto"/>
        <w:jc w:val="left"/>
      </w:pPr>
      <w:r>
        <w:rPr>
          <w:b/>
        </w:rPr>
        <w:t xml:space="preserve">3. Use Thread-Compatible WSGI Containers: </w:t>
      </w:r>
      <w:r>
        <w:t>Because the content pipeline runs on a background thread within app.py, the production server container must support multi-threading. If using Gunicorn, specify a thread-compatible worker class or run with multiple threads:</w:t>
      </w:r>
      <w:r>
        <w:t>This ensures background worker threads are not terminated by Gunicorn's master process scheduler.</w:t>
      </w:r>
    </w:p>
    <w:p>
      <w:pPr>
        <w:spacing w:before="60" w:after="60"/>
        <w:ind w:left="720"/>
      </w:pPr>
      <w:r>
        <w:rPr>
          <w:rFonts w:ascii="Courier New" w:hAnsi="Courier New"/>
          <w:b w:val="0"/>
          <w:i w:val="0"/>
          <w:color w:val="1E293B"/>
          <w:sz w:val="19"/>
        </w:rPr>
        <w:t>gunicorn --workers 2 --threads 4 --timeout 600 app:app</w:t>
      </w:r>
    </w:p>
    <w:p>
      <w:pPr>
        <w:spacing w:after="120" w:before="0" w:line="276" w:lineRule="auto"/>
        <w:jc w:val="left"/>
      </w:pPr>
      <w:r>
        <w:rPr>
          <w:b/>
        </w:rPr>
        <w:t xml:space="preserve">4. Automated Memory Cleanups: </w:t>
      </w:r>
      <w:r>
        <w:t>Verify that cleanup tasks are scheduled in runner.py. Completed job records must be removed from memory after 1 hour to prevent memory leaks in the Flask application process.</w:t>
      </w:r>
    </w:p>
    <w:p>
      <w:pPr>
        <w:spacing w:after="120" w:before="0" w:line="276" w:lineRule="auto"/>
        <w:jc w:val="left"/>
      </w:pPr>
      <w:r>
        <w:rPr>
          <w:b/>
        </w:rPr>
        <w:t xml:space="preserve">5. Backup Directories and Local Outputs: </w:t>
      </w:r>
      <w:r>
        <w:t>Ensure the output/ directory exists and has write permissions. If email delivery fails, the runner writes a backup HTML file to this directory, preventing content loss.</w:t>
      </w:r>
    </w:p>
    <w:p>
      <w:pPr>
        <w:spacing w:after="120" w:before="0" w:line="276" w:lineRule="auto"/>
        <w:jc w:val="left"/>
      </w:pPr>
    </w:p>
    <w:p>
      <w:pPr>
        <w:jc w:val="center"/>
      </w:pPr>
      <w:r>
        <w:rPr>
          <w:rFonts w:ascii="Calibri" w:hAnsi="Calibri"/>
          <w:b/>
          <w:i w:val="0"/>
          <w:color w:val="94A3B8"/>
          <w:sz w:val="20"/>
        </w:rPr>
        <w:t>=== END OF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