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69B8" w14:textId="77777777" w:rsidR="00EB4082" w:rsidRPr="00EB4082" w:rsidRDefault="00EB4082" w:rsidP="00EB4082">
      <w:pPr>
        <w:pStyle w:val="Heading1"/>
        <w:rPr>
          <w:rFonts w:ascii="Arial" w:hAnsi="Arial" w:cs="Arial"/>
          <w:color w:val="auto"/>
        </w:rPr>
      </w:pPr>
      <w:r w:rsidRPr="00EB4082">
        <w:rPr>
          <w:rFonts w:ascii="Arial" w:hAnsi="Arial" w:cs="Arial"/>
          <w:color w:val="auto"/>
        </w:rPr>
        <w:t>Your Project</w:t>
      </w:r>
    </w:p>
    <w:p w14:paraId="6D22AB3B" w14:textId="02DA5D21"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Student Name:</w:t>
      </w:r>
      <w:r w:rsidRPr="00635C8D">
        <w:rPr>
          <w:rFonts w:eastAsia="Times New Roman" w:cs="Arial"/>
          <w:sz w:val="24"/>
          <w:szCs w:val="24"/>
          <w:lang w:val="en-US"/>
        </w:rPr>
        <w:t xml:space="preserve"> </w:t>
      </w:r>
      <w:r w:rsidR="00DE63BD">
        <w:t>Vinit Sachin Bhalerao</w:t>
      </w:r>
    </w:p>
    <w:p w14:paraId="660FEC25" w14:textId="72F82B1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Enrolment number:</w:t>
      </w:r>
      <w:r w:rsidRPr="00635C8D">
        <w:rPr>
          <w:rFonts w:eastAsia="Times New Roman" w:cs="Arial"/>
          <w:sz w:val="24"/>
          <w:szCs w:val="24"/>
          <w:lang w:val="en-US"/>
        </w:rPr>
        <w:t xml:space="preserve"> </w:t>
      </w:r>
      <w:r w:rsidR="00DE63BD">
        <w:t>30121974</w:t>
      </w:r>
    </w:p>
    <w:p w14:paraId="0BE32F12"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Your Project</w:t>
      </w:r>
    </w:p>
    <w:p w14:paraId="25918109"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Project Title:</w:t>
      </w:r>
      <w:r w:rsidRPr="00635C8D">
        <w:rPr>
          <w:rFonts w:eastAsia="Times New Roman" w:cs="Arial"/>
          <w:sz w:val="24"/>
          <w:szCs w:val="24"/>
          <w:lang w:val="en-US"/>
        </w:rPr>
        <w:t xml:space="preserve"> Dynamic Pricing Engine for Online Retailers: Integrating Customer Lifetime Value Prediction Models for Personalized Pricing Strategies</w:t>
      </w:r>
    </w:p>
    <w:p w14:paraId="5A0FF249"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Project Aim:</w:t>
      </w:r>
      <w:r w:rsidRPr="00635C8D">
        <w:rPr>
          <w:rFonts w:eastAsia="Times New Roman" w:cs="Arial"/>
          <w:sz w:val="24"/>
          <w:szCs w:val="24"/>
          <w:lang w:val="en-US"/>
        </w:rPr>
        <w:t xml:space="preserve"> </w:t>
      </w:r>
      <w:r w:rsidR="00BB41BE">
        <w:rPr>
          <w:rFonts w:eastAsia="Times New Roman" w:cs="Arial"/>
          <w:sz w:val="24"/>
          <w:szCs w:val="24"/>
          <w:lang w:val="en-US"/>
        </w:rPr>
        <w:t xml:space="preserve">The </w:t>
      </w:r>
      <w:r w:rsidR="00C13AED">
        <w:rPr>
          <w:rFonts w:eastAsia="Times New Roman" w:cs="Arial"/>
          <w:sz w:val="24"/>
          <w:szCs w:val="24"/>
          <w:lang w:val="en-US"/>
        </w:rPr>
        <w:t>aim</w:t>
      </w:r>
      <w:r w:rsidR="00BB41BE" w:rsidRPr="00BB41BE">
        <w:rPr>
          <w:rFonts w:eastAsia="Times New Roman" w:cs="Arial"/>
          <w:sz w:val="24"/>
          <w:szCs w:val="24"/>
          <w:lang w:val="en-US"/>
        </w:rPr>
        <w:t xml:space="preserve"> of this research is to design the dynamic pricing engine capable of using CLV prediction models for the purpose of deriving customer-specific pricing strategies for online retailers. The emphasis is made on the predicted revenue and customer satisfaction, and the primary tools are individual customer characteristics such as buying patter</w:t>
      </w:r>
      <w:r w:rsidR="00BB41BE">
        <w:rPr>
          <w:rFonts w:eastAsia="Times New Roman" w:cs="Arial"/>
          <w:sz w:val="24"/>
          <w:szCs w:val="24"/>
          <w:lang w:val="en-US"/>
        </w:rPr>
        <w:t>n, frequency, and other aspects</w:t>
      </w:r>
      <w:r w:rsidRPr="00635C8D">
        <w:rPr>
          <w:rFonts w:eastAsia="Times New Roman" w:cs="Arial"/>
          <w:sz w:val="24"/>
          <w:szCs w:val="24"/>
          <w:lang w:val="en-US"/>
        </w:rPr>
        <w:t>.</w:t>
      </w:r>
    </w:p>
    <w:p w14:paraId="30CEC751"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Project Objectives:</w:t>
      </w:r>
    </w:p>
    <w:p w14:paraId="07C13E61" w14:textId="77777777" w:rsidR="00EB4082" w:rsidRPr="00635C8D" w:rsidRDefault="00C13AED" w:rsidP="00EB4082">
      <w:pPr>
        <w:numPr>
          <w:ilvl w:val="0"/>
          <w:numId w:val="1"/>
        </w:numPr>
        <w:spacing w:before="100" w:beforeAutospacing="1" w:after="100" w:afterAutospacing="1" w:line="240" w:lineRule="auto"/>
        <w:rPr>
          <w:rFonts w:eastAsia="Times New Roman" w:cs="Arial"/>
          <w:sz w:val="24"/>
          <w:szCs w:val="24"/>
          <w:lang w:val="en-US"/>
        </w:rPr>
      </w:pPr>
      <w:r>
        <w:rPr>
          <w:rFonts w:eastAsia="Times New Roman" w:cs="Arial"/>
          <w:sz w:val="24"/>
          <w:szCs w:val="24"/>
          <w:lang w:val="en-US"/>
        </w:rPr>
        <w:t>To d</w:t>
      </w:r>
      <w:r w:rsidR="00EB4082" w:rsidRPr="00635C8D">
        <w:rPr>
          <w:rFonts w:eastAsia="Times New Roman" w:cs="Arial"/>
          <w:sz w:val="24"/>
          <w:szCs w:val="24"/>
          <w:lang w:val="en-US"/>
        </w:rPr>
        <w:t>evelop a dynamic pricing engine that incorporates CLV prediction models to enable personalized pricing strategies based on individual customer profiles.</w:t>
      </w:r>
    </w:p>
    <w:p w14:paraId="1B82BB73" w14:textId="77777777" w:rsidR="00EB4082" w:rsidRPr="00635C8D" w:rsidRDefault="00C13AED" w:rsidP="00EB4082">
      <w:pPr>
        <w:numPr>
          <w:ilvl w:val="0"/>
          <w:numId w:val="1"/>
        </w:numPr>
        <w:spacing w:before="100" w:beforeAutospacing="1" w:after="100" w:afterAutospacing="1" w:line="240" w:lineRule="auto"/>
        <w:rPr>
          <w:rFonts w:eastAsia="Times New Roman" w:cs="Arial"/>
          <w:sz w:val="24"/>
          <w:szCs w:val="24"/>
          <w:lang w:val="en-US"/>
        </w:rPr>
      </w:pPr>
      <w:r>
        <w:rPr>
          <w:rFonts w:eastAsia="Times New Roman" w:cs="Arial"/>
          <w:sz w:val="24"/>
          <w:szCs w:val="24"/>
          <w:lang w:val="en-US"/>
        </w:rPr>
        <w:t>To a</w:t>
      </w:r>
      <w:r w:rsidR="00EB4082" w:rsidRPr="00635C8D">
        <w:rPr>
          <w:rFonts w:eastAsia="Times New Roman" w:cs="Arial"/>
          <w:sz w:val="24"/>
          <w:szCs w:val="24"/>
          <w:lang w:val="en-US"/>
        </w:rPr>
        <w:t>nalyze the impact of personalized pricing strategies on customer satisfaction and revenue generation, identifying key factors influencing optimal pricing decisions and long-term customer relationships.</w:t>
      </w:r>
    </w:p>
    <w:p w14:paraId="015DE4B3" w14:textId="77777777" w:rsidR="00EB4082" w:rsidRPr="00635C8D" w:rsidRDefault="00C13AED" w:rsidP="00EB4082">
      <w:pPr>
        <w:numPr>
          <w:ilvl w:val="0"/>
          <w:numId w:val="1"/>
        </w:numPr>
        <w:spacing w:before="100" w:beforeAutospacing="1" w:after="100" w:afterAutospacing="1" w:line="240" w:lineRule="auto"/>
        <w:rPr>
          <w:rFonts w:eastAsia="Times New Roman" w:cs="Arial"/>
          <w:sz w:val="24"/>
          <w:szCs w:val="24"/>
          <w:lang w:val="en-US"/>
        </w:rPr>
      </w:pPr>
      <w:r>
        <w:rPr>
          <w:rFonts w:eastAsia="Times New Roman" w:cs="Arial"/>
          <w:sz w:val="24"/>
          <w:szCs w:val="24"/>
          <w:lang w:val="en-US"/>
        </w:rPr>
        <w:t>To c</w:t>
      </w:r>
      <w:r w:rsidR="00EB4082" w:rsidRPr="00635C8D">
        <w:rPr>
          <w:rFonts w:eastAsia="Times New Roman" w:cs="Arial"/>
          <w:sz w:val="24"/>
          <w:szCs w:val="24"/>
          <w:lang w:val="en-US"/>
        </w:rPr>
        <w:t>ompare the effectiveness of the dynamic pricing engine with traditional pricing strategies to assess its ability to maximize revenue while maintaining or enhancing customer loyalty in a competitive online retail environment.</w:t>
      </w:r>
    </w:p>
    <w:p w14:paraId="0A1B6A2B"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Project Artefact Type:</w:t>
      </w:r>
      <w:r w:rsidRPr="00635C8D">
        <w:rPr>
          <w:rFonts w:eastAsia="Times New Roman" w:cs="Arial"/>
          <w:sz w:val="24"/>
          <w:szCs w:val="24"/>
          <w:lang w:val="en-US"/>
        </w:rPr>
        <w:t xml:space="preserve"> Experimental Study</w:t>
      </w:r>
    </w:p>
    <w:p w14:paraId="58C49D82"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Brief Description of Your Project:</w:t>
      </w:r>
    </w:p>
    <w:p w14:paraId="09DB57D0"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Analysis (Research):</w:t>
      </w:r>
    </w:p>
    <w:p w14:paraId="3EC47EAF" w14:textId="0F660D3D" w:rsidR="00EB4082" w:rsidRPr="00635C8D" w:rsidRDefault="00C13AED" w:rsidP="00EB4082">
      <w:pPr>
        <w:spacing w:before="100" w:beforeAutospacing="1" w:after="100" w:afterAutospacing="1" w:line="240" w:lineRule="auto"/>
        <w:rPr>
          <w:rFonts w:eastAsia="Times New Roman" w:cs="Arial"/>
          <w:sz w:val="24"/>
          <w:szCs w:val="24"/>
          <w:lang w:val="en-US"/>
        </w:rPr>
      </w:pPr>
      <w:r w:rsidRPr="00C13AED">
        <w:rPr>
          <w:rFonts w:eastAsia="Times New Roman" w:cs="Arial"/>
          <w:sz w:val="24"/>
          <w:szCs w:val="24"/>
          <w:lang w:val="en-US"/>
        </w:rPr>
        <w:t xml:space="preserve">The first stage is considered as bibliographic where the previous research work done in the field of dynamic pricing along with their adaptation across the related industries is taken into consideration. Such considerations are based on the exploration of the research questions </w:t>
      </w:r>
      <w:r w:rsidR="00DE63BD" w:rsidRPr="00C13AED">
        <w:rPr>
          <w:rFonts w:eastAsia="Times New Roman" w:cs="Arial"/>
          <w:sz w:val="24"/>
          <w:szCs w:val="24"/>
          <w:lang w:val="en-US"/>
        </w:rPr>
        <w:t>considering</w:t>
      </w:r>
      <w:r w:rsidRPr="00C13AED">
        <w:rPr>
          <w:rFonts w:eastAsia="Times New Roman" w:cs="Arial"/>
          <w:sz w:val="24"/>
          <w:szCs w:val="24"/>
          <w:lang w:val="en-US"/>
        </w:rPr>
        <w:t xml:space="preserve"> relevant literature: The CLV model of airlines, which Najafi et al. (2024) have pointed out as key, affects customers’ perception of ancillaries as Shukla et al. (2019) found. In this phase, the original procedures for applying dynamic pricing</w:t>
      </w:r>
      <w:r>
        <w:rPr>
          <w:rFonts w:eastAsia="Times New Roman" w:cs="Arial"/>
          <w:sz w:val="24"/>
          <w:szCs w:val="24"/>
          <w:lang w:val="en-US"/>
        </w:rPr>
        <w:t>, as described by Victor et al.</w:t>
      </w:r>
      <w:r w:rsidRPr="00C13AED">
        <w:rPr>
          <w:rFonts w:eastAsia="Times New Roman" w:cs="Arial"/>
          <w:sz w:val="24"/>
          <w:szCs w:val="24"/>
          <w:lang w:val="en-US"/>
        </w:rPr>
        <w:t xml:space="preserve"> (2018), will be interpreted in an endeavor to develop appropriate strategies of pricing for changing the configuration of pricing principles regarding sensitive and believ</w:t>
      </w:r>
      <w:r>
        <w:rPr>
          <w:rFonts w:eastAsia="Times New Roman" w:cs="Arial"/>
          <w:sz w:val="24"/>
          <w:szCs w:val="24"/>
          <w:lang w:val="en-US"/>
        </w:rPr>
        <w:t>able customers’ characteristics</w:t>
      </w:r>
      <w:r w:rsidR="00EB4082" w:rsidRPr="00635C8D">
        <w:rPr>
          <w:rFonts w:eastAsia="Times New Roman" w:cs="Arial"/>
          <w:sz w:val="24"/>
          <w:szCs w:val="24"/>
          <w:lang w:val="en-US"/>
        </w:rPr>
        <w:t>.</w:t>
      </w:r>
    </w:p>
    <w:p w14:paraId="133CDB4A"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lastRenderedPageBreak/>
        <w:t>Design:</w:t>
      </w:r>
    </w:p>
    <w:p w14:paraId="20B565F3" w14:textId="31F139DA" w:rsidR="00EB4082" w:rsidRPr="00635C8D" w:rsidRDefault="00E233F5" w:rsidP="00EB4082">
      <w:pPr>
        <w:spacing w:before="100" w:beforeAutospacing="1" w:after="100" w:afterAutospacing="1" w:line="240" w:lineRule="auto"/>
        <w:rPr>
          <w:rFonts w:eastAsia="Times New Roman" w:cs="Arial"/>
          <w:sz w:val="24"/>
          <w:szCs w:val="24"/>
          <w:lang w:val="en-US"/>
        </w:rPr>
      </w:pPr>
      <w:r w:rsidRPr="00E233F5">
        <w:rPr>
          <w:rFonts w:eastAsia="Times New Roman" w:cs="Arial"/>
          <w:sz w:val="24"/>
          <w:szCs w:val="24"/>
          <w:lang w:val="en-US"/>
        </w:rPr>
        <w:t xml:space="preserve">The design phase will draw the structure of the dynamic pricing engine with special focus on compatibility with the CLV prediction models. From the work of Chen et al. (2020) on the aspect of promotional pricing </w:t>
      </w:r>
      <w:r w:rsidR="00DE63BD" w:rsidRPr="00E233F5">
        <w:rPr>
          <w:rFonts w:eastAsia="Times New Roman" w:cs="Arial"/>
          <w:sz w:val="24"/>
          <w:szCs w:val="24"/>
          <w:lang w:val="en-US"/>
        </w:rPr>
        <w:t>strategies,</w:t>
      </w:r>
      <w:r w:rsidRPr="00E233F5">
        <w:rPr>
          <w:rFonts w:eastAsia="Times New Roman" w:cs="Arial"/>
          <w:sz w:val="24"/>
          <w:szCs w:val="24"/>
          <w:lang w:val="en-US"/>
        </w:rPr>
        <w:t xml:space="preserve"> thus the design of the mobile application will have to be flexible to whichever economic conditions exist or which </w:t>
      </w:r>
      <w:r w:rsidR="00DE63BD" w:rsidRPr="00E233F5">
        <w:rPr>
          <w:rFonts w:eastAsia="Times New Roman" w:cs="Arial"/>
          <w:sz w:val="24"/>
          <w:szCs w:val="24"/>
          <w:lang w:val="en-US"/>
        </w:rPr>
        <w:t>customer</w:t>
      </w:r>
      <w:r w:rsidR="00DE63BD">
        <w:rPr>
          <w:rFonts w:eastAsia="Times New Roman" w:cs="Arial"/>
          <w:sz w:val="24"/>
          <w:szCs w:val="24"/>
          <w:lang w:val="en-US"/>
        </w:rPr>
        <w:t>’</w:t>
      </w:r>
      <w:r w:rsidR="00DE63BD" w:rsidRPr="00E233F5">
        <w:rPr>
          <w:rFonts w:eastAsia="Times New Roman" w:cs="Arial"/>
          <w:sz w:val="24"/>
          <w:szCs w:val="24"/>
          <w:lang w:val="en-US"/>
        </w:rPr>
        <w:t>s</w:t>
      </w:r>
      <w:r w:rsidR="00DE63BD">
        <w:rPr>
          <w:rFonts w:eastAsia="Times New Roman" w:cs="Arial"/>
          <w:sz w:val="24"/>
          <w:szCs w:val="24"/>
          <w:lang w:val="en-US"/>
        </w:rPr>
        <w:t xml:space="preserve"> </w:t>
      </w:r>
      <w:r w:rsidRPr="00E233F5">
        <w:rPr>
          <w:rFonts w:eastAsia="Times New Roman" w:cs="Arial"/>
          <w:sz w:val="24"/>
          <w:szCs w:val="24"/>
          <w:lang w:val="en-US"/>
        </w:rPr>
        <w:t xml:space="preserve">needs </w:t>
      </w:r>
      <w:r w:rsidR="00DE63BD" w:rsidRPr="00E233F5">
        <w:rPr>
          <w:rFonts w:eastAsia="Times New Roman" w:cs="Arial"/>
          <w:sz w:val="24"/>
          <w:szCs w:val="24"/>
          <w:lang w:val="en-US"/>
        </w:rPr>
        <w:t>must</w:t>
      </w:r>
      <w:r w:rsidRPr="00E233F5">
        <w:rPr>
          <w:rFonts w:eastAsia="Times New Roman" w:cs="Arial"/>
          <w:sz w:val="24"/>
          <w:szCs w:val="24"/>
          <w:lang w:val="en-US"/>
        </w:rPr>
        <w:t xml:space="preserve"> be </w:t>
      </w:r>
      <w:r w:rsidR="00DE63BD" w:rsidRPr="00E233F5">
        <w:rPr>
          <w:rFonts w:eastAsia="Times New Roman" w:cs="Arial"/>
          <w:sz w:val="24"/>
          <w:szCs w:val="24"/>
          <w:lang w:val="en-US"/>
        </w:rPr>
        <w:t>met.</w:t>
      </w:r>
      <w:r w:rsidRPr="00E233F5">
        <w:rPr>
          <w:rFonts w:eastAsia="Times New Roman" w:cs="Arial"/>
          <w:sz w:val="24"/>
          <w:szCs w:val="24"/>
          <w:lang w:val="en-US"/>
        </w:rPr>
        <w:t xml:space="preserve"> Knowledge from the study by Najafi et al on multi-product dynamic pricing will also inform the necessary </w:t>
      </w:r>
      <w:r>
        <w:rPr>
          <w:rFonts w:eastAsia="Times New Roman" w:cs="Arial"/>
          <w:sz w:val="24"/>
          <w:szCs w:val="24"/>
          <w:lang w:val="en-US"/>
        </w:rPr>
        <w:t>adaptability of the application</w:t>
      </w:r>
      <w:r w:rsidR="00EB4082" w:rsidRPr="00635C8D">
        <w:rPr>
          <w:rFonts w:eastAsia="Times New Roman" w:cs="Arial"/>
          <w:sz w:val="24"/>
          <w:szCs w:val="24"/>
          <w:lang w:val="en-US"/>
        </w:rPr>
        <w:t>.</w:t>
      </w:r>
    </w:p>
    <w:p w14:paraId="6A14DA5D"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Development:</w:t>
      </w:r>
    </w:p>
    <w:p w14:paraId="3D0A1FBD" w14:textId="77777777" w:rsidR="00EB4082" w:rsidRPr="00635C8D" w:rsidRDefault="00E233F5" w:rsidP="00EB4082">
      <w:pPr>
        <w:spacing w:before="100" w:beforeAutospacing="1" w:after="100" w:afterAutospacing="1" w:line="240" w:lineRule="auto"/>
        <w:rPr>
          <w:rFonts w:eastAsia="Times New Roman" w:cs="Arial"/>
          <w:sz w:val="24"/>
          <w:szCs w:val="24"/>
          <w:lang w:val="en-US"/>
        </w:rPr>
      </w:pPr>
      <w:r w:rsidRPr="00E233F5">
        <w:rPr>
          <w:rFonts w:eastAsia="Times New Roman" w:cs="Arial"/>
          <w:sz w:val="24"/>
          <w:szCs w:val="24"/>
          <w:lang w:val="en-US"/>
        </w:rPr>
        <w:t>Other stages will require the actual building of the dynamic pricing application, involving the dynamic price determination engine. Using data mining approaches and artificial intelligence structures established by Ye et al. (2018) and Gibbs et al. (2018), the engine will control the price in real-time based on the obtained data to be helpful in th</w:t>
      </w:r>
      <w:r>
        <w:rPr>
          <w:rFonts w:eastAsia="Times New Roman" w:cs="Arial"/>
          <w:sz w:val="24"/>
          <w:szCs w:val="24"/>
          <w:lang w:val="en-US"/>
        </w:rPr>
        <w:t>e competitive markets condition</w:t>
      </w:r>
      <w:r w:rsidR="00EB4082" w:rsidRPr="00635C8D">
        <w:rPr>
          <w:rFonts w:eastAsia="Times New Roman" w:cs="Arial"/>
          <w:sz w:val="24"/>
          <w:szCs w:val="24"/>
          <w:lang w:val="en-US"/>
        </w:rPr>
        <w:t>.</w:t>
      </w:r>
    </w:p>
    <w:p w14:paraId="48707C76"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Evaluation/Testing:</w:t>
      </w:r>
    </w:p>
    <w:p w14:paraId="1E639CCD" w14:textId="21A6BEA4" w:rsidR="00EB4082" w:rsidRPr="00635C8D" w:rsidRDefault="00E233F5" w:rsidP="00EB4082">
      <w:pPr>
        <w:spacing w:before="100" w:beforeAutospacing="1" w:after="100" w:afterAutospacing="1" w:line="240" w:lineRule="auto"/>
        <w:rPr>
          <w:rFonts w:eastAsia="Times New Roman" w:cs="Arial"/>
          <w:sz w:val="24"/>
          <w:szCs w:val="24"/>
          <w:lang w:val="en-US"/>
        </w:rPr>
      </w:pPr>
      <w:r w:rsidRPr="00E233F5">
        <w:rPr>
          <w:rFonts w:eastAsia="Times New Roman" w:cs="Arial"/>
          <w:sz w:val="24"/>
          <w:szCs w:val="24"/>
          <w:lang w:val="en-US"/>
        </w:rPr>
        <w:t>There will be two parts of the evaluation phase of the proposed solution, which will prove the effectiveness of the dynamic pricing engine, and its readiness for real-life usage. Measures like revenue, customers’ satisfaction, and market rivalry will b</w:t>
      </w:r>
      <w:r>
        <w:rPr>
          <w:rFonts w:eastAsia="Times New Roman" w:cs="Arial"/>
          <w:sz w:val="24"/>
          <w:szCs w:val="24"/>
          <w:lang w:val="en-US"/>
        </w:rPr>
        <w:t>e evaluated against fang et al.</w:t>
      </w:r>
      <w:r w:rsidR="00EC490B">
        <w:rPr>
          <w:rFonts w:eastAsia="Times New Roman" w:cs="Arial"/>
          <w:sz w:val="24"/>
          <w:szCs w:val="24"/>
          <w:lang w:val="en-US"/>
        </w:rPr>
        <w:t>, (2020) and Amin et, al.</w:t>
      </w:r>
      <w:r w:rsidRPr="00E233F5">
        <w:rPr>
          <w:rFonts w:eastAsia="Times New Roman" w:cs="Arial"/>
          <w:sz w:val="24"/>
          <w:szCs w:val="24"/>
          <w:lang w:val="en-US"/>
        </w:rPr>
        <w:t xml:space="preserve"> (2020) </w:t>
      </w:r>
      <w:r w:rsidR="00DE63BD" w:rsidRPr="00E233F5">
        <w:rPr>
          <w:rFonts w:eastAsia="Times New Roman" w:cs="Arial"/>
          <w:sz w:val="24"/>
          <w:szCs w:val="24"/>
          <w:lang w:val="en-US"/>
        </w:rPr>
        <w:t>to</w:t>
      </w:r>
      <w:r w:rsidRPr="00E233F5">
        <w:rPr>
          <w:rFonts w:eastAsia="Times New Roman" w:cs="Arial"/>
          <w:sz w:val="24"/>
          <w:szCs w:val="24"/>
          <w:lang w:val="en-US"/>
        </w:rPr>
        <w:t xml:space="preserve"> te</w:t>
      </w:r>
      <w:r>
        <w:rPr>
          <w:rFonts w:eastAsia="Times New Roman" w:cs="Arial"/>
          <w:sz w:val="24"/>
          <w:szCs w:val="24"/>
          <w:lang w:val="en-US"/>
        </w:rPr>
        <w:t>st for reliability and validity</w:t>
      </w:r>
      <w:r w:rsidR="00EB4082" w:rsidRPr="00635C8D">
        <w:rPr>
          <w:rFonts w:eastAsia="Times New Roman" w:cs="Arial"/>
          <w:sz w:val="24"/>
          <w:szCs w:val="24"/>
          <w:lang w:val="en-US"/>
        </w:rPr>
        <w:t>.</w:t>
      </w:r>
    </w:p>
    <w:p w14:paraId="6E832775"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Legal, Social, Ethical, and Professional Issues:</w:t>
      </w:r>
    </w:p>
    <w:p w14:paraId="2BAD611C" w14:textId="77777777" w:rsidR="00EB4082" w:rsidRPr="00635C8D" w:rsidRDefault="00EB4082" w:rsidP="00EB4082">
      <w:pPr>
        <w:numPr>
          <w:ilvl w:val="0"/>
          <w:numId w:val="2"/>
        </w:numPr>
        <w:spacing w:before="100" w:beforeAutospacing="1" w:after="100" w:afterAutospacing="1" w:line="240" w:lineRule="auto"/>
        <w:rPr>
          <w:rFonts w:eastAsia="Times New Roman" w:cs="Arial"/>
          <w:sz w:val="24"/>
          <w:szCs w:val="24"/>
          <w:lang w:val="en-US"/>
        </w:rPr>
      </w:pPr>
      <w:r w:rsidRPr="00635C8D">
        <w:rPr>
          <w:rFonts w:eastAsia="Times New Roman" w:cs="Arial"/>
          <w:sz w:val="24"/>
          <w:szCs w:val="24"/>
          <w:lang w:val="en-US"/>
        </w:rPr>
        <w:t>Compliance with data protection regulations and guidelines.</w:t>
      </w:r>
    </w:p>
    <w:p w14:paraId="35734531" w14:textId="77777777" w:rsidR="00EB4082" w:rsidRPr="00635C8D" w:rsidRDefault="00EB4082" w:rsidP="00EB4082">
      <w:pPr>
        <w:numPr>
          <w:ilvl w:val="0"/>
          <w:numId w:val="2"/>
        </w:numPr>
        <w:spacing w:before="100" w:beforeAutospacing="1" w:after="100" w:afterAutospacing="1" w:line="240" w:lineRule="auto"/>
        <w:rPr>
          <w:rFonts w:eastAsia="Times New Roman" w:cs="Arial"/>
          <w:sz w:val="24"/>
          <w:szCs w:val="24"/>
          <w:lang w:val="en-US"/>
        </w:rPr>
      </w:pPr>
      <w:r w:rsidRPr="00635C8D">
        <w:rPr>
          <w:rFonts w:eastAsia="Times New Roman" w:cs="Arial"/>
          <w:sz w:val="24"/>
          <w:szCs w:val="24"/>
          <w:lang w:val="en-US"/>
        </w:rPr>
        <w:t>Mitigating commercial risks such as market acceptance, data privacy, and regulatory compliance.</w:t>
      </w:r>
    </w:p>
    <w:p w14:paraId="2232305C" w14:textId="77777777"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Potential Sources of Input Data:</w:t>
      </w:r>
    </w:p>
    <w:p w14:paraId="1371E36D" w14:textId="77777777" w:rsidR="00282B94" w:rsidRDefault="00282B94" w:rsidP="00EB4082">
      <w:pPr>
        <w:spacing w:before="100" w:beforeAutospacing="1" w:after="100" w:afterAutospacing="1" w:line="240" w:lineRule="auto"/>
        <w:rPr>
          <w:sz w:val="24"/>
          <w:szCs w:val="24"/>
        </w:rPr>
      </w:pPr>
      <w:r w:rsidRPr="00282B94">
        <w:rPr>
          <w:sz w:val="24"/>
          <w:szCs w:val="24"/>
        </w:rPr>
        <w:t xml:space="preserve">The primary sources of input data will include customer transaction histories, demographic data from online retailers' databases, and market trends data obtained from industry reports and market research firms (Haider, et al., 2020). Additionally, simulated data will be generated to supplement and validate the models. This comprehensive approach ensures robust data for accurate predictions and effective personalized pricing strategies, adhering to GDPR regulations and ensuring data privacy and security (Thuy, et al., 2020). Moreover, since the data is  based on the secondary sources, such as peer-reviewed articles, database, books, and records; therefore, personal information will not be </w:t>
      </w:r>
      <w:proofErr w:type="gramStart"/>
      <w:r w:rsidRPr="00282B94">
        <w:rPr>
          <w:sz w:val="24"/>
          <w:szCs w:val="24"/>
        </w:rPr>
        <w:t>obtained</w:t>
      </w:r>
      <w:proofErr w:type="gramEnd"/>
      <w:r w:rsidRPr="00282B94">
        <w:rPr>
          <w:sz w:val="24"/>
          <w:szCs w:val="24"/>
        </w:rPr>
        <w:t xml:space="preserve"> nor any other  sensitive or confidential data will be acquired.</w:t>
      </w:r>
    </w:p>
    <w:p w14:paraId="7C7DCD58" w14:textId="77777777" w:rsidR="00282B94" w:rsidRDefault="00282B94" w:rsidP="00EB4082">
      <w:pPr>
        <w:spacing w:before="100" w:beforeAutospacing="1" w:after="100" w:afterAutospacing="1" w:line="240" w:lineRule="auto"/>
        <w:rPr>
          <w:sz w:val="24"/>
          <w:szCs w:val="24"/>
        </w:rPr>
      </w:pPr>
    </w:p>
    <w:p w14:paraId="1BBD0652" w14:textId="132E9103" w:rsidR="00EB4082" w:rsidRPr="00282B94" w:rsidRDefault="00EB4082" w:rsidP="00EB4082">
      <w:pPr>
        <w:spacing w:before="100" w:beforeAutospacing="1" w:after="100" w:afterAutospacing="1" w:line="240" w:lineRule="auto"/>
        <w:rPr>
          <w:rFonts w:eastAsia="Times New Roman" w:cs="Arial"/>
          <w:sz w:val="24"/>
          <w:szCs w:val="24"/>
          <w:lang w:val="en-US"/>
        </w:rPr>
      </w:pPr>
      <w:r w:rsidRPr="00282B94">
        <w:rPr>
          <w:rFonts w:eastAsia="Times New Roman" w:cs="Arial"/>
          <w:b/>
          <w:bCs/>
          <w:sz w:val="24"/>
          <w:szCs w:val="24"/>
          <w:lang w:val="en-US"/>
        </w:rPr>
        <w:lastRenderedPageBreak/>
        <w:t>Tools and Technologies:</w:t>
      </w:r>
    </w:p>
    <w:p w14:paraId="3DA83767" w14:textId="77777777" w:rsidR="00EB4082" w:rsidRPr="00635C8D" w:rsidRDefault="00EC490B" w:rsidP="00EB4082">
      <w:pPr>
        <w:spacing w:before="100" w:beforeAutospacing="1" w:after="100" w:afterAutospacing="1" w:line="240" w:lineRule="auto"/>
        <w:rPr>
          <w:rFonts w:eastAsia="Times New Roman" w:cs="Arial"/>
          <w:sz w:val="24"/>
          <w:szCs w:val="24"/>
          <w:lang w:val="en-US"/>
        </w:rPr>
      </w:pPr>
      <w:r w:rsidRPr="00EC490B">
        <w:rPr>
          <w:rFonts w:eastAsia="Times New Roman" w:cs="Arial"/>
          <w:sz w:val="24"/>
          <w:szCs w:val="24"/>
          <w:lang w:val="en-US"/>
        </w:rPr>
        <w:t xml:space="preserve">Data preprocessing and modeling will involve Python while SQL will be used in data base section and possibly cloud computing </w:t>
      </w:r>
      <w:r>
        <w:rPr>
          <w:rFonts w:eastAsia="Times New Roman" w:cs="Arial"/>
          <w:sz w:val="24"/>
          <w:szCs w:val="24"/>
          <w:lang w:val="en-US"/>
        </w:rPr>
        <w:t>where the project is very large</w:t>
      </w:r>
      <w:r w:rsidR="00EB4082" w:rsidRPr="00635C8D">
        <w:rPr>
          <w:rFonts w:eastAsia="Times New Roman" w:cs="Arial"/>
          <w:sz w:val="24"/>
          <w:szCs w:val="24"/>
          <w:lang w:val="en-US"/>
        </w:rPr>
        <w:t>.</w:t>
      </w:r>
    </w:p>
    <w:p w14:paraId="4A37CE08" w14:textId="77777777" w:rsidR="00DE63BD" w:rsidRDefault="00DE63BD" w:rsidP="00EB4082">
      <w:pPr>
        <w:spacing w:before="100" w:beforeAutospacing="1" w:after="100" w:afterAutospacing="1" w:line="240" w:lineRule="auto"/>
        <w:rPr>
          <w:rFonts w:eastAsia="Times New Roman" w:cs="Arial"/>
          <w:b/>
          <w:bCs/>
          <w:sz w:val="24"/>
          <w:szCs w:val="24"/>
          <w:lang w:val="en-US"/>
        </w:rPr>
      </w:pPr>
    </w:p>
    <w:p w14:paraId="637F2ADE" w14:textId="77777777" w:rsidR="00C52FE0" w:rsidRDefault="00C52FE0" w:rsidP="00C52FE0">
      <w:pPr>
        <w:pStyle w:val="NormalWeb"/>
        <w:rPr>
          <w:rFonts w:ascii="Arial" w:hAnsi="Arial" w:cs="Arial"/>
        </w:rPr>
      </w:pPr>
      <w:r w:rsidRPr="00C52FE0">
        <w:rPr>
          <w:rFonts w:ascii="Arial" w:hAnsi="Arial" w:cs="Arial"/>
          <w:b/>
          <w:bCs/>
        </w:rPr>
        <w:t>Data Description and GDPR Considerations:</w:t>
      </w:r>
      <w:r>
        <w:rPr>
          <w:rFonts w:ascii="Arial" w:hAnsi="Arial" w:cs="Arial"/>
        </w:rPr>
        <w:t xml:space="preserve"> </w:t>
      </w:r>
    </w:p>
    <w:p w14:paraId="7CD98754" w14:textId="77777777" w:rsidR="00282B94" w:rsidRPr="00282B94" w:rsidRDefault="00282B94" w:rsidP="00282B94">
      <w:pPr>
        <w:pStyle w:val="NormalWeb"/>
        <w:rPr>
          <w:rFonts w:ascii="Arial" w:hAnsi="Arial" w:cs="Arial"/>
        </w:rPr>
      </w:pPr>
      <w:r w:rsidRPr="00282B94">
        <w:rPr>
          <w:rFonts w:ascii="Arial" w:hAnsi="Arial" w:cs="Arial"/>
        </w:rPr>
        <w:t>The data, such as customer transaction histories, customer demographic data, and market trends data, will also be used by the project. Conventionally, the data acquired by such systems will involve de-identified transaction information, and other general population metrics to meet GDPR (</w:t>
      </w:r>
      <w:proofErr w:type="spellStart"/>
      <w:r w:rsidRPr="00282B94">
        <w:rPr>
          <w:rFonts w:ascii="Arial" w:hAnsi="Arial" w:cs="Arial"/>
        </w:rPr>
        <w:t>Kopalle</w:t>
      </w:r>
      <w:proofErr w:type="spellEnd"/>
      <w:r w:rsidRPr="00282B94">
        <w:rPr>
          <w:rFonts w:ascii="Arial" w:hAnsi="Arial" w:cs="Arial"/>
        </w:rPr>
        <w:t>, et al., 2023; Chen, et al., 2022). Any personal data collected will be collected and used according to GDPR.</w:t>
      </w:r>
    </w:p>
    <w:p w14:paraId="2110BFB3" w14:textId="77777777" w:rsidR="00C52FE0" w:rsidRDefault="00C52FE0" w:rsidP="00EB4082">
      <w:pPr>
        <w:spacing w:before="100" w:beforeAutospacing="1" w:after="100" w:afterAutospacing="1" w:line="240" w:lineRule="auto"/>
        <w:rPr>
          <w:rFonts w:eastAsia="Times New Roman" w:cs="Arial"/>
          <w:b/>
          <w:bCs/>
          <w:sz w:val="24"/>
          <w:szCs w:val="24"/>
          <w:lang w:val="en-US"/>
        </w:rPr>
      </w:pPr>
    </w:p>
    <w:p w14:paraId="79624C6C" w14:textId="57CE5146" w:rsidR="00EB4082" w:rsidRPr="00635C8D" w:rsidRDefault="00EB4082" w:rsidP="00EB4082">
      <w:pPr>
        <w:spacing w:before="100" w:beforeAutospacing="1" w:after="100" w:afterAutospacing="1" w:line="240" w:lineRule="auto"/>
        <w:rPr>
          <w:rFonts w:eastAsia="Times New Roman" w:cs="Arial"/>
          <w:sz w:val="24"/>
          <w:szCs w:val="24"/>
          <w:lang w:val="en-US"/>
        </w:rPr>
      </w:pPr>
      <w:r w:rsidRPr="00EB4082">
        <w:rPr>
          <w:rFonts w:eastAsia="Times New Roman" w:cs="Arial"/>
          <w:b/>
          <w:bCs/>
          <w:sz w:val="24"/>
          <w:szCs w:val="24"/>
          <w:lang w:val="en-US"/>
        </w:rPr>
        <w:t>Background on CLV Models:</w:t>
      </w:r>
    </w:p>
    <w:p w14:paraId="4B1ABB8D" w14:textId="77777777" w:rsidR="00EB4082" w:rsidRPr="00635C8D" w:rsidRDefault="00EC490B" w:rsidP="00EB4082">
      <w:pPr>
        <w:spacing w:before="100" w:beforeAutospacing="1" w:after="100" w:afterAutospacing="1" w:line="240" w:lineRule="auto"/>
        <w:rPr>
          <w:rFonts w:eastAsia="Times New Roman" w:cs="Arial"/>
          <w:sz w:val="24"/>
          <w:szCs w:val="24"/>
          <w:lang w:val="en-US"/>
        </w:rPr>
      </w:pPr>
      <w:r w:rsidRPr="00EC490B">
        <w:rPr>
          <w:rFonts w:eastAsia="Times New Roman" w:cs="Arial"/>
          <w:sz w:val="24"/>
          <w:szCs w:val="24"/>
          <w:lang w:val="en-US"/>
        </w:rPr>
        <w:t>Customer Life Time Value or CLV models measure expected revenue stream of a given customer over a time that he or she is likely to do business with the company. CLV models were selected for this project as they can accurately depict the desired pricing strategy based on value and build customer’s lifetime value to maximize revenue while bui</w:t>
      </w:r>
      <w:r>
        <w:rPr>
          <w:rFonts w:eastAsia="Times New Roman" w:cs="Arial"/>
          <w:sz w:val="24"/>
          <w:szCs w:val="24"/>
          <w:lang w:val="en-US"/>
        </w:rPr>
        <w:t>lding strong customer relations</w:t>
      </w:r>
      <w:r w:rsidR="00EB4082" w:rsidRPr="00635C8D">
        <w:rPr>
          <w:rFonts w:eastAsia="Times New Roman" w:cs="Arial"/>
          <w:sz w:val="24"/>
          <w:szCs w:val="24"/>
          <w:lang w:val="en-US"/>
        </w:rPr>
        <w:t>.</w:t>
      </w:r>
    </w:p>
    <w:p w14:paraId="30B49415" w14:textId="77777777" w:rsidR="00DE63BD" w:rsidRDefault="00DE63BD" w:rsidP="00EB4082">
      <w:pPr>
        <w:spacing w:before="100" w:beforeAutospacing="1" w:after="100" w:afterAutospacing="1" w:line="240" w:lineRule="auto"/>
        <w:rPr>
          <w:rFonts w:eastAsia="Times New Roman" w:cs="Arial"/>
          <w:b/>
          <w:bCs/>
          <w:sz w:val="24"/>
          <w:szCs w:val="24"/>
          <w:lang w:val="en-US"/>
        </w:rPr>
      </w:pPr>
    </w:p>
    <w:p w14:paraId="4A112D0F" w14:textId="77777777" w:rsidR="00DE63BD" w:rsidRDefault="00DE63BD" w:rsidP="00EB4082">
      <w:pPr>
        <w:spacing w:before="100" w:beforeAutospacing="1" w:after="100" w:afterAutospacing="1" w:line="240" w:lineRule="auto"/>
        <w:rPr>
          <w:rFonts w:eastAsia="Times New Roman" w:cs="Arial"/>
          <w:b/>
          <w:bCs/>
          <w:sz w:val="24"/>
          <w:szCs w:val="24"/>
          <w:lang w:val="en-US"/>
        </w:rPr>
      </w:pPr>
    </w:p>
    <w:p w14:paraId="5B99F4DA" w14:textId="6B5E3C0C" w:rsidR="00EB4082" w:rsidRDefault="00EB4082" w:rsidP="00EB4082">
      <w:pPr>
        <w:spacing w:before="100" w:beforeAutospacing="1" w:after="100" w:afterAutospacing="1" w:line="240" w:lineRule="auto"/>
        <w:rPr>
          <w:rFonts w:eastAsia="Times New Roman" w:cs="Arial"/>
          <w:b/>
          <w:bCs/>
          <w:sz w:val="24"/>
          <w:szCs w:val="24"/>
          <w:lang w:val="en-US"/>
        </w:rPr>
      </w:pPr>
      <w:r w:rsidRPr="00EB4082">
        <w:rPr>
          <w:rFonts w:eastAsia="Times New Roman" w:cs="Arial"/>
          <w:b/>
          <w:bCs/>
          <w:sz w:val="24"/>
          <w:szCs w:val="24"/>
          <w:lang w:val="en-US"/>
        </w:rPr>
        <w:t>Gantt Chart for Project Plan:</w:t>
      </w:r>
    </w:p>
    <w:p w14:paraId="32BF573C" w14:textId="4486C452" w:rsidR="00DE63BD" w:rsidRPr="00282B94" w:rsidRDefault="00DE63BD" w:rsidP="00282B94">
      <w:pPr>
        <w:spacing w:before="100" w:beforeAutospacing="1" w:after="100" w:afterAutospacing="1" w:line="240" w:lineRule="auto"/>
        <w:rPr>
          <w:rFonts w:eastAsia="Times New Roman" w:cs="Arial"/>
          <w:sz w:val="24"/>
          <w:szCs w:val="24"/>
          <w:lang w:val="en-US"/>
        </w:rPr>
      </w:pPr>
      <w:r w:rsidRPr="00DE63BD">
        <w:rPr>
          <w:rFonts w:eastAsia="Times New Roman" w:cs="Arial"/>
          <w:noProof/>
          <w:sz w:val="24"/>
          <w:szCs w:val="24"/>
          <w:lang w:val="en-US"/>
        </w:rPr>
        <w:drawing>
          <wp:inline distT="0" distB="0" distL="0" distR="0" wp14:anchorId="278CAD13" wp14:editId="0441491E">
            <wp:extent cx="5943600" cy="2747645"/>
            <wp:effectExtent l="0" t="0" r="0" b="0"/>
            <wp:docPr id="11062176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1762" name="Picture 1" descr="A graph with blue squares&#10;&#10;Description automatically generated"/>
                    <pic:cNvPicPr/>
                  </pic:nvPicPr>
                  <pic:blipFill>
                    <a:blip r:embed="rId5"/>
                    <a:stretch>
                      <a:fillRect/>
                    </a:stretch>
                  </pic:blipFill>
                  <pic:spPr>
                    <a:xfrm>
                      <a:off x="0" y="0"/>
                      <a:ext cx="5943600" cy="2747645"/>
                    </a:xfrm>
                    <a:prstGeom prst="rect">
                      <a:avLst/>
                    </a:prstGeom>
                  </pic:spPr>
                </pic:pic>
              </a:graphicData>
            </a:graphic>
          </wp:inline>
        </w:drawing>
      </w:r>
    </w:p>
    <w:p w14:paraId="3C5326DD" w14:textId="50FA709F" w:rsidR="00EB4082" w:rsidRPr="00EB4082" w:rsidRDefault="00EB4082" w:rsidP="00EB4082">
      <w:pPr>
        <w:spacing w:before="120" w:after="0" w:line="240" w:lineRule="auto"/>
        <w:rPr>
          <w:rFonts w:cs="Arial"/>
          <w:b/>
        </w:rPr>
      </w:pPr>
      <w:r w:rsidRPr="00EB4082">
        <w:rPr>
          <w:rFonts w:cs="Arial"/>
          <w:b/>
        </w:rPr>
        <w:lastRenderedPageBreak/>
        <w:t xml:space="preserve">Project Plan - </w:t>
      </w:r>
    </w:p>
    <w:tbl>
      <w:tblPr>
        <w:tblStyle w:val="TableGrid"/>
        <w:tblW w:w="0" w:type="auto"/>
        <w:tblLook w:val="04A0" w:firstRow="1" w:lastRow="0" w:firstColumn="1" w:lastColumn="0" w:noHBand="0" w:noVBand="1"/>
      </w:tblPr>
      <w:tblGrid>
        <w:gridCol w:w="3156"/>
        <w:gridCol w:w="1671"/>
        <w:gridCol w:w="1134"/>
        <w:gridCol w:w="1090"/>
        <w:gridCol w:w="2299"/>
      </w:tblGrid>
      <w:tr w:rsidR="00EB4082" w:rsidRPr="00EB4082" w14:paraId="2D9C95A6" w14:textId="77777777" w:rsidTr="00B50944">
        <w:tc>
          <w:tcPr>
            <w:tcW w:w="0" w:type="auto"/>
            <w:hideMark/>
          </w:tcPr>
          <w:p w14:paraId="5D06B3B1" w14:textId="77777777" w:rsidR="00EB4082" w:rsidRPr="00EB4082" w:rsidRDefault="00EB4082" w:rsidP="00B50944">
            <w:pPr>
              <w:jc w:val="center"/>
              <w:rPr>
                <w:rFonts w:eastAsia="Times New Roman" w:cs="Arial"/>
                <w:b/>
                <w:bCs/>
                <w:sz w:val="24"/>
                <w:szCs w:val="24"/>
              </w:rPr>
            </w:pPr>
            <w:r w:rsidRPr="00EB4082">
              <w:rPr>
                <w:rFonts w:eastAsia="Times New Roman" w:cs="Arial"/>
                <w:b/>
                <w:bCs/>
                <w:sz w:val="24"/>
                <w:szCs w:val="24"/>
              </w:rPr>
              <w:t>Task</w:t>
            </w:r>
          </w:p>
        </w:tc>
        <w:tc>
          <w:tcPr>
            <w:tcW w:w="0" w:type="auto"/>
            <w:hideMark/>
          </w:tcPr>
          <w:p w14:paraId="65286B1C" w14:textId="77777777" w:rsidR="00EB4082" w:rsidRPr="00EB4082" w:rsidRDefault="00EB4082" w:rsidP="00B50944">
            <w:pPr>
              <w:jc w:val="center"/>
              <w:rPr>
                <w:rFonts w:eastAsia="Times New Roman" w:cs="Arial"/>
                <w:b/>
                <w:bCs/>
                <w:sz w:val="24"/>
                <w:szCs w:val="24"/>
              </w:rPr>
            </w:pPr>
            <w:r w:rsidRPr="00EB4082">
              <w:rPr>
                <w:rFonts w:eastAsia="Times New Roman" w:cs="Arial"/>
                <w:b/>
                <w:bCs/>
                <w:sz w:val="24"/>
                <w:szCs w:val="24"/>
              </w:rPr>
              <w:t>Duration (Weeks)</w:t>
            </w:r>
          </w:p>
        </w:tc>
        <w:tc>
          <w:tcPr>
            <w:tcW w:w="0" w:type="auto"/>
            <w:hideMark/>
          </w:tcPr>
          <w:p w14:paraId="5AA1FAE5" w14:textId="77777777" w:rsidR="00EB4082" w:rsidRPr="00EB4082" w:rsidRDefault="00EB4082" w:rsidP="00B50944">
            <w:pPr>
              <w:jc w:val="center"/>
              <w:rPr>
                <w:rFonts w:eastAsia="Times New Roman" w:cs="Arial"/>
                <w:b/>
                <w:bCs/>
                <w:sz w:val="24"/>
                <w:szCs w:val="24"/>
              </w:rPr>
            </w:pPr>
            <w:r w:rsidRPr="00EB4082">
              <w:rPr>
                <w:rFonts w:eastAsia="Times New Roman" w:cs="Arial"/>
                <w:b/>
                <w:bCs/>
                <w:sz w:val="24"/>
                <w:szCs w:val="24"/>
              </w:rPr>
              <w:t>Start Week</w:t>
            </w:r>
          </w:p>
        </w:tc>
        <w:tc>
          <w:tcPr>
            <w:tcW w:w="0" w:type="auto"/>
            <w:hideMark/>
          </w:tcPr>
          <w:p w14:paraId="13230859" w14:textId="77777777" w:rsidR="00EB4082" w:rsidRPr="00EB4082" w:rsidRDefault="00EB4082" w:rsidP="00B50944">
            <w:pPr>
              <w:jc w:val="center"/>
              <w:rPr>
                <w:rFonts w:eastAsia="Times New Roman" w:cs="Arial"/>
                <w:b/>
                <w:bCs/>
                <w:sz w:val="24"/>
                <w:szCs w:val="24"/>
              </w:rPr>
            </w:pPr>
            <w:r w:rsidRPr="00EB4082">
              <w:rPr>
                <w:rFonts w:eastAsia="Times New Roman" w:cs="Arial"/>
                <w:b/>
                <w:bCs/>
                <w:sz w:val="24"/>
                <w:szCs w:val="24"/>
              </w:rPr>
              <w:t>End Week</w:t>
            </w:r>
          </w:p>
        </w:tc>
        <w:tc>
          <w:tcPr>
            <w:tcW w:w="0" w:type="auto"/>
            <w:hideMark/>
          </w:tcPr>
          <w:p w14:paraId="4203FA0D" w14:textId="77777777" w:rsidR="00EB4082" w:rsidRPr="00EB4082" w:rsidRDefault="00EB4082" w:rsidP="00B50944">
            <w:pPr>
              <w:jc w:val="center"/>
              <w:rPr>
                <w:rFonts w:eastAsia="Times New Roman" w:cs="Arial"/>
                <w:b/>
                <w:bCs/>
                <w:sz w:val="24"/>
                <w:szCs w:val="24"/>
              </w:rPr>
            </w:pPr>
            <w:r w:rsidRPr="00EB4082">
              <w:rPr>
                <w:rFonts w:eastAsia="Times New Roman" w:cs="Arial"/>
                <w:b/>
                <w:bCs/>
                <w:sz w:val="24"/>
                <w:szCs w:val="24"/>
              </w:rPr>
              <w:t>Dependencies</w:t>
            </w:r>
          </w:p>
        </w:tc>
      </w:tr>
      <w:tr w:rsidR="00DE63BD" w:rsidRPr="00EB4082" w14:paraId="4B1E31ED" w14:textId="77777777" w:rsidTr="00B50944">
        <w:tc>
          <w:tcPr>
            <w:tcW w:w="0" w:type="auto"/>
            <w:hideMark/>
          </w:tcPr>
          <w:p w14:paraId="6B25BB5F" w14:textId="77777777" w:rsidR="00DE63BD" w:rsidRPr="00EB4082" w:rsidRDefault="00DE63BD" w:rsidP="00DE63BD">
            <w:pPr>
              <w:rPr>
                <w:rFonts w:eastAsia="Times New Roman" w:cs="Arial"/>
                <w:sz w:val="24"/>
                <w:szCs w:val="24"/>
              </w:rPr>
            </w:pPr>
            <w:r w:rsidRPr="00EB4082">
              <w:rPr>
                <w:rFonts w:eastAsia="Times New Roman" w:cs="Arial"/>
                <w:sz w:val="24"/>
                <w:szCs w:val="24"/>
              </w:rPr>
              <w:t>Literature Review</w:t>
            </w:r>
          </w:p>
        </w:tc>
        <w:tc>
          <w:tcPr>
            <w:tcW w:w="0" w:type="auto"/>
            <w:hideMark/>
          </w:tcPr>
          <w:p w14:paraId="219222F3"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7E538C48" w14:textId="5C7FB13D" w:rsidR="00DE63BD" w:rsidRPr="00EB4082" w:rsidRDefault="00DE63BD" w:rsidP="00DE63BD">
            <w:pPr>
              <w:rPr>
                <w:rFonts w:eastAsia="Times New Roman" w:cs="Arial"/>
                <w:sz w:val="24"/>
                <w:szCs w:val="24"/>
              </w:rPr>
            </w:pPr>
            <w:r w:rsidRPr="00EB4082">
              <w:rPr>
                <w:rFonts w:eastAsia="Times New Roman" w:cs="Arial"/>
                <w:sz w:val="24"/>
                <w:szCs w:val="24"/>
              </w:rPr>
              <w:t>1</w:t>
            </w:r>
          </w:p>
        </w:tc>
        <w:tc>
          <w:tcPr>
            <w:tcW w:w="0" w:type="auto"/>
            <w:hideMark/>
          </w:tcPr>
          <w:p w14:paraId="66399559"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4A236673" w14:textId="77777777" w:rsidR="00DE63BD" w:rsidRPr="00EB4082" w:rsidRDefault="00DE63BD" w:rsidP="00DE63BD">
            <w:pPr>
              <w:rPr>
                <w:rFonts w:eastAsia="Times New Roman" w:cs="Arial"/>
                <w:sz w:val="24"/>
                <w:szCs w:val="24"/>
              </w:rPr>
            </w:pPr>
            <w:r w:rsidRPr="00EB4082">
              <w:rPr>
                <w:rFonts w:eastAsia="Times New Roman" w:cs="Arial"/>
                <w:sz w:val="24"/>
                <w:szCs w:val="24"/>
              </w:rPr>
              <w:t>-</w:t>
            </w:r>
          </w:p>
        </w:tc>
      </w:tr>
      <w:tr w:rsidR="00DE63BD" w:rsidRPr="00EB4082" w14:paraId="3E6D6F61" w14:textId="77777777" w:rsidTr="00B50944">
        <w:tc>
          <w:tcPr>
            <w:tcW w:w="0" w:type="auto"/>
            <w:hideMark/>
          </w:tcPr>
          <w:p w14:paraId="606E3D5E" w14:textId="77777777" w:rsidR="00DE63BD" w:rsidRPr="00EB4082" w:rsidRDefault="00DE63BD" w:rsidP="00DE63BD">
            <w:pPr>
              <w:rPr>
                <w:rFonts w:eastAsia="Times New Roman" w:cs="Arial"/>
                <w:sz w:val="24"/>
                <w:szCs w:val="24"/>
              </w:rPr>
            </w:pPr>
            <w:r w:rsidRPr="00EB4082">
              <w:rPr>
                <w:rFonts w:eastAsia="Times New Roman" w:cs="Arial"/>
                <w:sz w:val="24"/>
                <w:szCs w:val="24"/>
              </w:rPr>
              <w:t>Data Collection Strategy</w:t>
            </w:r>
          </w:p>
        </w:tc>
        <w:tc>
          <w:tcPr>
            <w:tcW w:w="0" w:type="auto"/>
            <w:hideMark/>
          </w:tcPr>
          <w:p w14:paraId="00352B0D" w14:textId="77777777" w:rsidR="00DE63BD" w:rsidRPr="00EB4082" w:rsidRDefault="00DE63BD" w:rsidP="00DE63BD">
            <w:pPr>
              <w:rPr>
                <w:rFonts w:eastAsia="Times New Roman" w:cs="Arial"/>
                <w:sz w:val="24"/>
                <w:szCs w:val="24"/>
              </w:rPr>
            </w:pPr>
            <w:r w:rsidRPr="00EB4082">
              <w:rPr>
                <w:rFonts w:eastAsia="Times New Roman" w:cs="Arial"/>
                <w:sz w:val="24"/>
                <w:szCs w:val="24"/>
              </w:rPr>
              <w:t>1</w:t>
            </w:r>
          </w:p>
        </w:tc>
        <w:tc>
          <w:tcPr>
            <w:tcW w:w="0" w:type="auto"/>
            <w:hideMark/>
          </w:tcPr>
          <w:p w14:paraId="12C1346B" w14:textId="2DBDCD5E"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1904A42C" w14:textId="77777777" w:rsidR="00DE63BD" w:rsidRPr="00EB4082" w:rsidRDefault="00DE63BD" w:rsidP="00DE63BD">
            <w:pPr>
              <w:rPr>
                <w:rFonts w:eastAsia="Times New Roman" w:cs="Arial"/>
                <w:sz w:val="24"/>
                <w:szCs w:val="24"/>
              </w:rPr>
            </w:pPr>
            <w:r w:rsidRPr="00EB4082">
              <w:rPr>
                <w:rFonts w:eastAsia="Times New Roman" w:cs="Arial"/>
                <w:sz w:val="24"/>
                <w:szCs w:val="24"/>
              </w:rPr>
              <w:t>3</w:t>
            </w:r>
          </w:p>
        </w:tc>
        <w:tc>
          <w:tcPr>
            <w:tcW w:w="0" w:type="auto"/>
            <w:hideMark/>
          </w:tcPr>
          <w:p w14:paraId="621AEFC6" w14:textId="77777777" w:rsidR="00DE63BD" w:rsidRPr="00EB4082" w:rsidRDefault="00DE63BD" w:rsidP="00DE63BD">
            <w:pPr>
              <w:rPr>
                <w:rFonts w:eastAsia="Times New Roman" w:cs="Arial"/>
                <w:sz w:val="24"/>
                <w:szCs w:val="24"/>
              </w:rPr>
            </w:pPr>
            <w:r w:rsidRPr="00EB4082">
              <w:rPr>
                <w:rFonts w:eastAsia="Times New Roman" w:cs="Arial"/>
                <w:sz w:val="24"/>
                <w:szCs w:val="24"/>
              </w:rPr>
              <w:t>Literature Review</w:t>
            </w:r>
          </w:p>
        </w:tc>
      </w:tr>
      <w:tr w:rsidR="00DE63BD" w:rsidRPr="00EB4082" w14:paraId="1CC8D2D2" w14:textId="77777777" w:rsidTr="00B50944">
        <w:tc>
          <w:tcPr>
            <w:tcW w:w="0" w:type="auto"/>
            <w:hideMark/>
          </w:tcPr>
          <w:p w14:paraId="0756B03D" w14:textId="77777777" w:rsidR="00DE63BD" w:rsidRPr="00EB4082" w:rsidRDefault="00DE63BD" w:rsidP="00DE63BD">
            <w:pPr>
              <w:rPr>
                <w:rFonts w:eastAsia="Times New Roman" w:cs="Arial"/>
                <w:sz w:val="24"/>
                <w:szCs w:val="24"/>
              </w:rPr>
            </w:pPr>
            <w:r w:rsidRPr="00EB4082">
              <w:rPr>
                <w:rFonts w:eastAsia="Times New Roman" w:cs="Arial"/>
                <w:sz w:val="24"/>
                <w:szCs w:val="24"/>
              </w:rPr>
              <w:t>Data Acquisition (Simulated/Real)</w:t>
            </w:r>
          </w:p>
        </w:tc>
        <w:tc>
          <w:tcPr>
            <w:tcW w:w="0" w:type="auto"/>
            <w:hideMark/>
          </w:tcPr>
          <w:p w14:paraId="23B3B907"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40CE031B" w14:textId="6EE339F4" w:rsidR="00DE63BD" w:rsidRPr="00EB4082" w:rsidRDefault="00DE63BD" w:rsidP="00DE63BD">
            <w:pPr>
              <w:rPr>
                <w:rFonts w:eastAsia="Times New Roman" w:cs="Arial"/>
                <w:sz w:val="24"/>
                <w:szCs w:val="24"/>
              </w:rPr>
            </w:pPr>
            <w:r w:rsidRPr="00EB4082">
              <w:rPr>
                <w:rFonts w:eastAsia="Times New Roman" w:cs="Arial"/>
                <w:sz w:val="24"/>
                <w:szCs w:val="24"/>
              </w:rPr>
              <w:t>3</w:t>
            </w:r>
          </w:p>
        </w:tc>
        <w:tc>
          <w:tcPr>
            <w:tcW w:w="0" w:type="auto"/>
            <w:hideMark/>
          </w:tcPr>
          <w:p w14:paraId="3A59FA2D" w14:textId="77777777" w:rsidR="00DE63BD" w:rsidRPr="00EB4082" w:rsidRDefault="00DE63BD" w:rsidP="00DE63BD">
            <w:pPr>
              <w:rPr>
                <w:rFonts w:eastAsia="Times New Roman" w:cs="Arial"/>
                <w:sz w:val="24"/>
                <w:szCs w:val="24"/>
              </w:rPr>
            </w:pPr>
            <w:r w:rsidRPr="00EB4082">
              <w:rPr>
                <w:rFonts w:eastAsia="Times New Roman" w:cs="Arial"/>
                <w:sz w:val="24"/>
                <w:szCs w:val="24"/>
              </w:rPr>
              <w:t>5</w:t>
            </w:r>
          </w:p>
        </w:tc>
        <w:tc>
          <w:tcPr>
            <w:tcW w:w="0" w:type="auto"/>
            <w:hideMark/>
          </w:tcPr>
          <w:p w14:paraId="28DF623F" w14:textId="77777777" w:rsidR="00DE63BD" w:rsidRPr="00EB4082" w:rsidRDefault="00DE63BD" w:rsidP="00DE63BD">
            <w:pPr>
              <w:rPr>
                <w:rFonts w:eastAsia="Times New Roman" w:cs="Arial"/>
                <w:sz w:val="24"/>
                <w:szCs w:val="24"/>
              </w:rPr>
            </w:pPr>
            <w:r w:rsidRPr="00EB4082">
              <w:rPr>
                <w:rFonts w:eastAsia="Times New Roman" w:cs="Arial"/>
                <w:sz w:val="24"/>
                <w:szCs w:val="24"/>
              </w:rPr>
              <w:t>Data Collection Strategy</w:t>
            </w:r>
          </w:p>
        </w:tc>
      </w:tr>
      <w:tr w:rsidR="00DE63BD" w:rsidRPr="00EB4082" w14:paraId="598B307F" w14:textId="77777777" w:rsidTr="00B50944">
        <w:tc>
          <w:tcPr>
            <w:tcW w:w="0" w:type="auto"/>
            <w:hideMark/>
          </w:tcPr>
          <w:p w14:paraId="5F4C8426" w14:textId="77777777" w:rsidR="00DE63BD" w:rsidRPr="00EB4082" w:rsidRDefault="00DE63BD" w:rsidP="00DE63BD">
            <w:pPr>
              <w:rPr>
                <w:rFonts w:eastAsia="Times New Roman" w:cs="Arial"/>
                <w:sz w:val="24"/>
                <w:szCs w:val="24"/>
              </w:rPr>
            </w:pPr>
            <w:r w:rsidRPr="00EB4082">
              <w:rPr>
                <w:rFonts w:eastAsia="Times New Roman" w:cs="Arial"/>
                <w:sz w:val="24"/>
                <w:szCs w:val="24"/>
              </w:rPr>
              <w:t>Algorithm Development</w:t>
            </w:r>
          </w:p>
        </w:tc>
        <w:tc>
          <w:tcPr>
            <w:tcW w:w="0" w:type="auto"/>
            <w:hideMark/>
          </w:tcPr>
          <w:p w14:paraId="1576990C" w14:textId="77777777" w:rsidR="00DE63BD" w:rsidRPr="00EB4082" w:rsidRDefault="00DE63BD" w:rsidP="00DE63BD">
            <w:pPr>
              <w:rPr>
                <w:rFonts w:eastAsia="Times New Roman" w:cs="Arial"/>
                <w:sz w:val="24"/>
                <w:szCs w:val="24"/>
              </w:rPr>
            </w:pPr>
            <w:r w:rsidRPr="00EB4082">
              <w:rPr>
                <w:rFonts w:eastAsia="Times New Roman" w:cs="Arial"/>
                <w:sz w:val="24"/>
                <w:szCs w:val="24"/>
              </w:rPr>
              <w:t>4</w:t>
            </w:r>
          </w:p>
        </w:tc>
        <w:tc>
          <w:tcPr>
            <w:tcW w:w="0" w:type="auto"/>
            <w:hideMark/>
          </w:tcPr>
          <w:p w14:paraId="01DA22C7" w14:textId="2D95BD77" w:rsidR="00DE63BD" w:rsidRPr="00EB4082" w:rsidRDefault="00DE63BD" w:rsidP="00DE63BD">
            <w:pPr>
              <w:rPr>
                <w:rFonts w:eastAsia="Times New Roman" w:cs="Arial"/>
                <w:sz w:val="24"/>
                <w:szCs w:val="24"/>
              </w:rPr>
            </w:pPr>
            <w:r w:rsidRPr="00EB4082">
              <w:rPr>
                <w:rFonts w:eastAsia="Times New Roman" w:cs="Arial"/>
                <w:sz w:val="24"/>
                <w:szCs w:val="24"/>
              </w:rPr>
              <w:t>5</w:t>
            </w:r>
          </w:p>
        </w:tc>
        <w:tc>
          <w:tcPr>
            <w:tcW w:w="0" w:type="auto"/>
            <w:hideMark/>
          </w:tcPr>
          <w:p w14:paraId="2874CF5C" w14:textId="77777777" w:rsidR="00DE63BD" w:rsidRPr="00EB4082" w:rsidRDefault="00DE63BD" w:rsidP="00DE63BD">
            <w:pPr>
              <w:rPr>
                <w:rFonts w:eastAsia="Times New Roman" w:cs="Arial"/>
                <w:sz w:val="24"/>
                <w:szCs w:val="24"/>
              </w:rPr>
            </w:pPr>
            <w:r w:rsidRPr="00EB4082">
              <w:rPr>
                <w:rFonts w:eastAsia="Times New Roman" w:cs="Arial"/>
                <w:sz w:val="24"/>
                <w:szCs w:val="24"/>
              </w:rPr>
              <w:t>9</w:t>
            </w:r>
          </w:p>
        </w:tc>
        <w:tc>
          <w:tcPr>
            <w:tcW w:w="0" w:type="auto"/>
            <w:hideMark/>
          </w:tcPr>
          <w:p w14:paraId="2443D691" w14:textId="77777777" w:rsidR="00DE63BD" w:rsidRPr="00EB4082" w:rsidRDefault="00DE63BD" w:rsidP="00DE63BD">
            <w:pPr>
              <w:rPr>
                <w:rFonts w:eastAsia="Times New Roman" w:cs="Arial"/>
                <w:sz w:val="24"/>
                <w:szCs w:val="24"/>
              </w:rPr>
            </w:pPr>
            <w:r w:rsidRPr="00EB4082">
              <w:rPr>
                <w:rFonts w:eastAsia="Times New Roman" w:cs="Arial"/>
                <w:sz w:val="24"/>
                <w:szCs w:val="24"/>
              </w:rPr>
              <w:t>Data Acquisition</w:t>
            </w:r>
          </w:p>
        </w:tc>
      </w:tr>
      <w:tr w:rsidR="00DE63BD" w:rsidRPr="00EB4082" w14:paraId="65409103" w14:textId="77777777" w:rsidTr="00B50944">
        <w:tc>
          <w:tcPr>
            <w:tcW w:w="0" w:type="auto"/>
            <w:hideMark/>
          </w:tcPr>
          <w:p w14:paraId="4BD05E57" w14:textId="77777777" w:rsidR="00DE63BD" w:rsidRPr="00EB4082" w:rsidRDefault="00DE63BD" w:rsidP="00DE63BD">
            <w:pPr>
              <w:rPr>
                <w:rFonts w:eastAsia="Times New Roman" w:cs="Arial"/>
                <w:sz w:val="24"/>
                <w:szCs w:val="24"/>
              </w:rPr>
            </w:pPr>
            <w:r w:rsidRPr="00EB4082">
              <w:rPr>
                <w:rFonts w:eastAsia="Times New Roman" w:cs="Arial"/>
                <w:sz w:val="24"/>
                <w:szCs w:val="24"/>
              </w:rPr>
              <w:t>Software Development (User Interface)</w:t>
            </w:r>
          </w:p>
        </w:tc>
        <w:tc>
          <w:tcPr>
            <w:tcW w:w="0" w:type="auto"/>
            <w:hideMark/>
          </w:tcPr>
          <w:p w14:paraId="13C00028" w14:textId="77777777" w:rsidR="00DE63BD" w:rsidRPr="00EB4082" w:rsidRDefault="00DE63BD" w:rsidP="00DE63BD">
            <w:pPr>
              <w:rPr>
                <w:rFonts w:eastAsia="Times New Roman" w:cs="Arial"/>
                <w:sz w:val="24"/>
                <w:szCs w:val="24"/>
              </w:rPr>
            </w:pPr>
            <w:r w:rsidRPr="00EB4082">
              <w:rPr>
                <w:rFonts w:eastAsia="Times New Roman" w:cs="Arial"/>
                <w:sz w:val="24"/>
                <w:szCs w:val="24"/>
              </w:rPr>
              <w:t>3</w:t>
            </w:r>
          </w:p>
        </w:tc>
        <w:tc>
          <w:tcPr>
            <w:tcW w:w="0" w:type="auto"/>
            <w:hideMark/>
          </w:tcPr>
          <w:p w14:paraId="47D2BC1F" w14:textId="5A7DBC69" w:rsidR="00DE63BD" w:rsidRPr="00EB4082" w:rsidRDefault="00DE63BD" w:rsidP="00DE63BD">
            <w:pPr>
              <w:rPr>
                <w:rFonts w:eastAsia="Times New Roman" w:cs="Arial"/>
                <w:sz w:val="24"/>
                <w:szCs w:val="24"/>
              </w:rPr>
            </w:pPr>
            <w:r w:rsidRPr="00EB4082">
              <w:rPr>
                <w:rFonts w:eastAsia="Times New Roman" w:cs="Arial"/>
                <w:sz w:val="24"/>
                <w:szCs w:val="24"/>
              </w:rPr>
              <w:t>8</w:t>
            </w:r>
          </w:p>
        </w:tc>
        <w:tc>
          <w:tcPr>
            <w:tcW w:w="0" w:type="auto"/>
            <w:hideMark/>
          </w:tcPr>
          <w:p w14:paraId="7A87D6F0" w14:textId="77777777" w:rsidR="00DE63BD" w:rsidRPr="00EB4082" w:rsidRDefault="00DE63BD" w:rsidP="00DE63BD">
            <w:pPr>
              <w:rPr>
                <w:rFonts w:eastAsia="Times New Roman" w:cs="Arial"/>
                <w:sz w:val="24"/>
                <w:szCs w:val="24"/>
              </w:rPr>
            </w:pPr>
            <w:r w:rsidRPr="00EB4082">
              <w:rPr>
                <w:rFonts w:eastAsia="Times New Roman" w:cs="Arial"/>
                <w:sz w:val="24"/>
                <w:szCs w:val="24"/>
              </w:rPr>
              <w:t>11</w:t>
            </w:r>
          </w:p>
        </w:tc>
        <w:tc>
          <w:tcPr>
            <w:tcW w:w="0" w:type="auto"/>
            <w:hideMark/>
          </w:tcPr>
          <w:p w14:paraId="484DA1AF" w14:textId="77777777" w:rsidR="00DE63BD" w:rsidRPr="00EB4082" w:rsidRDefault="00DE63BD" w:rsidP="00DE63BD">
            <w:pPr>
              <w:rPr>
                <w:rFonts w:eastAsia="Times New Roman" w:cs="Arial"/>
                <w:sz w:val="24"/>
                <w:szCs w:val="24"/>
              </w:rPr>
            </w:pPr>
            <w:r w:rsidRPr="00EB4082">
              <w:rPr>
                <w:rFonts w:eastAsia="Times New Roman" w:cs="Arial"/>
                <w:sz w:val="24"/>
                <w:szCs w:val="24"/>
              </w:rPr>
              <w:t>Algorithm Development</w:t>
            </w:r>
          </w:p>
        </w:tc>
      </w:tr>
      <w:tr w:rsidR="00DE63BD" w:rsidRPr="00EB4082" w14:paraId="5F7B9409" w14:textId="77777777" w:rsidTr="00B50944">
        <w:tc>
          <w:tcPr>
            <w:tcW w:w="0" w:type="auto"/>
            <w:hideMark/>
          </w:tcPr>
          <w:p w14:paraId="79080324" w14:textId="77777777" w:rsidR="00DE63BD" w:rsidRPr="00EB4082" w:rsidRDefault="00DE63BD" w:rsidP="00DE63BD">
            <w:pPr>
              <w:rPr>
                <w:rFonts w:eastAsia="Times New Roman" w:cs="Arial"/>
                <w:sz w:val="24"/>
                <w:szCs w:val="24"/>
              </w:rPr>
            </w:pPr>
            <w:r w:rsidRPr="00EB4082">
              <w:rPr>
                <w:rFonts w:eastAsia="Times New Roman" w:cs="Arial"/>
                <w:sz w:val="24"/>
                <w:szCs w:val="24"/>
              </w:rPr>
              <w:t>Performance Evaluation (Simulations)</w:t>
            </w:r>
          </w:p>
        </w:tc>
        <w:tc>
          <w:tcPr>
            <w:tcW w:w="0" w:type="auto"/>
            <w:hideMark/>
          </w:tcPr>
          <w:p w14:paraId="436D813A"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5B035F5E" w14:textId="5B730176" w:rsidR="00DE63BD" w:rsidRPr="00EB4082" w:rsidRDefault="00DE63BD" w:rsidP="00DE63BD">
            <w:pPr>
              <w:rPr>
                <w:rFonts w:eastAsia="Times New Roman" w:cs="Arial"/>
                <w:sz w:val="24"/>
                <w:szCs w:val="24"/>
              </w:rPr>
            </w:pPr>
            <w:r w:rsidRPr="00EB4082">
              <w:rPr>
                <w:rFonts w:eastAsia="Times New Roman" w:cs="Arial"/>
                <w:sz w:val="24"/>
                <w:szCs w:val="24"/>
              </w:rPr>
              <w:t>11</w:t>
            </w:r>
          </w:p>
        </w:tc>
        <w:tc>
          <w:tcPr>
            <w:tcW w:w="0" w:type="auto"/>
            <w:hideMark/>
          </w:tcPr>
          <w:p w14:paraId="2B6E7610" w14:textId="77777777" w:rsidR="00DE63BD" w:rsidRPr="00EB4082" w:rsidRDefault="00DE63BD" w:rsidP="00DE63BD">
            <w:pPr>
              <w:rPr>
                <w:rFonts w:eastAsia="Times New Roman" w:cs="Arial"/>
                <w:sz w:val="24"/>
                <w:szCs w:val="24"/>
              </w:rPr>
            </w:pPr>
            <w:r w:rsidRPr="00EB4082">
              <w:rPr>
                <w:rFonts w:eastAsia="Times New Roman" w:cs="Arial"/>
                <w:sz w:val="24"/>
                <w:szCs w:val="24"/>
              </w:rPr>
              <w:t>13</w:t>
            </w:r>
          </w:p>
        </w:tc>
        <w:tc>
          <w:tcPr>
            <w:tcW w:w="0" w:type="auto"/>
            <w:hideMark/>
          </w:tcPr>
          <w:p w14:paraId="47B40048" w14:textId="77777777" w:rsidR="00DE63BD" w:rsidRPr="00EB4082" w:rsidRDefault="00DE63BD" w:rsidP="00DE63BD">
            <w:pPr>
              <w:rPr>
                <w:rFonts w:eastAsia="Times New Roman" w:cs="Arial"/>
                <w:sz w:val="24"/>
                <w:szCs w:val="24"/>
              </w:rPr>
            </w:pPr>
            <w:r w:rsidRPr="00EB4082">
              <w:rPr>
                <w:rFonts w:eastAsia="Times New Roman" w:cs="Arial"/>
                <w:sz w:val="24"/>
                <w:szCs w:val="24"/>
              </w:rPr>
              <w:t>Algorithm Development</w:t>
            </w:r>
          </w:p>
        </w:tc>
      </w:tr>
      <w:tr w:rsidR="00DE63BD" w:rsidRPr="00EB4082" w14:paraId="735C5B3F" w14:textId="77777777" w:rsidTr="00B50944">
        <w:tc>
          <w:tcPr>
            <w:tcW w:w="0" w:type="auto"/>
            <w:hideMark/>
          </w:tcPr>
          <w:p w14:paraId="22EAFADB" w14:textId="77777777" w:rsidR="00DE63BD" w:rsidRPr="00EB4082" w:rsidRDefault="00DE63BD" w:rsidP="00DE63BD">
            <w:pPr>
              <w:rPr>
                <w:rFonts w:eastAsia="Times New Roman" w:cs="Arial"/>
                <w:sz w:val="24"/>
                <w:szCs w:val="24"/>
              </w:rPr>
            </w:pPr>
            <w:r w:rsidRPr="00EB4082">
              <w:rPr>
                <w:rFonts w:eastAsia="Times New Roman" w:cs="Arial"/>
                <w:sz w:val="24"/>
                <w:szCs w:val="24"/>
              </w:rPr>
              <w:t>Performance Evaluation (Case Studies)</w:t>
            </w:r>
          </w:p>
        </w:tc>
        <w:tc>
          <w:tcPr>
            <w:tcW w:w="0" w:type="auto"/>
            <w:hideMark/>
          </w:tcPr>
          <w:p w14:paraId="2BA67861"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2C64EC65" w14:textId="7449A1F6" w:rsidR="00DE63BD" w:rsidRPr="00EB4082" w:rsidRDefault="00DE63BD" w:rsidP="00DE63BD">
            <w:pPr>
              <w:rPr>
                <w:rFonts w:eastAsia="Times New Roman" w:cs="Arial"/>
                <w:sz w:val="24"/>
                <w:szCs w:val="24"/>
              </w:rPr>
            </w:pPr>
            <w:r w:rsidRPr="00EB4082">
              <w:rPr>
                <w:rFonts w:eastAsia="Times New Roman" w:cs="Arial"/>
                <w:sz w:val="24"/>
                <w:szCs w:val="24"/>
              </w:rPr>
              <w:t>13</w:t>
            </w:r>
          </w:p>
        </w:tc>
        <w:tc>
          <w:tcPr>
            <w:tcW w:w="0" w:type="auto"/>
            <w:hideMark/>
          </w:tcPr>
          <w:p w14:paraId="36CD9949" w14:textId="77777777" w:rsidR="00DE63BD" w:rsidRPr="00EB4082" w:rsidRDefault="00DE63BD" w:rsidP="00DE63BD">
            <w:pPr>
              <w:rPr>
                <w:rFonts w:eastAsia="Times New Roman" w:cs="Arial"/>
                <w:sz w:val="24"/>
                <w:szCs w:val="24"/>
              </w:rPr>
            </w:pPr>
            <w:r w:rsidRPr="00EB4082">
              <w:rPr>
                <w:rFonts w:eastAsia="Times New Roman" w:cs="Arial"/>
                <w:sz w:val="24"/>
                <w:szCs w:val="24"/>
              </w:rPr>
              <w:t>15</w:t>
            </w:r>
          </w:p>
        </w:tc>
        <w:tc>
          <w:tcPr>
            <w:tcW w:w="0" w:type="auto"/>
            <w:hideMark/>
          </w:tcPr>
          <w:p w14:paraId="087E6103" w14:textId="77777777" w:rsidR="00DE63BD" w:rsidRPr="00EB4082" w:rsidRDefault="00DE63BD" w:rsidP="00DE63BD">
            <w:pPr>
              <w:rPr>
                <w:rFonts w:eastAsia="Times New Roman" w:cs="Arial"/>
                <w:sz w:val="24"/>
                <w:szCs w:val="24"/>
              </w:rPr>
            </w:pPr>
            <w:r w:rsidRPr="00EB4082">
              <w:rPr>
                <w:rFonts w:eastAsia="Times New Roman" w:cs="Arial"/>
                <w:sz w:val="24"/>
                <w:szCs w:val="24"/>
              </w:rPr>
              <w:t>Data Acquisition</w:t>
            </w:r>
          </w:p>
        </w:tc>
      </w:tr>
      <w:tr w:rsidR="00DE63BD" w:rsidRPr="00EB4082" w14:paraId="6FB517A1" w14:textId="77777777" w:rsidTr="00B50944">
        <w:tc>
          <w:tcPr>
            <w:tcW w:w="0" w:type="auto"/>
            <w:hideMark/>
          </w:tcPr>
          <w:p w14:paraId="392571B4" w14:textId="77777777" w:rsidR="00DE63BD" w:rsidRPr="00EB4082" w:rsidRDefault="00DE63BD" w:rsidP="00DE63BD">
            <w:pPr>
              <w:rPr>
                <w:rFonts w:eastAsia="Times New Roman" w:cs="Arial"/>
                <w:sz w:val="24"/>
                <w:szCs w:val="24"/>
              </w:rPr>
            </w:pPr>
            <w:r w:rsidRPr="00EB4082">
              <w:rPr>
                <w:rFonts w:eastAsia="Times New Roman" w:cs="Arial"/>
                <w:sz w:val="24"/>
                <w:szCs w:val="24"/>
              </w:rPr>
              <w:t>Analysis and Reporting</w:t>
            </w:r>
          </w:p>
        </w:tc>
        <w:tc>
          <w:tcPr>
            <w:tcW w:w="0" w:type="auto"/>
            <w:hideMark/>
          </w:tcPr>
          <w:p w14:paraId="6C87DCEE" w14:textId="77777777" w:rsidR="00DE63BD" w:rsidRPr="00EB4082" w:rsidRDefault="00DE63BD" w:rsidP="00DE63BD">
            <w:pPr>
              <w:rPr>
                <w:rFonts w:eastAsia="Times New Roman" w:cs="Arial"/>
                <w:sz w:val="24"/>
                <w:szCs w:val="24"/>
              </w:rPr>
            </w:pPr>
            <w:r w:rsidRPr="00EB4082">
              <w:rPr>
                <w:rFonts w:eastAsia="Times New Roman" w:cs="Arial"/>
                <w:sz w:val="24"/>
                <w:szCs w:val="24"/>
              </w:rPr>
              <w:t>2</w:t>
            </w:r>
          </w:p>
        </w:tc>
        <w:tc>
          <w:tcPr>
            <w:tcW w:w="0" w:type="auto"/>
            <w:hideMark/>
          </w:tcPr>
          <w:p w14:paraId="33338ECC" w14:textId="2BDFC308" w:rsidR="00DE63BD" w:rsidRPr="00EB4082" w:rsidRDefault="00DE63BD" w:rsidP="00DE63BD">
            <w:pPr>
              <w:rPr>
                <w:rFonts w:eastAsia="Times New Roman" w:cs="Arial"/>
                <w:sz w:val="24"/>
                <w:szCs w:val="24"/>
              </w:rPr>
            </w:pPr>
            <w:r w:rsidRPr="00EB4082">
              <w:rPr>
                <w:rFonts w:eastAsia="Times New Roman" w:cs="Arial"/>
                <w:sz w:val="24"/>
                <w:szCs w:val="24"/>
              </w:rPr>
              <w:t>15</w:t>
            </w:r>
          </w:p>
        </w:tc>
        <w:tc>
          <w:tcPr>
            <w:tcW w:w="0" w:type="auto"/>
            <w:hideMark/>
          </w:tcPr>
          <w:p w14:paraId="5BF9F702" w14:textId="77777777" w:rsidR="00DE63BD" w:rsidRPr="00EB4082" w:rsidRDefault="00DE63BD" w:rsidP="00DE63BD">
            <w:pPr>
              <w:rPr>
                <w:rFonts w:eastAsia="Times New Roman" w:cs="Arial"/>
                <w:sz w:val="24"/>
                <w:szCs w:val="24"/>
              </w:rPr>
            </w:pPr>
            <w:r w:rsidRPr="00EB4082">
              <w:rPr>
                <w:rFonts w:eastAsia="Times New Roman" w:cs="Arial"/>
                <w:sz w:val="24"/>
                <w:szCs w:val="24"/>
              </w:rPr>
              <w:t>17</w:t>
            </w:r>
          </w:p>
        </w:tc>
        <w:tc>
          <w:tcPr>
            <w:tcW w:w="0" w:type="auto"/>
            <w:hideMark/>
          </w:tcPr>
          <w:p w14:paraId="1F85EBD5" w14:textId="77777777" w:rsidR="00DE63BD" w:rsidRPr="00EB4082" w:rsidRDefault="00DE63BD" w:rsidP="00DE63BD">
            <w:pPr>
              <w:rPr>
                <w:rFonts w:eastAsia="Times New Roman" w:cs="Arial"/>
                <w:sz w:val="24"/>
                <w:szCs w:val="24"/>
              </w:rPr>
            </w:pPr>
            <w:r w:rsidRPr="00EB4082">
              <w:rPr>
                <w:rFonts w:eastAsia="Times New Roman" w:cs="Arial"/>
                <w:sz w:val="24"/>
                <w:szCs w:val="24"/>
              </w:rPr>
              <w:t>Performance Evaluation</w:t>
            </w:r>
          </w:p>
        </w:tc>
      </w:tr>
      <w:tr w:rsidR="00DE63BD" w:rsidRPr="00EB4082" w14:paraId="6D6AF7C3" w14:textId="77777777" w:rsidTr="00B50944">
        <w:tc>
          <w:tcPr>
            <w:tcW w:w="0" w:type="auto"/>
            <w:hideMark/>
          </w:tcPr>
          <w:p w14:paraId="11585FBF" w14:textId="77777777" w:rsidR="00DE63BD" w:rsidRPr="00EB4082" w:rsidRDefault="00DE63BD" w:rsidP="00DE63BD">
            <w:pPr>
              <w:rPr>
                <w:rFonts w:eastAsia="Times New Roman" w:cs="Arial"/>
                <w:sz w:val="24"/>
                <w:szCs w:val="24"/>
              </w:rPr>
            </w:pPr>
            <w:r w:rsidRPr="00EB4082">
              <w:rPr>
                <w:rFonts w:eastAsia="Times New Roman" w:cs="Arial"/>
                <w:sz w:val="24"/>
                <w:szCs w:val="24"/>
              </w:rPr>
              <w:t>Project Documentation</w:t>
            </w:r>
          </w:p>
        </w:tc>
        <w:tc>
          <w:tcPr>
            <w:tcW w:w="0" w:type="auto"/>
            <w:hideMark/>
          </w:tcPr>
          <w:p w14:paraId="065DD737" w14:textId="77777777" w:rsidR="00DE63BD" w:rsidRPr="00EB4082" w:rsidRDefault="00DE63BD" w:rsidP="00DE63BD">
            <w:pPr>
              <w:rPr>
                <w:rFonts w:eastAsia="Times New Roman" w:cs="Arial"/>
                <w:sz w:val="24"/>
                <w:szCs w:val="24"/>
              </w:rPr>
            </w:pPr>
            <w:r w:rsidRPr="00EB4082">
              <w:rPr>
                <w:rFonts w:eastAsia="Times New Roman" w:cs="Arial"/>
                <w:sz w:val="24"/>
                <w:szCs w:val="24"/>
              </w:rPr>
              <w:t>1</w:t>
            </w:r>
          </w:p>
        </w:tc>
        <w:tc>
          <w:tcPr>
            <w:tcW w:w="0" w:type="auto"/>
            <w:hideMark/>
          </w:tcPr>
          <w:p w14:paraId="59160EA1" w14:textId="255A2317" w:rsidR="00DE63BD" w:rsidRPr="00EB4082" w:rsidRDefault="00DE63BD" w:rsidP="00DE63BD">
            <w:pPr>
              <w:rPr>
                <w:rFonts w:eastAsia="Times New Roman" w:cs="Arial"/>
                <w:sz w:val="24"/>
                <w:szCs w:val="24"/>
              </w:rPr>
            </w:pPr>
            <w:r w:rsidRPr="00EB4082">
              <w:rPr>
                <w:rFonts w:eastAsia="Times New Roman" w:cs="Arial"/>
                <w:sz w:val="24"/>
                <w:szCs w:val="24"/>
              </w:rPr>
              <w:t>17</w:t>
            </w:r>
          </w:p>
        </w:tc>
        <w:tc>
          <w:tcPr>
            <w:tcW w:w="0" w:type="auto"/>
            <w:hideMark/>
          </w:tcPr>
          <w:p w14:paraId="3E3C126D" w14:textId="77777777" w:rsidR="00DE63BD" w:rsidRPr="00EB4082" w:rsidRDefault="00DE63BD" w:rsidP="00DE63BD">
            <w:pPr>
              <w:rPr>
                <w:rFonts w:eastAsia="Times New Roman" w:cs="Arial"/>
                <w:sz w:val="24"/>
                <w:szCs w:val="24"/>
              </w:rPr>
            </w:pPr>
            <w:r w:rsidRPr="00EB4082">
              <w:rPr>
                <w:rFonts w:eastAsia="Times New Roman" w:cs="Arial"/>
                <w:sz w:val="24"/>
                <w:szCs w:val="24"/>
              </w:rPr>
              <w:t>18</w:t>
            </w:r>
          </w:p>
        </w:tc>
        <w:tc>
          <w:tcPr>
            <w:tcW w:w="0" w:type="auto"/>
            <w:hideMark/>
          </w:tcPr>
          <w:p w14:paraId="219BB492" w14:textId="77777777" w:rsidR="00DE63BD" w:rsidRPr="00EB4082" w:rsidRDefault="00DE63BD" w:rsidP="00DE63BD">
            <w:pPr>
              <w:rPr>
                <w:rFonts w:eastAsia="Times New Roman" w:cs="Arial"/>
                <w:sz w:val="24"/>
                <w:szCs w:val="24"/>
              </w:rPr>
            </w:pPr>
            <w:r w:rsidRPr="00EB4082">
              <w:rPr>
                <w:rFonts w:eastAsia="Times New Roman" w:cs="Arial"/>
                <w:sz w:val="24"/>
                <w:szCs w:val="24"/>
              </w:rPr>
              <w:t>Analysis and Reporting</w:t>
            </w:r>
          </w:p>
        </w:tc>
      </w:tr>
      <w:tr w:rsidR="00DE63BD" w:rsidRPr="00EB4082" w14:paraId="42F7EB8A" w14:textId="77777777" w:rsidTr="00B50944">
        <w:tc>
          <w:tcPr>
            <w:tcW w:w="0" w:type="auto"/>
            <w:hideMark/>
          </w:tcPr>
          <w:p w14:paraId="3BAFF2EB" w14:textId="77777777" w:rsidR="00DE63BD" w:rsidRPr="00EB4082" w:rsidRDefault="00DE63BD" w:rsidP="00DE63BD">
            <w:pPr>
              <w:rPr>
                <w:rFonts w:eastAsia="Times New Roman" w:cs="Arial"/>
                <w:sz w:val="24"/>
                <w:szCs w:val="24"/>
              </w:rPr>
            </w:pPr>
            <w:r w:rsidRPr="00EB4082">
              <w:rPr>
                <w:rFonts w:eastAsia="Times New Roman" w:cs="Arial"/>
                <w:sz w:val="24"/>
                <w:szCs w:val="24"/>
              </w:rPr>
              <w:t>Project Presentation</w:t>
            </w:r>
          </w:p>
        </w:tc>
        <w:tc>
          <w:tcPr>
            <w:tcW w:w="0" w:type="auto"/>
            <w:hideMark/>
          </w:tcPr>
          <w:p w14:paraId="6806FD9B" w14:textId="77777777" w:rsidR="00DE63BD" w:rsidRPr="00EB4082" w:rsidRDefault="00DE63BD" w:rsidP="00DE63BD">
            <w:pPr>
              <w:rPr>
                <w:rFonts w:eastAsia="Times New Roman" w:cs="Arial"/>
                <w:sz w:val="24"/>
                <w:szCs w:val="24"/>
              </w:rPr>
            </w:pPr>
            <w:r w:rsidRPr="00EB4082">
              <w:rPr>
                <w:rFonts w:eastAsia="Times New Roman" w:cs="Arial"/>
                <w:sz w:val="24"/>
                <w:szCs w:val="24"/>
              </w:rPr>
              <w:t>0.5</w:t>
            </w:r>
          </w:p>
        </w:tc>
        <w:tc>
          <w:tcPr>
            <w:tcW w:w="0" w:type="auto"/>
            <w:hideMark/>
          </w:tcPr>
          <w:p w14:paraId="6F3C1426" w14:textId="54AB6BF4" w:rsidR="00DE63BD" w:rsidRPr="00EB4082" w:rsidRDefault="00DE63BD" w:rsidP="00DE63BD">
            <w:pPr>
              <w:rPr>
                <w:rFonts w:eastAsia="Times New Roman" w:cs="Arial"/>
                <w:sz w:val="24"/>
                <w:szCs w:val="24"/>
              </w:rPr>
            </w:pPr>
            <w:r w:rsidRPr="00EB4082">
              <w:rPr>
                <w:rFonts w:eastAsia="Times New Roman" w:cs="Arial"/>
                <w:sz w:val="24"/>
                <w:szCs w:val="24"/>
              </w:rPr>
              <w:t>18</w:t>
            </w:r>
          </w:p>
        </w:tc>
        <w:tc>
          <w:tcPr>
            <w:tcW w:w="0" w:type="auto"/>
            <w:hideMark/>
          </w:tcPr>
          <w:p w14:paraId="6EDDE4C5" w14:textId="77777777" w:rsidR="00DE63BD" w:rsidRPr="00EB4082" w:rsidRDefault="00DE63BD" w:rsidP="00DE63BD">
            <w:pPr>
              <w:rPr>
                <w:rFonts w:eastAsia="Times New Roman" w:cs="Arial"/>
                <w:sz w:val="24"/>
                <w:szCs w:val="24"/>
              </w:rPr>
            </w:pPr>
            <w:r w:rsidRPr="00EB4082">
              <w:rPr>
                <w:rFonts w:eastAsia="Times New Roman" w:cs="Arial"/>
                <w:sz w:val="24"/>
                <w:szCs w:val="24"/>
              </w:rPr>
              <w:t>18.5</w:t>
            </w:r>
          </w:p>
        </w:tc>
        <w:tc>
          <w:tcPr>
            <w:tcW w:w="0" w:type="auto"/>
            <w:hideMark/>
          </w:tcPr>
          <w:p w14:paraId="519E5A38" w14:textId="77777777" w:rsidR="00DE63BD" w:rsidRPr="00EB4082" w:rsidRDefault="00DE63BD" w:rsidP="00DE63BD">
            <w:pPr>
              <w:rPr>
                <w:rFonts w:eastAsia="Times New Roman" w:cs="Arial"/>
                <w:sz w:val="24"/>
                <w:szCs w:val="24"/>
              </w:rPr>
            </w:pPr>
            <w:r w:rsidRPr="00EB4082">
              <w:rPr>
                <w:rFonts w:eastAsia="Times New Roman" w:cs="Arial"/>
                <w:sz w:val="24"/>
                <w:szCs w:val="24"/>
              </w:rPr>
              <w:t>Project Documentation</w:t>
            </w:r>
          </w:p>
        </w:tc>
      </w:tr>
    </w:tbl>
    <w:p w14:paraId="3C13D4C4" w14:textId="77777777" w:rsidR="00EB4082" w:rsidRPr="00EB4082" w:rsidRDefault="00EB4082" w:rsidP="00EB4082">
      <w:pPr>
        <w:spacing w:before="120" w:after="0" w:line="240" w:lineRule="auto"/>
        <w:rPr>
          <w:rFonts w:cs="Arial"/>
        </w:rPr>
      </w:pPr>
    </w:p>
    <w:p w14:paraId="2B4A0FD4" w14:textId="77777777" w:rsidR="00DE63BD" w:rsidRDefault="00DE63BD" w:rsidP="00EB4082">
      <w:pPr>
        <w:rPr>
          <w:rFonts w:cs="Arial"/>
          <w:b/>
        </w:rPr>
      </w:pPr>
    </w:p>
    <w:p w14:paraId="73987461" w14:textId="77777777" w:rsidR="00DE63BD" w:rsidRDefault="00DE63BD" w:rsidP="00EB4082">
      <w:pPr>
        <w:rPr>
          <w:rFonts w:cs="Arial"/>
          <w:b/>
        </w:rPr>
      </w:pPr>
    </w:p>
    <w:p w14:paraId="7E13395F" w14:textId="77777777" w:rsidR="00DE63BD" w:rsidRDefault="00DE63BD" w:rsidP="00EB4082">
      <w:pPr>
        <w:rPr>
          <w:rFonts w:cs="Arial"/>
          <w:b/>
        </w:rPr>
      </w:pPr>
    </w:p>
    <w:p w14:paraId="35020124" w14:textId="77777777" w:rsidR="00DE63BD" w:rsidRDefault="00DE63BD" w:rsidP="00EB4082">
      <w:pPr>
        <w:rPr>
          <w:rFonts w:cs="Arial"/>
          <w:b/>
        </w:rPr>
      </w:pPr>
    </w:p>
    <w:p w14:paraId="17AE7F29" w14:textId="77777777" w:rsidR="00DE63BD" w:rsidRDefault="00DE63BD" w:rsidP="00EB4082">
      <w:pPr>
        <w:rPr>
          <w:rFonts w:cs="Arial"/>
          <w:b/>
        </w:rPr>
      </w:pPr>
    </w:p>
    <w:p w14:paraId="44A52411" w14:textId="77777777" w:rsidR="00C52FE0" w:rsidRDefault="00C52FE0" w:rsidP="00EB4082">
      <w:pPr>
        <w:rPr>
          <w:rFonts w:cs="Arial"/>
          <w:b/>
        </w:rPr>
      </w:pPr>
    </w:p>
    <w:p w14:paraId="68AD1E9A" w14:textId="77777777" w:rsidR="00C52FE0" w:rsidRDefault="00C52FE0" w:rsidP="00EB4082">
      <w:pPr>
        <w:rPr>
          <w:rFonts w:cs="Arial"/>
          <w:b/>
        </w:rPr>
      </w:pPr>
    </w:p>
    <w:p w14:paraId="3121AD88" w14:textId="77777777" w:rsidR="00C52FE0" w:rsidRDefault="00C52FE0" w:rsidP="00EB4082">
      <w:pPr>
        <w:rPr>
          <w:rFonts w:cs="Arial"/>
          <w:b/>
        </w:rPr>
      </w:pPr>
    </w:p>
    <w:p w14:paraId="5FD62F8E" w14:textId="547BEC36" w:rsidR="00EB4082" w:rsidRPr="00282B94" w:rsidRDefault="00EB4082" w:rsidP="00EB4082">
      <w:pPr>
        <w:rPr>
          <w:rFonts w:cs="Arial"/>
          <w:b/>
          <w:sz w:val="24"/>
          <w:szCs w:val="24"/>
        </w:rPr>
      </w:pPr>
      <w:r w:rsidRPr="00282B94">
        <w:rPr>
          <w:rFonts w:cs="Arial"/>
          <w:b/>
          <w:sz w:val="24"/>
          <w:szCs w:val="24"/>
        </w:rPr>
        <w:lastRenderedPageBreak/>
        <w:t>References</w:t>
      </w:r>
    </w:p>
    <w:p w14:paraId="358AABE6"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Amin, A., Tareen, W. U. K., Usman, M., Ali, H., Bari, I., Horan, B., ... &amp; Mahmood, A. (2020). A review of optimal charging strategy for electric vehicles under dynamic pricing schemes in the distribution charging network. </w:t>
      </w:r>
      <w:r w:rsidRPr="00282B94">
        <w:rPr>
          <w:rFonts w:cs="Arial"/>
          <w:i/>
          <w:iCs/>
          <w:color w:val="222222"/>
          <w:sz w:val="24"/>
          <w:szCs w:val="24"/>
          <w:shd w:val="clear" w:color="auto" w:fill="FFFFFF"/>
        </w:rPr>
        <w:t>Sustainability</w:t>
      </w:r>
      <w:r w:rsidRPr="00282B94">
        <w:rPr>
          <w:rFonts w:cs="Arial"/>
          <w:color w:val="222222"/>
          <w:sz w:val="24"/>
          <w:szCs w:val="24"/>
          <w:shd w:val="clear" w:color="auto" w:fill="FFFFFF"/>
        </w:rPr>
        <w:t>, </w:t>
      </w:r>
      <w:r w:rsidRPr="00282B94">
        <w:rPr>
          <w:rFonts w:cs="Arial"/>
          <w:i/>
          <w:iCs/>
          <w:color w:val="222222"/>
          <w:sz w:val="24"/>
          <w:szCs w:val="24"/>
          <w:shd w:val="clear" w:color="auto" w:fill="FFFFFF"/>
        </w:rPr>
        <w:t>12</w:t>
      </w:r>
      <w:r w:rsidRPr="00282B94">
        <w:rPr>
          <w:rFonts w:cs="Arial"/>
          <w:color w:val="222222"/>
          <w:sz w:val="24"/>
          <w:szCs w:val="24"/>
          <w:shd w:val="clear" w:color="auto" w:fill="FFFFFF"/>
        </w:rPr>
        <w:t>(23), 10160.</w:t>
      </w:r>
    </w:p>
    <w:p w14:paraId="23F15592" w14:textId="77777777" w:rsidR="00282B94" w:rsidRPr="00282B94" w:rsidRDefault="00282B94" w:rsidP="00282B94">
      <w:pPr>
        <w:rPr>
          <w:rFonts w:cs="Arial"/>
          <w:color w:val="222222"/>
          <w:sz w:val="24"/>
          <w:szCs w:val="24"/>
          <w:shd w:val="clear" w:color="auto" w:fill="FFFFFF"/>
        </w:rPr>
      </w:pPr>
      <w:proofErr w:type="spellStart"/>
      <w:r w:rsidRPr="00282B94">
        <w:rPr>
          <w:rFonts w:cs="Arial"/>
          <w:color w:val="222222"/>
          <w:sz w:val="24"/>
          <w:szCs w:val="24"/>
          <w:shd w:val="clear" w:color="auto" w:fill="FFFFFF"/>
          <w:lang w:val="en-US"/>
        </w:rPr>
        <w:t>Bastani</w:t>
      </w:r>
      <w:proofErr w:type="spellEnd"/>
      <w:r w:rsidRPr="00282B94">
        <w:rPr>
          <w:rFonts w:cs="Arial"/>
          <w:color w:val="222222"/>
          <w:sz w:val="24"/>
          <w:szCs w:val="24"/>
          <w:shd w:val="clear" w:color="auto" w:fill="FFFFFF"/>
          <w:lang w:val="en-US"/>
        </w:rPr>
        <w:t xml:space="preserve">, H., </w:t>
      </w:r>
      <w:proofErr w:type="spellStart"/>
      <w:r w:rsidRPr="00282B94">
        <w:rPr>
          <w:rFonts w:cs="Arial"/>
          <w:color w:val="222222"/>
          <w:sz w:val="24"/>
          <w:szCs w:val="24"/>
          <w:shd w:val="clear" w:color="auto" w:fill="FFFFFF"/>
          <w:lang w:val="en-US"/>
        </w:rPr>
        <w:t>Simchi</w:t>
      </w:r>
      <w:proofErr w:type="spellEnd"/>
      <w:r w:rsidRPr="00282B94">
        <w:rPr>
          <w:rFonts w:cs="Arial"/>
          <w:color w:val="222222"/>
          <w:sz w:val="24"/>
          <w:szCs w:val="24"/>
          <w:shd w:val="clear" w:color="auto" w:fill="FFFFFF"/>
          <w:lang w:val="en-US"/>
        </w:rPr>
        <w:t xml:space="preserve">-Levi, D., &amp; Zhu, R. (2022). </w:t>
      </w:r>
      <w:r w:rsidRPr="00282B94">
        <w:rPr>
          <w:rFonts w:cs="Arial"/>
          <w:color w:val="222222"/>
          <w:sz w:val="24"/>
          <w:szCs w:val="24"/>
          <w:shd w:val="clear" w:color="auto" w:fill="FFFFFF"/>
        </w:rPr>
        <w:t>Meta dynamic pricing: Transfer learning across experiments. </w:t>
      </w:r>
      <w:r w:rsidRPr="00282B94">
        <w:rPr>
          <w:rFonts w:cs="Arial"/>
          <w:i/>
          <w:iCs/>
          <w:color w:val="222222"/>
          <w:sz w:val="24"/>
          <w:szCs w:val="24"/>
          <w:shd w:val="clear" w:color="auto" w:fill="FFFFFF"/>
        </w:rPr>
        <w:t>Management Science</w:t>
      </w:r>
      <w:r w:rsidRPr="00282B94">
        <w:rPr>
          <w:rFonts w:cs="Arial"/>
          <w:color w:val="222222"/>
          <w:sz w:val="24"/>
          <w:szCs w:val="24"/>
          <w:shd w:val="clear" w:color="auto" w:fill="FFFFFF"/>
        </w:rPr>
        <w:t>, </w:t>
      </w:r>
      <w:r w:rsidRPr="00282B94">
        <w:rPr>
          <w:rFonts w:cs="Arial"/>
          <w:i/>
          <w:iCs/>
          <w:color w:val="222222"/>
          <w:sz w:val="24"/>
          <w:szCs w:val="24"/>
          <w:shd w:val="clear" w:color="auto" w:fill="FFFFFF"/>
        </w:rPr>
        <w:t>68</w:t>
      </w:r>
      <w:r w:rsidRPr="00282B94">
        <w:rPr>
          <w:rFonts w:cs="Arial"/>
          <w:color w:val="222222"/>
          <w:sz w:val="24"/>
          <w:szCs w:val="24"/>
          <w:shd w:val="clear" w:color="auto" w:fill="FFFFFF"/>
        </w:rPr>
        <w:t>(3), 1865-1881.</w:t>
      </w:r>
    </w:p>
    <w:p w14:paraId="7C6C92A9" w14:textId="77777777" w:rsidR="00282B94" w:rsidRPr="00282B94" w:rsidRDefault="00282B94" w:rsidP="00282B94">
      <w:pPr>
        <w:rPr>
          <w:rFonts w:cs="Arial"/>
          <w:color w:val="222222"/>
          <w:sz w:val="24"/>
          <w:szCs w:val="24"/>
          <w:shd w:val="clear" w:color="auto" w:fill="FFFFFF"/>
        </w:rPr>
      </w:pPr>
      <w:proofErr w:type="spellStart"/>
      <w:r w:rsidRPr="00282B94">
        <w:rPr>
          <w:rFonts w:cs="Arial"/>
          <w:color w:val="222222"/>
          <w:sz w:val="24"/>
          <w:szCs w:val="24"/>
          <w:shd w:val="clear" w:color="auto" w:fill="FFFFFF"/>
        </w:rPr>
        <w:t>Blaudow</w:t>
      </w:r>
      <w:proofErr w:type="spellEnd"/>
      <w:r w:rsidRPr="00282B94">
        <w:rPr>
          <w:rFonts w:cs="Arial"/>
          <w:color w:val="222222"/>
          <w:sz w:val="24"/>
          <w:szCs w:val="24"/>
          <w:shd w:val="clear" w:color="auto" w:fill="FFFFFF"/>
        </w:rPr>
        <w:t>, C., &amp; Burg, F. (2018). Dynamic pricing as a challenge for consumer price statistics. </w:t>
      </w:r>
      <w:r w:rsidRPr="00282B94">
        <w:rPr>
          <w:rFonts w:cs="Arial"/>
          <w:i/>
          <w:iCs/>
          <w:color w:val="222222"/>
          <w:sz w:val="24"/>
          <w:szCs w:val="24"/>
          <w:shd w:val="clear" w:color="auto" w:fill="FFFFFF"/>
        </w:rPr>
        <w:t>EURONA</w:t>
      </w:r>
      <w:r w:rsidRPr="00282B94">
        <w:rPr>
          <w:rFonts w:cs="Arial"/>
          <w:color w:val="222222"/>
          <w:sz w:val="24"/>
          <w:szCs w:val="24"/>
          <w:shd w:val="clear" w:color="auto" w:fill="FFFFFF"/>
        </w:rPr>
        <w:t>, </w:t>
      </w:r>
      <w:r w:rsidRPr="00282B94">
        <w:rPr>
          <w:rFonts w:cs="Arial"/>
          <w:i/>
          <w:iCs/>
          <w:color w:val="222222"/>
          <w:sz w:val="24"/>
          <w:szCs w:val="24"/>
          <w:shd w:val="clear" w:color="auto" w:fill="FFFFFF"/>
        </w:rPr>
        <w:t>1</w:t>
      </w:r>
      <w:r w:rsidRPr="00282B94">
        <w:rPr>
          <w:rFonts w:cs="Arial"/>
          <w:color w:val="222222"/>
          <w:sz w:val="24"/>
          <w:szCs w:val="24"/>
          <w:shd w:val="clear" w:color="auto" w:fill="FFFFFF"/>
        </w:rPr>
        <w:t>, 16.</w:t>
      </w:r>
    </w:p>
    <w:p w14:paraId="6C434851"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Chen, L., Nan, G., &amp; Li, M. (2018). Wholesale pricing or agency pricing on online retail platforms: The effects of customer loyalty. </w:t>
      </w:r>
      <w:r w:rsidRPr="00282B94">
        <w:rPr>
          <w:rFonts w:cs="Arial"/>
          <w:i/>
          <w:iCs/>
          <w:color w:val="222222"/>
          <w:sz w:val="24"/>
          <w:szCs w:val="24"/>
          <w:shd w:val="clear" w:color="auto" w:fill="FFFFFF"/>
        </w:rPr>
        <w:t>International Journal of Electronic Commerce</w:t>
      </w:r>
      <w:r w:rsidRPr="00282B94">
        <w:rPr>
          <w:rFonts w:cs="Arial"/>
          <w:color w:val="222222"/>
          <w:sz w:val="24"/>
          <w:szCs w:val="24"/>
          <w:shd w:val="clear" w:color="auto" w:fill="FFFFFF"/>
        </w:rPr>
        <w:t>, </w:t>
      </w:r>
      <w:r w:rsidRPr="00282B94">
        <w:rPr>
          <w:rFonts w:cs="Arial"/>
          <w:i/>
          <w:iCs/>
          <w:color w:val="222222"/>
          <w:sz w:val="24"/>
          <w:szCs w:val="24"/>
          <w:shd w:val="clear" w:color="auto" w:fill="FFFFFF"/>
        </w:rPr>
        <w:t>22</w:t>
      </w:r>
      <w:r w:rsidRPr="00282B94">
        <w:rPr>
          <w:rFonts w:cs="Arial"/>
          <w:color w:val="222222"/>
          <w:sz w:val="24"/>
          <w:szCs w:val="24"/>
          <w:shd w:val="clear" w:color="auto" w:fill="FFFFFF"/>
        </w:rPr>
        <w:t>(4), 576-608.</w:t>
      </w:r>
    </w:p>
    <w:p w14:paraId="6C3A2D0E"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Chen, P., Zhao, R., Yan, Y., &amp; Li, X. (2020). Promotional pricing and online business model choice in the presence of retail competition. </w:t>
      </w:r>
      <w:r w:rsidRPr="00282B94">
        <w:rPr>
          <w:rFonts w:cs="Arial"/>
          <w:i/>
          <w:iCs/>
          <w:color w:val="222222"/>
          <w:sz w:val="24"/>
          <w:szCs w:val="24"/>
          <w:shd w:val="clear" w:color="auto" w:fill="FFFFFF"/>
        </w:rPr>
        <w:t>Omega</w:t>
      </w:r>
      <w:r w:rsidRPr="00282B94">
        <w:rPr>
          <w:rFonts w:cs="Arial"/>
          <w:color w:val="222222"/>
          <w:sz w:val="24"/>
          <w:szCs w:val="24"/>
          <w:shd w:val="clear" w:color="auto" w:fill="FFFFFF"/>
        </w:rPr>
        <w:t>, </w:t>
      </w:r>
      <w:r w:rsidRPr="00282B94">
        <w:rPr>
          <w:rFonts w:cs="Arial"/>
          <w:i/>
          <w:iCs/>
          <w:color w:val="222222"/>
          <w:sz w:val="24"/>
          <w:szCs w:val="24"/>
          <w:shd w:val="clear" w:color="auto" w:fill="FFFFFF"/>
        </w:rPr>
        <w:t>94</w:t>
      </w:r>
      <w:r w:rsidRPr="00282B94">
        <w:rPr>
          <w:rFonts w:cs="Arial"/>
          <w:color w:val="222222"/>
          <w:sz w:val="24"/>
          <w:szCs w:val="24"/>
          <w:shd w:val="clear" w:color="auto" w:fill="FFFFFF"/>
        </w:rPr>
        <w:t>, 102085.</w:t>
      </w:r>
    </w:p>
    <w:p w14:paraId="0EDF6601" w14:textId="77777777" w:rsidR="00282B94" w:rsidRPr="00282B94" w:rsidRDefault="00282B94" w:rsidP="00282B94">
      <w:pPr>
        <w:spacing w:before="120" w:after="0" w:line="240" w:lineRule="auto"/>
        <w:rPr>
          <w:rFonts w:cs="Arial"/>
          <w:sz w:val="24"/>
          <w:szCs w:val="24"/>
        </w:rPr>
      </w:pPr>
      <w:r w:rsidRPr="00282B94">
        <w:rPr>
          <w:rFonts w:cs="Arial"/>
          <w:sz w:val="24"/>
          <w:szCs w:val="24"/>
        </w:rPr>
        <w:t xml:space="preserve">Chen, X., Owen, Z., </w:t>
      </w:r>
      <w:proofErr w:type="spellStart"/>
      <w:r w:rsidRPr="00282B94">
        <w:rPr>
          <w:rFonts w:cs="Arial"/>
          <w:sz w:val="24"/>
          <w:szCs w:val="24"/>
        </w:rPr>
        <w:t>Pixton</w:t>
      </w:r>
      <w:proofErr w:type="spellEnd"/>
      <w:r w:rsidRPr="00282B94">
        <w:rPr>
          <w:rFonts w:cs="Arial"/>
          <w:sz w:val="24"/>
          <w:szCs w:val="24"/>
        </w:rPr>
        <w:t xml:space="preserve">, C., &amp; </w:t>
      </w:r>
      <w:proofErr w:type="spellStart"/>
      <w:r w:rsidRPr="00282B94">
        <w:rPr>
          <w:rFonts w:cs="Arial"/>
          <w:sz w:val="24"/>
          <w:szCs w:val="24"/>
        </w:rPr>
        <w:t>Simchi</w:t>
      </w:r>
      <w:proofErr w:type="spellEnd"/>
      <w:r w:rsidRPr="00282B94">
        <w:rPr>
          <w:rFonts w:cs="Arial"/>
          <w:sz w:val="24"/>
          <w:szCs w:val="24"/>
        </w:rPr>
        <w:t>-Levi, D. (2022). A statistical learning approach to personalization in revenue management. </w:t>
      </w:r>
      <w:r w:rsidRPr="00282B94">
        <w:rPr>
          <w:rFonts w:cs="Arial"/>
          <w:i/>
          <w:iCs/>
          <w:sz w:val="24"/>
          <w:szCs w:val="24"/>
        </w:rPr>
        <w:t>Management Science</w:t>
      </w:r>
      <w:r w:rsidRPr="00282B94">
        <w:rPr>
          <w:rFonts w:cs="Arial"/>
          <w:sz w:val="24"/>
          <w:szCs w:val="24"/>
        </w:rPr>
        <w:t>, </w:t>
      </w:r>
      <w:r w:rsidRPr="00282B94">
        <w:rPr>
          <w:rFonts w:cs="Arial"/>
          <w:i/>
          <w:iCs/>
          <w:sz w:val="24"/>
          <w:szCs w:val="24"/>
        </w:rPr>
        <w:t>68</w:t>
      </w:r>
      <w:r w:rsidRPr="00282B94">
        <w:rPr>
          <w:rFonts w:cs="Arial"/>
          <w:sz w:val="24"/>
          <w:szCs w:val="24"/>
        </w:rPr>
        <w:t>(3), 1923-1937.</w:t>
      </w:r>
    </w:p>
    <w:p w14:paraId="2B58E7D7" w14:textId="77777777" w:rsidR="00282B94" w:rsidRPr="00282B94" w:rsidRDefault="00282B94" w:rsidP="00282B94">
      <w:pPr>
        <w:spacing w:before="120" w:after="0" w:line="240" w:lineRule="auto"/>
        <w:rPr>
          <w:rFonts w:cs="Arial"/>
          <w:sz w:val="24"/>
          <w:szCs w:val="24"/>
        </w:rPr>
      </w:pPr>
      <w:proofErr w:type="spellStart"/>
      <w:r w:rsidRPr="00282B94">
        <w:rPr>
          <w:rFonts w:cs="Arial"/>
          <w:sz w:val="24"/>
          <w:szCs w:val="24"/>
        </w:rPr>
        <w:t>Dubé</w:t>
      </w:r>
      <w:proofErr w:type="spellEnd"/>
      <w:r w:rsidRPr="00282B94">
        <w:rPr>
          <w:rFonts w:cs="Arial"/>
          <w:sz w:val="24"/>
          <w:szCs w:val="24"/>
        </w:rPr>
        <w:t xml:space="preserve">, J. P., &amp; </w:t>
      </w:r>
      <w:proofErr w:type="spellStart"/>
      <w:r w:rsidRPr="00282B94">
        <w:rPr>
          <w:rFonts w:cs="Arial"/>
          <w:sz w:val="24"/>
          <w:szCs w:val="24"/>
        </w:rPr>
        <w:t>Misra</w:t>
      </w:r>
      <w:proofErr w:type="spellEnd"/>
      <w:r w:rsidRPr="00282B94">
        <w:rPr>
          <w:rFonts w:cs="Arial"/>
          <w:sz w:val="24"/>
          <w:szCs w:val="24"/>
        </w:rPr>
        <w:t>, S. (2023). Personalized pricing and consumer welfare. </w:t>
      </w:r>
      <w:r w:rsidRPr="00282B94">
        <w:rPr>
          <w:rFonts w:cs="Arial"/>
          <w:i/>
          <w:iCs/>
          <w:sz w:val="24"/>
          <w:szCs w:val="24"/>
        </w:rPr>
        <w:t>Journal of Political Economy</w:t>
      </w:r>
      <w:r w:rsidRPr="00282B94">
        <w:rPr>
          <w:rFonts w:cs="Arial"/>
          <w:sz w:val="24"/>
          <w:szCs w:val="24"/>
        </w:rPr>
        <w:t>, </w:t>
      </w:r>
      <w:r w:rsidRPr="00282B94">
        <w:rPr>
          <w:rFonts w:cs="Arial"/>
          <w:i/>
          <w:iCs/>
          <w:sz w:val="24"/>
          <w:szCs w:val="24"/>
        </w:rPr>
        <w:t>131</w:t>
      </w:r>
      <w:r w:rsidRPr="00282B94">
        <w:rPr>
          <w:rFonts w:cs="Arial"/>
          <w:sz w:val="24"/>
          <w:szCs w:val="24"/>
        </w:rPr>
        <w:t>(1), 131-189.</w:t>
      </w:r>
    </w:p>
    <w:p w14:paraId="0CC2F4C8"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Fang, C., Lu, H., Hong, Y., Liu, S., &amp; Chang, J. (2020). Dynamic pricing for electric vehicle extreme fast charging. </w:t>
      </w:r>
      <w:r w:rsidRPr="00282B94">
        <w:rPr>
          <w:rFonts w:cs="Arial"/>
          <w:i/>
          <w:iCs/>
          <w:color w:val="222222"/>
          <w:sz w:val="24"/>
          <w:szCs w:val="24"/>
          <w:shd w:val="clear" w:color="auto" w:fill="FFFFFF"/>
        </w:rPr>
        <w:t>IEEE Transactions on Intelligent Transportation Systems</w:t>
      </w:r>
      <w:r w:rsidRPr="00282B94">
        <w:rPr>
          <w:rFonts w:cs="Arial"/>
          <w:color w:val="222222"/>
          <w:sz w:val="24"/>
          <w:szCs w:val="24"/>
          <w:shd w:val="clear" w:color="auto" w:fill="FFFFFF"/>
        </w:rPr>
        <w:t>, </w:t>
      </w:r>
      <w:r w:rsidRPr="00282B94">
        <w:rPr>
          <w:rFonts w:cs="Arial"/>
          <w:i/>
          <w:iCs/>
          <w:color w:val="222222"/>
          <w:sz w:val="24"/>
          <w:szCs w:val="24"/>
          <w:shd w:val="clear" w:color="auto" w:fill="FFFFFF"/>
        </w:rPr>
        <w:t>22</w:t>
      </w:r>
      <w:r w:rsidRPr="00282B94">
        <w:rPr>
          <w:rFonts w:cs="Arial"/>
          <w:color w:val="222222"/>
          <w:sz w:val="24"/>
          <w:szCs w:val="24"/>
          <w:shd w:val="clear" w:color="auto" w:fill="FFFFFF"/>
        </w:rPr>
        <w:t>(1), 531-541.</w:t>
      </w:r>
    </w:p>
    <w:p w14:paraId="2E354FAF"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 xml:space="preserve">Gibbs, C., </w:t>
      </w:r>
      <w:proofErr w:type="spellStart"/>
      <w:r w:rsidRPr="00282B94">
        <w:rPr>
          <w:rFonts w:cs="Arial"/>
          <w:color w:val="222222"/>
          <w:sz w:val="24"/>
          <w:szCs w:val="24"/>
          <w:shd w:val="clear" w:color="auto" w:fill="FFFFFF"/>
        </w:rPr>
        <w:t>Guttentag</w:t>
      </w:r>
      <w:proofErr w:type="spellEnd"/>
      <w:r w:rsidRPr="00282B94">
        <w:rPr>
          <w:rFonts w:cs="Arial"/>
          <w:color w:val="222222"/>
          <w:sz w:val="24"/>
          <w:szCs w:val="24"/>
          <w:shd w:val="clear" w:color="auto" w:fill="FFFFFF"/>
        </w:rPr>
        <w:t xml:space="preserve">, D., </w:t>
      </w:r>
      <w:proofErr w:type="spellStart"/>
      <w:r w:rsidRPr="00282B94">
        <w:rPr>
          <w:rFonts w:cs="Arial"/>
          <w:color w:val="222222"/>
          <w:sz w:val="24"/>
          <w:szCs w:val="24"/>
          <w:shd w:val="clear" w:color="auto" w:fill="FFFFFF"/>
        </w:rPr>
        <w:t>Gretzel</w:t>
      </w:r>
      <w:proofErr w:type="spellEnd"/>
      <w:r w:rsidRPr="00282B94">
        <w:rPr>
          <w:rFonts w:cs="Arial"/>
          <w:color w:val="222222"/>
          <w:sz w:val="24"/>
          <w:szCs w:val="24"/>
          <w:shd w:val="clear" w:color="auto" w:fill="FFFFFF"/>
        </w:rPr>
        <w:t>, U., Yao, L., &amp; Morton, J. (2018). Use of dynamic pricing strategies by Airbnb hosts. </w:t>
      </w:r>
      <w:r w:rsidRPr="00282B94">
        <w:rPr>
          <w:rFonts w:cs="Arial"/>
          <w:i/>
          <w:iCs/>
          <w:color w:val="222222"/>
          <w:sz w:val="24"/>
          <w:szCs w:val="24"/>
          <w:shd w:val="clear" w:color="auto" w:fill="FFFFFF"/>
        </w:rPr>
        <w:t>International Journal of Contemporary Hospitality Management</w:t>
      </w:r>
      <w:r w:rsidRPr="00282B94">
        <w:rPr>
          <w:rFonts w:cs="Arial"/>
          <w:color w:val="222222"/>
          <w:sz w:val="24"/>
          <w:szCs w:val="24"/>
          <w:shd w:val="clear" w:color="auto" w:fill="FFFFFF"/>
        </w:rPr>
        <w:t>, </w:t>
      </w:r>
      <w:r w:rsidRPr="00282B94">
        <w:rPr>
          <w:rFonts w:cs="Arial"/>
          <w:i/>
          <w:iCs/>
          <w:color w:val="222222"/>
          <w:sz w:val="24"/>
          <w:szCs w:val="24"/>
          <w:shd w:val="clear" w:color="auto" w:fill="FFFFFF"/>
        </w:rPr>
        <w:t>30</w:t>
      </w:r>
      <w:r w:rsidRPr="00282B94">
        <w:rPr>
          <w:rFonts w:cs="Arial"/>
          <w:color w:val="222222"/>
          <w:sz w:val="24"/>
          <w:szCs w:val="24"/>
          <w:shd w:val="clear" w:color="auto" w:fill="FFFFFF"/>
        </w:rPr>
        <w:t>(1), 2-20.</w:t>
      </w:r>
    </w:p>
    <w:p w14:paraId="4E3EBACC" w14:textId="77777777" w:rsidR="00282B94" w:rsidRPr="00282B94" w:rsidRDefault="00282B94" w:rsidP="00282B94">
      <w:pPr>
        <w:spacing w:before="120" w:after="0" w:line="240" w:lineRule="auto"/>
        <w:rPr>
          <w:rFonts w:cs="Arial"/>
          <w:sz w:val="24"/>
          <w:szCs w:val="24"/>
        </w:rPr>
      </w:pPr>
      <w:r w:rsidRPr="00282B94">
        <w:rPr>
          <w:rFonts w:cs="Arial"/>
          <w:sz w:val="24"/>
          <w:szCs w:val="24"/>
        </w:rPr>
        <w:t>Haider, U. and Ahmad, N., Enhancing E-commerce Systems: Integrating Machine Learning for Improved Customer Interaction and Engagement.</w:t>
      </w:r>
    </w:p>
    <w:p w14:paraId="57911639" w14:textId="77777777" w:rsidR="00282B94" w:rsidRPr="00282B94" w:rsidRDefault="00282B94" w:rsidP="00282B94">
      <w:pPr>
        <w:rPr>
          <w:rFonts w:cs="Arial"/>
          <w:color w:val="222222"/>
          <w:sz w:val="24"/>
          <w:szCs w:val="24"/>
          <w:shd w:val="clear" w:color="auto" w:fill="FFFFFF"/>
        </w:rPr>
      </w:pPr>
      <w:proofErr w:type="spellStart"/>
      <w:r w:rsidRPr="00282B94">
        <w:rPr>
          <w:rFonts w:cs="Arial"/>
          <w:color w:val="222222"/>
          <w:sz w:val="24"/>
          <w:szCs w:val="24"/>
          <w:shd w:val="clear" w:color="auto" w:fill="FFFFFF"/>
          <w:lang w:val="es-ES"/>
        </w:rPr>
        <w:t>Harsha</w:t>
      </w:r>
      <w:proofErr w:type="spellEnd"/>
      <w:r w:rsidRPr="00282B94">
        <w:rPr>
          <w:rFonts w:cs="Arial"/>
          <w:color w:val="222222"/>
          <w:sz w:val="24"/>
          <w:szCs w:val="24"/>
          <w:shd w:val="clear" w:color="auto" w:fill="FFFFFF"/>
          <w:lang w:val="es-ES"/>
        </w:rPr>
        <w:t xml:space="preserve">, P., </w:t>
      </w:r>
      <w:proofErr w:type="spellStart"/>
      <w:r w:rsidRPr="00282B94">
        <w:rPr>
          <w:rFonts w:cs="Arial"/>
          <w:color w:val="222222"/>
          <w:sz w:val="24"/>
          <w:szCs w:val="24"/>
          <w:shd w:val="clear" w:color="auto" w:fill="FFFFFF"/>
          <w:lang w:val="es-ES"/>
        </w:rPr>
        <w:t>Subramanian</w:t>
      </w:r>
      <w:proofErr w:type="spellEnd"/>
      <w:r w:rsidRPr="00282B94">
        <w:rPr>
          <w:rFonts w:cs="Arial"/>
          <w:color w:val="222222"/>
          <w:sz w:val="24"/>
          <w:szCs w:val="24"/>
          <w:shd w:val="clear" w:color="auto" w:fill="FFFFFF"/>
          <w:lang w:val="es-ES"/>
        </w:rPr>
        <w:t xml:space="preserve">, S., &amp; </w:t>
      </w:r>
      <w:proofErr w:type="spellStart"/>
      <w:r w:rsidRPr="00282B94">
        <w:rPr>
          <w:rFonts w:cs="Arial"/>
          <w:color w:val="222222"/>
          <w:sz w:val="24"/>
          <w:szCs w:val="24"/>
          <w:shd w:val="clear" w:color="auto" w:fill="FFFFFF"/>
          <w:lang w:val="es-ES"/>
        </w:rPr>
        <w:t>Uichanco</w:t>
      </w:r>
      <w:proofErr w:type="spellEnd"/>
      <w:r w:rsidRPr="00282B94">
        <w:rPr>
          <w:rFonts w:cs="Arial"/>
          <w:color w:val="222222"/>
          <w:sz w:val="24"/>
          <w:szCs w:val="24"/>
          <w:shd w:val="clear" w:color="auto" w:fill="FFFFFF"/>
          <w:lang w:val="es-ES"/>
        </w:rPr>
        <w:t xml:space="preserve">, J. (2019). </w:t>
      </w:r>
      <w:r w:rsidRPr="00282B94">
        <w:rPr>
          <w:rFonts w:cs="Arial"/>
          <w:color w:val="222222"/>
          <w:sz w:val="24"/>
          <w:szCs w:val="24"/>
          <w:shd w:val="clear" w:color="auto" w:fill="FFFFFF"/>
        </w:rPr>
        <w:t xml:space="preserve">Dynamic pricing of omnichannel inventories: </w:t>
      </w:r>
      <w:proofErr w:type="spellStart"/>
      <w:r w:rsidRPr="00282B94">
        <w:rPr>
          <w:rFonts w:cs="Arial"/>
          <w:color w:val="222222"/>
          <w:sz w:val="24"/>
          <w:szCs w:val="24"/>
          <w:shd w:val="clear" w:color="auto" w:fill="FFFFFF"/>
        </w:rPr>
        <w:t>Honorable</w:t>
      </w:r>
      <w:proofErr w:type="spellEnd"/>
      <w:r w:rsidRPr="00282B94">
        <w:rPr>
          <w:rFonts w:cs="Arial"/>
          <w:color w:val="222222"/>
          <w:sz w:val="24"/>
          <w:szCs w:val="24"/>
          <w:shd w:val="clear" w:color="auto" w:fill="FFFFFF"/>
        </w:rPr>
        <w:t xml:space="preserve"> mention—2017 M&amp;SOM practice-based research competition. </w:t>
      </w:r>
      <w:r w:rsidRPr="00282B94">
        <w:rPr>
          <w:rFonts w:cs="Arial"/>
          <w:i/>
          <w:iCs/>
          <w:color w:val="222222"/>
          <w:sz w:val="24"/>
          <w:szCs w:val="24"/>
          <w:shd w:val="clear" w:color="auto" w:fill="FFFFFF"/>
        </w:rPr>
        <w:t>Manufacturing &amp; Service Operations Management</w:t>
      </w:r>
      <w:r w:rsidRPr="00282B94">
        <w:rPr>
          <w:rFonts w:cs="Arial"/>
          <w:color w:val="222222"/>
          <w:sz w:val="24"/>
          <w:szCs w:val="24"/>
          <w:shd w:val="clear" w:color="auto" w:fill="FFFFFF"/>
        </w:rPr>
        <w:t>, </w:t>
      </w:r>
      <w:r w:rsidRPr="00282B94">
        <w:rPr>
          <w:rFonts w:cs="Arial"/>
          <w:i/>
          <w:iCs/>
          <w:color w:val="222222"/>
          <w:sz w:val="24"/>
          <w:szCs w:val="24"/>
          <w:shd w:val="clear" w:color="auto" w:fill="FFFFFF"/>
        </w:rPr>
        <w:t>21</w:t>
      </w:r>
      <w:r w:rsidRPr="00282B94">
        <w:rPr>
          <w:rFonts w:cs="Arial"/>
          <w:color w:val="222222"/>
          <w:sz w:val="24"/>
          <w:szCs w:val="24"/>
          <w:shd w:val="clear" w:color="auto" w:fill="FFFFFF"/>
        </w:rPr>
        <w:t>(1), 47-65.</w:t>
      </w:r>
    </w:p>
    <w:p w14:paraId="740E7B0B" w14:textId="77777777" w:rsidR="00282B94" w:rsidRPr="00282B94" w:rsidRDefault="00282B94" w:rsidP="00282B94">
      <w:pPr>
        <w:spacing w:before="120" w:after="0" w:line="240" w:lineRule="auto"/>
        <w:rPr>
          <w:rFonts w:cs="Arial"/>
          <w:color w:val="222222"/>
          <w:sz w:val="24"/>
          <w:szCs w:val="24"/>
          <w:shd w:val="clear" w:color="auto" w:fill="FFFFFF"/>
        </w:rPr>
      </w:pPr>
      <w:proofErr w:type="spellStart"/>
      <w:r w:rsidRPr="00282B94">
        <w:rPr>
          <w:rFonts w:cs="Arial"/>
          <w:color w:val="222222"/>
          <w:sz w:val="24"/>
          <w:szCs w:val="24"/>
          <w:shd w:val="clear" w:color="auto" w:fill="FFFFFF"/>
        </w:rPr>
        <w:t>Kopalle</w:t>
      </w:r>
      <w:proofErr w:type="spellEnd"/>
      <w:r w:rsidRPr="00282B94">
        <w:rPr>
          <w:rFonts w:cs="Arial"/>
          <w:color w:val="222222"/>
          <w:sz w:val="24"/>
          <w:szCs w:val="24"/>
          <w:shd w:val="clear" w:color="auto" w:fill="FFFFFF"/>
        </w:rPr>
        <w:t xml:space="preserve">, P.K., Pauwels, K., </w:t>
      </w:r>
      <w:proofErr w:type="spellStart"/>
      <w:r w:rsidRPr="00282B94">
        <w:rPr>
          <w:rFonts w:cs="Arial"/>
          <w:color w:val="222222"/>
          <w:sz w:val="24"/>
          <w:szCs w:val="24"/>
          <w:shd w:val="clear" w:color="auto" w:fill="FFFFFF"/>
        </w:rPr>
        <w:t>Akella</w:t>
      </w:r>
      <w:proofErr w:type="spellEnd"/>
      <w:r w:rsidRPr="00282B94">
        <w:rPr>
          <w:rFonts w:cs="Arial"/>
          <w:color w:val="222222"/>
          <w:sz w:val="24"/>
          <w:szCs w:val="24"/>
          <w:shd w:val="clear" w:color="auto" w:fill="FFFFFF"/>
        </w:rPr>
        <w:t xml:space="preserve">, L.Y. and </w:t>
      </w:r>
      <w:proofErr w:type="spellStart"/>
      <w:r w:rsidRPr="00282B94">
        <w:rPr>
          <w:rFonts w:cs="Arial"/>
          <w:color w:val="222222"/>
          <w:sz w:val="24"/>
          <w:szCs w:val="24"/>
          <w:shd w:val="clear" w:color="auto" w:fill="FFFFFF"/>
        </w:rPr>
        <w:t>Gangwar</w:t>
      </w:r>
      <w:proofErr w:type="spellEnd"/>
      <w:r w:rsidRPr="00282B94">
        <w:rPr>
          <w:rFonts w:cs="Arial"/>
          <w:color w:val="222222"/>
          <w:sz w:val="24"/>
          <w:szCs w:val="24"/>
          <w:shd w:val="clear" w:color="auto" w:fill="FFFFFF"/>
        </w:rPr>
        <w:t>, M., 2023. Dynamic pricing: Definition, implications for managers, and future research directions. </w:t>
      </w:r>
      <w:r w:rsidRPr="00282B94">
        <w:rPr>
          <w:rFonts w:cs="Arial"/>
          <w:i/>
          <w:iCs/>
          <w:color w:val="222222"/>
          <w:sz w:val="24"/>
          <w:szCs w:val="24"/>
          <w:shd w:val="clear" w:color="auto" w:fill="FFFFFF"/>
        </w:rPr>
        <w:t>Journal of Retailing</w:t>
      </w:r>
      <w:r w:rsidRPr="00282B94">
        <w:rPr>
          <w:rFonts w:cs="Arial"/>
          <w:color w:val="222222"/>
          <w:sz w:val="24"/>
          <w:szCs w:val="24"/>
          <w:shd w:val="clear" w:color="auto" w:fill="FFFFFF"/>
        </w:rPr>
        <w:t>, </w:t>
      </w:r>
      <w:r w:rsidRPr="00282B94">
        <w:rPr>
          <w:rFonts w:cs="Arial"/>
          <w:i/>
          <w:iCs/>
          <w:color w:val="222222"/>
          <w:sz w:val="24"/>
          <w:szCs w:val="24"/>
          <w:shd w:val="clear" w:color="auto" w:fill="FFFFFF"/>
        </w:rPr>
        <w:t>99</w:t>
      </w:r>
      <w:r w:rsidRPr="00282B94">
        <w:rPr>
          <w:rFonts w:cs="Arial"/>
          <w:color w:val="222222"/>
          <w:sz w:val="24"/>
          <w:szCs w:val="24"/>
          <w:shd w:val="clear" w:color="auto" w:fill="FFFFFF"/>
        </w:rPr>
        <w:t>(4), pp.580-593.</w:t>
      </w:r>
    </w:p>
    <w:p w14:paraId="6A935C3D" w14:textId="77777777" w:rsidR="00282B94" w:rsidRPr="00282B94" w:rsidRDefault="00282B94" w:rsidP="00282B94">
      <w:pPr>
        <w:spacing w:before="120" w:after="0" w:line="240" w:lineRule="auto"/>
        <w:rPr>
          <w:rFonts w:cs="Arial"/>
          <w:sz w:val="24"/>
          <w:szCs w:val="24"/>
        </w:rPr>
      </w:pPr>
      <w:r w:rsidRPr="00282B94">
        <w:rPr>
          <w:rFonts w:cs="Arial"/>
          <w:sz w:val="24"/>
          <w:szCs w:val="24"/>
        </w:rPr>
        <w:t>Kumar, V., (2008), "Customer Lifetime Value — The Path to Profitability", Foundations and Trends® in Marketing: Vol. 2: No. 1, pp 1-96. http://dx.doi.org/10.1561/1700000004</w:t>
      </w:r>
    </w:p>
    <w:p w14:paraId="32468B1E" w14:textId="77777777" w:rsidR="00282B94" w:rsidRPr="00282B94" w:rsidRDefault="00282B94" w:rsidP="00282B94">
      <w:pPr>
        <w:rPr>
          <w:rFonts w:cs="Arial"/>
          <w:color w:val="222222"/>
          <w:sz w:val="24"/>
          <w:szCs w:val="24"/>
          <w:shd w:val="clear" w:color="auto" w:fill="FFFFFF"/>
        </w:rPr>
      </w:pPr>
      <w:proofErr w:type="spellStart"/>
      <w:r w:rsidRPr="00282B94">
        <w:rPr>
          <w:rFonts w:cs="Arial"/>
          <w:color w:val="222222"/>
          <w:sz w:val="24"/>
          <w:szCs w:val="24"/>
          <w:shd w:val="clear" w:color="auto" w:fill="FFFFFF"/>
          <w:lang w:val="es-ES"/>
        </w:rPr>
        <w:lastRenderedPageBreak/>
        <w:t>Najafi</w:t>
      </w:r>
      <w:proofErr w:type="spellEnd"/>
      <w:r w:rsidRPr="00282B94">
        <w:rPr>
          <w:rFonts w:cs="Arial"/>
          <w:color w:val="222222"/>
          <w:sz w:val="24"/>
          <w:szCs w:val="24"/>
          <w:shd w:val="clear" w:color="auto" w:fill="FFFFFF"/>
          <w:lang w:val="es-ES"/>
        </w:rPr>
        <w:t xml:space="preserve">, S., </w:t>
      </w:r>
      <w:proofErr w:type="spellStart"/>
      <w:r w:rsidRPr="00282B94">
        <w:rPr>
          <w:rFonts w:cs="Arial"/>
          <w:color w:val="222222"/>
          <w:sz w:val="24"/>
          <w:szCs w:val="24"/>
          <w:shd w:val="clear" w:color="auto" w:fill="FFFFFF"/>
          <w:lang w:val="es-ES"/>
        </w:rPr>
        <w:t>Duenyas</w:t>
      </w:r>
      <w:proofErr w:type="spellEnd"/>
      <w:r w:rsidRPr="00282B94">
        <w:rPr>
          <w:rFonts w:cs="Arial"/>
          <w:color w:val="222222"/>
          <w:sz w:val="24"/>
          <w:szCs w:val="24"/>
          <w:shd w:val="clear" w:color="auto" w:fill="FFFFFF"/>
          <w:lang w:val="es-ES"/>
        </w:rPr>
        <w:t xml:space="preserve">, I., </w:t>
      </w:r>
      <w:proofErr w:type="spellStart"/>
      <w:r w:rsidRPr="00282B94">
        <w:rPr>
          <w:rFonts w:cs="Arial"/>
          <w:color w:val="222222"/>
          <w:sz w:val="24"/>
          <w:szCs w:val="24"/>
          <w:shd w:val="clear" w:color="auto" w:fill="FFFFFF"/>
          <w:lang w:val="es-ES"/>
        </w:rPr>
        <w:t>Jasin</w:t>
      </w:r>
      <w:proofErr w:type="spellEnd"/>
      <w:r w:rsidRPr="00282B94">
        <w:rPr>
          <w:rFonts w:cs="Arial"/>
          <w:color w:val="222222"/>
          <w:sz w:val="24"/>
          <w:szCs w:val="24"/>
          <w:shd w:val="clear" w:color="auto" w:fill="FFFFFF"/>
          <w:lang w:val="es-ES"/>
        </w:rPr>
        <w:t xml:space="preserve">, S., &amp; </w:t>
      </w:r>
      <w:proofErr w:type="spellStart"/>
      <w:r w:rsidRPr="00282B94">
        <w:rPr>
          <w:rFonts w:cs="Arial"/>
          <w:color w:val="222222"/>
          <w:sz w:val="24"/>
          <w:szCs w:val="24"/>
          <w:shd w:val="clear" w:color="auto" w:fill="FFFFFF"/>
          <w:lang w:val="es-ES"/>
        </w:rPr>
        <w:t>Uichanco</w:t>
      </w:r>
      <w:proofErr w:type="spellEnd"/>
      <w:r w:rsidRPr="00282B94">
        <w:rPr>
          <w:rFonts w:cs="Arial"/>
          <w:color w:val="222222"/>
          <w:sz w:val="24"/>
          <w:szCs w:val="24"/>
          <w:shd w:val="clear" w:color="auto" w:fill="FFFFFF"/>
          <w:lang w:val="es-ES"/>
        </w:rPr>
        <w:t xml:space="preserve">, J. (2024). </w:t>
      </w:r>
      <w:r w:rsidRPr="00282B94">
        <w:rPr>
          <w:rFonts w:cs="Arial"/>
          <w:color w:val="222222"/>
          <w:sz w:val="24"/>
          <w:szCs w:val="24"/>
          <w:shd w:val="clear" w:color="auto" w:fill="FFFFFF"/>
        </w:rPr>
        <w:t>Multiproduct dynamic pricing with limited inventories under a cascade click model. </w:t>
      </w:r>
      <w:r w:rsidRPr="00282B94">
        <w:rPr>
          <w:rFonts w:cs="Arial"/>
          <w:i/>
          <w:iCs/>
          <w:color w:val="222222"/>
          <w:sz w:val="24"/>
          <w:szCs w:val="24"/>
          <w:shd w:val="clear" w:color="auto" w:fill="FFFFFF"/>
        </w:rPr>
        <w:t>Manufacturing &amp; Service Operations Management</w:t>
      </w:r>
      <w:r w:rsidRPr="00282B94">
        <w:rPr>
          <w:rFonts w:cs="Arial"/>
          <w:color w:val="222222"/>
          <w:sz w:val="24"/>
          <w:szCs w:val="24"/>
          <w:shd w:val="clear" w:color="auto" w:fill="FFFFFF"/>
        </w:rPr>
        <w:t>, </w:t>
      </w:r>
      <w:r w:rsidRPr="00282B94">
        <w:rPr>
          <w:rFonts w:cs="Arial"/>
          <w:i/>
          <w:iCs/>
          <w:color w:val="222222"/>
          <w:sz w:val="24"/>
          <w:szCs w:val="24"/>
          <w:shd w:val="clear" w:color="auto" w:fill="FFFFFF"/>
        </w:rPr>
        <w:t>26</w:t>
      </w:r>
      <w:r w:rsidRPr="00282B94">
        <w:rPr>
          <w:rFonts w:cs="Arial"/>
          <w:color w:val="222222"/>
          <w:sz w:val="24"/>
          <w:szCs w:val="24"/>
          <w:shd w:val="clear" w:color="auto" w:fill="FFFFFF"/>
        </w:rPr>
        <w:t>(2), 554-572.</w:t>
      </w:r>
    </w:p>
    <w:p w14:paraId="5753DA82"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 xml:space="preserve">Shukla, N., </w:t>
      </w:r>
      <w:proofErr w:type="spellStart"/>
      <w:r w:rsidRPr="00282B94">
        <w:rPr>
          <w:rFonts w:cs="Arial"/>
          <w:color w:val="222222"/>
          <w:sz w:val="24"/>
          <w:szCs w:val="24"/>
          <w:shd w:val="clear" w:color="auto" w:fill="FFFFFF"/>
        </w:rPr>
        <w:t>Kolbeinsson</w:t>
      </w:r>
      <w:proofErr w:type="spellEnd"/>
      <w:r w:rsidRPr="00282B94">
        <w:rPr>
          <w:rFonts w:cs="Arial"/>
          <w:color w:val="222222"/>
          <w:sz w:val="24"/>
          <w:szCs w:val="24"/>
          <w:shd w:val="clear" w:color="auto" w:fill="FFFFFF"/>
        </w:rPr>
        <w:t xml:space="preserve">, A., </w:t>
      </w:r>
      <w:proofErr w:type="spellStart"/>
      <w:r w:rsidRPr="00282B94">
        <w:rPr>
          <w:rFonts w:cs="Arial"/>
          <w:color w:val="222222"/>
          <w:sz w:val="24"/>
          <w:szCs w:val="24"/>
          <w:shd w:val="clear" w:color="auto" w:fill="FFFFFF"/>
        </w:rPr>
        <w:t>Otwell</w:t>
      </w:r>
      <w:proofErr w:type="spellEnd"/>
      <w:r w:rsidRPr="00282B94">
        <w:rPr>
          <w:rFonts w:cs="Arial"/>
          <w:color w:val="222222"/>
          <w:sz w:val="24"/>
          <w:szCs w:val="24"/>
          <w:shd w:val="clear" w:color="auto" w:fill="FFFFFF"/>
        </w:rPr>
        <w:t xml:space="preserve">, K., Marla, L., &amp; </w:t>
      </w:r>
      <w:proofErr w:type="spellStart"/>
      <w:r w:rsidRPr="00282B94">
        <w:rPr>
          <w:rFonts w:cs="Arial"/>
          <w:color w:val="222222"/>
          <w:sz w:val="24"/>
          <w:szCs w:val="24"/>
          <w:shd w:val="clear" w:color="auto" w:fill="FFFFFF"/>
        </w:rPr>
        <w:t>Yellepeddi</w:t>
      </w:r>
      <w:proofErr w:type="spellEnd"/>
      <w:r w:rsidRPr="00282B94">
        <w:rPr>
          <w:rFonts w:cs="Arial"/>
          <w:color w:val="222222"/>
          <w:sz w:val="24"/>
          <w:szCs w:val="24"/>
          <w:shd w:val="clear" w:color="auto" w:fill="FFFFFF"/>
        </w:rPr>
        <w:t>, K. (2019, July). Dynamic pricing for airline ancillaries with customer context. In </w:t>
      </w:r>
      <w:r w:rsidRPr="00282B94">
        <w:rPr>
          <w:rFonts w:cs="Arial"/>
          <w:i/>
          <w:iCs/>
          <w:color w:val="222222"/>
          <w:sz w:val="24"/>
          <w:szCs w:val="24"/>
          <w:shd w:val="clear" w:color="auto" w:fill="FFFFFF"/>
        </w:rPr>
        <w:t>Proceedings of the 25th ACM SIGKDD International Conference on knowledge discovery &amp; data mining</w:t>
      </w:r>
      <w:r w:rsidRPr="00282B94">
        <w:rPr>
          <w:rFonts w:cs="Arial"/>
          <w:color w:val="222222"/>
          <w:sz w:val="24"/>
          <w:szCs w:val="24"/>
          <w:shd w:val="clear" w:color="auto" w:fill="FFFFFF"/>
        </w:rPr>
        <w:t> (pp. 2174-2182).</w:t>
      </w:r>
    </w:p>
    <w:p w14:paraId="46F29A8C"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Thuy, P. T. T., Tuyen, D. D., &amp; Soo, K. H. APPLICATION OF THE PROMOTION MODEL BASED CUSTOMER LIFETIME VALUE TO PREVENT CUSTOMERS TRANSFER NETWORK IN VNPT LAM DONG.</w:t>
      </w:r>
    </w:p>
    <w:p w14:paraId="641FC739"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 xml:space="preserve">Victor, V., Joy </w:t>
      </w:r>
      <w:proofErr w:type="spellStart"/>
      <w:r w:rsidRPr="00282B94">
        <w:rPr>
          <w:rFonts w:cs="Arial"/>
          <w:color w:val="222222"/>
          <w:sz w:val="24"/>
          <w:szCs w:val="24"/>
          <w:shd w:val="clear" w:color="auto" w:fill="FFFFFF"/>
        </w:rPr>
        <w:t>Thoppan</w:t>
      </w:r>
      <w:proofErr w:type="spellEnd"/>
      <w:r w:rsidRPr="00282B94">
        <w:rPr>
          <w:rFonts w:cs="Arial"/>
          <w:color w:val="222222"/>
          <w:sz w:val="24"/>
          <w:szCs w:val="24"/>
          <w:shd w:val="clear" w:color="auto" w:fill="FFFFFF"/>
        </w:rPr>
        <w:t xml:space="preserve">, J., </w:t>
      </w:r>
      <w:proofErr w:type="spellStart"/>
      <w:r w:rsidRPr="00282B94">
        <w:rPr>
          <w:rFonts w:cs="Arial"/>
          <w:color w:val="222222"/>
          <w:sz w:val="24"/>
          <w:szCs w:val="24"/>
          <w:shd w:val="clear" w:color="auto" w:fill="FFFFFF"/>
        </w:rPr>
        <w:t>Jeyakumar</w:t>
      </w:r>
      <w:proofErr w:type="spellEnd"/>
      <w:r w:rsidRPr="00282B94">
        <w:rPr>
          <w:rFonts w:cs="Arial"/>
          <w:color w:val="222222"/>
          <w:sz w:val="24"/>
          <w:szCs w:val="24"/>
          <w:shd w:val="clear" w:color="auto" w:fill="FFFFFF"/>
        </w:rPr>
        <w:t xml:space="preserve"> Nathan, R., &amp; Farkas Maria, F. (2018). Factors influencing consumer </w:t>
      </w:r>
      <w:proofErr w:type="spellStart"/>
      <w:r w:rsidRPr="00282B94">
        <w:rPr>
          <w:rFonts w:cs="Arial"/>
          <w:color w:val="222222"/>
          <w:sz w:val="24"/>
          <w:szCs w:val="24"/>
          <w:shd w:val="clear" w:color="auto" w:fill="FFFFFF"/>
        </w:rPr>
        <w:t>behavior</w:t>
      </w:r>
      <w:proofErr w:type="spellEnd"/>
      <w:r w:rsidRPr="00282B94">
        <w:rPr>
          <w:rFonts w:cs="Arial"/>
          <w:color w:val="222222"/>
          <w:sz w:val="24"/>
          <w:szCs w:val="24"/>
          <w:shd w:val="clear" w:color="auto" w:fill="FFFFFF"/>
        </w:rPr>
        <w:t xml:space="preserve"> and prospective purchase decisions in a dynamic pricing environment—an exploratory factor analysis approach. </w:t>
      </w:r>
      <w:r w:rsidRPr="00282B94">
        <w:rPr>
          <w:rFonts w:cs="Arial"/>
          <w:i/>
          <w:iCs/>
          <w:color w:val="222222"/>
          <w:sz w:val="24"/>
          <w:szCs w:val="24"/>
          <w:shd w:val="clear" w:color="auto" w:fill="FFFFFF"/>
        </w:rPr>
        <w:t>Social Sciences</w:t>
      </w:r>
      <w:r w:rsidRPr="00282B94">
        <w:rPr>
          <w:rFonts w:cs="Arial"/>
          <w:color w:val="222222"/>
          <w:sz w:val="24"/>
          <w:szCs w:val="24"/>
          <w:shd w:val="clear" w:color="auto" w:fill="FFFFFF"/>
        </w:rPr>
        <w:t>, </w:t>
      </w:r>
      <w:r w:rsidRPr="00282B94">
        <w:rPr>
          <w:rFonts w:cs="Arial"/>
          <w:i/>
          <w:iCs/>
          <w:color w:val="222222"/>
          <w:sz w:val="24"/>
          <w:szCs w:val="24"/>
          <w:shd w:val="clear" w:color="auto" w:fill="FFFFFF"/>
        </w:rPr>
        <w:t>7</w:t>
      </w:r>
      <w:r w:rsidRPr="00282B94">
        <w:rPr>
          <w:rFonts w:cs="Arial"/>
          <w:color w:val="222222"/>
          <w:sz w:val="24"/>
          <w:szCs w:val="24"/>
          <w:shd w:val="clear" w:color="auto" w:fill="FFFFFF"/>
        </w:rPr>
        <w:t>(9), 153.</w:t>
      </w:r>
    </w:p>
    <w:p w14:paraId="322AB1CC" w14:textId="77777777" w:rsidR="00282B94" w:rsidRPr="00282B94" w:rsidRDefault="00282B94" w:rsidP="00282B94">
      <w:pPr>
        <w:rPr>
          <w:rFonts w:cs="Arial"/>
          <w:color w:val="222222"/>
          <w:sz w:val="24"/>
          <w:szCs w:val="24"/>
          <w:shd w:val="clear" w:color="auto" w:fill="FFFFFF"/>
        </w:rPr>
      </w:pPr>
      <w:r w:rsidRPr="00282B94">
        <w:rPr>
          <w:rFonts w:cs="Arial"/>
          <w:color w:val="222222"/>
          <w:sz w:val="24"/>
          <w:szCs w:val="24"/>
          <w:shd w:val="clear" w:color="auto" w:fill="FFFFFF"/>
        </w:rPr>
        <w:t xml:space="preserve">Ye, P., Qian, J., Chen, J., Wu, C. H., Zhou, Y., De Mars, S., ... &amp; Zhang, L. (2018, July). Customized regression model for </w:t>
      </w:r>
      <w:proofErr w:type="spellStart"/>
      <w:r w:rsidRPr="00282B94">
        <w:rPr>
          <w:rFonts w:cs="Arial"/>
          <w:color w:val="222222"/>
          <w:sz w:val="24"/>
          <w:szCs w:val="24"/>
          <w:shd w:val="clear" w:color="auto" w:fill="FFFFFF"/>
        </w:rPr>
        <w:t>airbnb</w:t>
      </w:r>
      <w:proofErr w:type="spellEnd"/>
      <w:r w:rsidRPr="00282B94">
        <w:rPr>
          <w:rFonts w:cs="Arial"/>
          <w:color w:val="222222"/>
          <w:sz w:val="24"/>
          <w:szCs w:val="24"/>
          <w:shd w:val="clear" w:color="auto" w:fill="FFFFFF"/>
        </w:rPr>
        <w:t xml:space="preserve"> dynamic pricing. In </w:t>
      </w:r>
      <w:r w:rsidRPr="00282B94">
        <w:rPr>
          <w:rFonts w:cs="Arial"/>
          <w:i/>
          <w:iCs/>
          <w:color w:val="222222"/>
          <w:sz w:val="24"/>
          <w:szCs w:val="24"/>
          <w:shd w:val="clear" w:color="auto" w:fill="FFFFFF"/>
        </w:rPr>
        <w:t>Proceedings of the 24th ACM SIGKDD international conference on knowledge discovery &amp; data mining</w:t>
      </w:r>
      <w:r w:rsidRPr="00282B94">
        <w:rPr>
          <w:rFonts w:cs="Arial"/>
          <w:color w:val="222222"/>
          <w:sz w:val="24"/>
          <w:szCs w:val="24"/>
          <w:shd w:val="clear" w:color="auto" w:fill="FFFFFF"/>
        </w:rPr>
        <w:t> (pp. 932-940).</w:t>
      </w:r>
    </w:p>
    <w:p w14:paraId="63AC7DC0" w14:textId="77777777" w:rsidR="00DE63BD" w:rsidRPr="00282B94" w:rsidRDefault="00DE63BD" w:rsidP="00EB4082">
      <w:pPr>
        <w:spacing w:before="120" w:after="0" w:line="240" w:lineRule="auto"/>
        <w:rPr>
          <w:rFonts w:cs="Arial"/>
          <w:sz w:val="24"/>
          <w:szCs w:val="24"/>
        </w:rPr>
      </w:pPr>
    </w:p>
    <w:p w14:paraId="04C43855" w14:textId="77777777" w:rsidR="00DE63BD" w:rsidRDefault="00DE63BD" w:rsidP="00EB4082">
      <w:pPr>
        <w:spacing w:before="120" w:after="0" w:line="240" w:lineRule="auto"/>
        <w:rPr>
          <w:rFonts w:cs="Arial"/>
        </w:rPr>
      </w:pPr>
    </w:p>
    <w:p w14:paraId="1E5191DF" w14:textId="77777777" w:rsidR="00DE63BD" w:rsidRDefault="00DE63BD" w:rsidP="00EB4082">
      <w:pPr>
        <w:spacing w:before="120" w:after="0" w:line="240" w:lineRule="auto"/>
        <w:rPr>
          <w:rFonts w:cs="Arial"/>
        </w:rPr>
      </w:pPr>
    </w:p>
    <w:p w14:paraId="08388E6A" w14:textId="77777777" w:rsidR="00DE63BD" w:rsidRDefault="00DE63BD" w:rsidP="00EB4082">
      <w:pPr>
        <w:spacing w:before="120" w:after="0" w:line="240" w:lineRule="auto"/>
        <w:rPr>
          <w:rFonts w:cs="Arial"/>
        </w:rPr>
      </w:pPr>
    </w:p>
    <w:p w14:paraId="597D3964" w14:textId="77777777" w:rsidR="00DE63BD" w:rsidRDefault="00DE63BD" w:rsidP="00EB4082">
      <w:pPr>
        <w:spacing w:before="120" w:after="0" w:line="240" w:lineRule="auto"/>
        <w:rPr>
          <w:rFonts w:cs="Arial"/>
        </w:rPr>
      </w:pPr>
    </w:p>
    <w:p w14:paraId="7396A837" w14:textId="7CBC28FC" w:rsidR="00EB4082" w:rsidRPr="00EB4082" w:rsidRDefault="00EB4082" w:rsidP="00EB4082">
      <w:pPr>
        <w:spacing w:before="120" w:after="0" w:line="240" w:lineRule="auto"/>
        <w:rPr>
          <w:rFonts w:cs="Arial"/>
        </w:rPr>
      </w:pPr>
      <w:r w:rsidRPr="00EB4082">
        <w:rPr>
          <w:rFonts w:cs="Arial"/>
        </w:rPr>
        <w:t>Proposed Project Supervisor (First Choice)</w:t>
      </w:r>
    </w:p>
    <w:p w14:paraId="75C0438F" w14:textId="6EF93A87" w:rsidR="00EB4082" w:rsidRPr="00EB4082" w:rsidRDefault="00EB4082" w:rsidP="00EB4082">
      <w:pPr>
        <w:spacing w:before="120" w:after="0" w:line="240" w:lineRule="auto"/>
        <w:rPr>
          <w:rFonts w:cs="Arial"/>
        </w:rPr>
      </w:pPr>
      <w:r w:rsidRPr="00EB4082">
        <w:rPr>
          <w:rFonts w:cs="Arial"/>
        </w:rPr>
        <w:t xml:space="preserve"> </w:t>
      </w:r>
      <w:r w:rsidR="00DE63BD">
        <w:rPr>
          <w:rFonts w:cs="Arial"/>
        </w:rPr>
        <w:t>Robert Berry</w:t>
      </w:r>
    </w:p>
    <w:p w14:paraId="6BECAF45" w14:textId="77777777" w:rsidR="00EB4082" w:rsidRPr="00EB4082" w:rsidRDefault="00EB4082" w:rsidP="00EB4082">
      <w:pPr>
        <w:spacing w:before="120" w:after="0" w:line="240" w:lineRule="auto"/>
        <w:rPr>
          <w:rFonts w:cs="Arial"/>
        </w:rPr>
      </w:pPr>
      <w:r w:rsidRPr="00EB4082">
        <w:rPr>
          <w:rFonts w:cs="Arial"/>
        </w:rPr>
        <w:t>Proposed Project Supervisor (Second Choice)</w:t>
      </w:r>
    </w:p>
    <w:p w14:paraId="720CE0AD" w14:textId="1ACD675B" w:rsidR="00EB4082" w:rsidRPr="00EB4082" w:rsidRDefault="00EB4082" w:rsidP="00EB4082">
      <w:pPr>
        <w:spacing w:before="120" w:after="0" w:line="240" w:lineRule="auto"/>
        <w:rPr>
          <w:rFonts w:cs="Arial"/>
        </w:rPr>
      </w:pPr>
      <w:r w:rsidRPr="00EB4082">
        <w:rPr>
          <w:rFonts w:cs="Arial"/>
        </w:rPr>
        <w:t xml:space="preserve"> </w:t>
      </w:r>
      <w:r w:rsidR="00DE63BD">
        <w:rPr>
          <w:rFonts w:cs="Arial"/>
        </w:rPr>
        <w:t>Gary Higgs</w:t>
      </w:r>
    </w:p>
    <w:p w14:paraId="73143B5D" w14:textId="77777777" w:rsidR="00EB4082" w:rsidRPr="00EB4082" w:rsidRDefault="00EB4082" w:rsidP="00EB4082">
      <w:pPr>
        <w:spacing w:before="120" w:after="0" w:line="240" w:lineRule="auto"/>
        <w:rPr>
          <w:rFonts w:cs="Arial"/>
        </w:rPr>
      </w:pPr>
    </w:p>
    <w:p w14:paraId="6A365BFD" w14:textId="77777777" w:rsidR="00EB4082" w:rsidRPr="00EB4082" w:rsidRDefault="00EB4082" w:rsidP="00EB4082">
      <w:pPr>
        <w:spacing w:before="120" w:after="0" w:line="240" w:lineRule="auto"/>
        <w:rPr>
          <w:rFonts w:cs="Arial"/>
        </w:rPr>
      </w:pPr>
    </w:p>
    <w:p w14:paraId="4273E6D5" w14:textId="77777777" w:rsidR="00EB4082" w:rsidRPr="00EB4082" w:rsidRDefault="00EB4082" w:rsidP="00EB4082">
      <w:pPr>
        <w:spacing w:before="120" w:after="0" w:line="240" w:lineRule="auto"/>
        <w:rPr>
          <w:rFonts w:cs="Arial"/>
        </w:rPr>
      </w:pPr>
      <w:r w:rsidRPr="00EB4082">
        <w:rPr>
          <w:rFonts w:cs="Arial"/>
        </w:rPr>
        <w:t>Please complete ALL sections.</w:t>
      </w:r>
    </w:p>
    <w:p w14:paraId="736B3EC2" w14:textId="77777777" w:rsidR="0095102E" w:rsidRPr="00EB4082" w:rsidRDefault="0095102E">
      <w:pPr>
        <w:rPr>
          <w:rFonts w:cs="Arial"/>
        </w:rPr>
      </w:pPr>
    </w:p>
    <w:sectPr w:rsidR="0095102E" w:rsidRPr="00EB4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26BEC"/>
    <w:multiLevelType w:val="multilevel"/>
    <w:tmpl w:val="00F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166B2"/>
    <w:multiLevelType w:val="multilevel"/>
    <w:tmpl w:val="F6CC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14453">
    <w:abstractNumId w:val="1"/>
  </w:num>
  <w:num w:numId="2" w16cid:durableId="86842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82"/>
    <w:rsid w:val="000A4DC9"/>
    <w:rsid w:val="00282B94"/>
    <w:rsid w:val="002A2779"/>
    <w:rsid w:val="006F501C"/>
    <w:rsid w:val="008F5175"/>
    <w:rsid w:val="0095102E"/>
    <w:rsid w:val="009D5231"/>
    <w:rsid w:val="00A6334A"/>
    <w:rsid w:val="00AE24B1"/>
    <w:rsid w:val="00BB41BE"/>
    <w:rsid w:val="00C13AED"/>
    <w:rsid w:val="00C41498"/>
    <w:rsid w:val="00C52FE0"/>
    <w:rsid w:val="00DE63BD"/>
    <w:rsid w:val="00E233F5"/>
    <w:rsid w:val="00EB4082"/>
    <w:rsid w:val="00EC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F449"/>
  <w15:chartTrackingRefBased/>
  <w15:docId w15:val="{31DAA012-69FA-4DC4-887A-AEA8D0E7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82"/>
    <w:pPr>
      <w:spacing w:after="200" w:line="276" w:lineRule="auto"/>
    </w:pPr>
    <w:rPr>
      <w:rFonts w:ascii="Arial" w:hAnsi="Arial"/>
      <w:lang w:val="en-GB"/>
    </w:rPr>
  </w:style>
  <w:style w:type="paragraph" w:styleId="Heading1">
    <w:name w:val="heading 1"/>
    <w:basedOn w:val="Normal"/>
    <w:next w:val="Normal"/>
    <w:link w:val="Heading1Char"/>
    <w:uiPriority w:val="9"/>
    <w:qFormat/>
    <w:rsid w:val="00EB40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82"/>
    <w:rPr>
      <w:rFonts w:asciiTheme="majorHAnsi" w:eastAsiaTheme="majorEastAsia" w:hAnsiTheme="majorHAnsi" w:cstheme="majorBidi"/>
      <w:b/>
      <w:bCs/>
      <w:color w:val="2E74B5" w:themeColor="accent1" w:themeShade="BF"/>
      <w:sz w:val="28"/>
      <w:szCs w:val="28"/>
      <w:lang w:val="en-GB"/>
    </w:rPr>
  </w:style>
  <w:style w:type="character" w:styleId="PlaceholderText">
    <w:name w:val="Placeholder Text"/>
    <w:basedOn w:val="DefaultParagraphFont"/>
    <w:uiPriority w:val="99"/>
    <w:semiHidden/>
    <w:rsid w:val="00EB4082"/>
    <w:rPr>
      <w:color w:val="808080"/>
    </w:rPr>
  </w:style>
  <w:style w:type="table" w:styleId="TableGrid">
    <w:name w:val="Table Grid"/>
    <w:basedOn w:val="TableNormal"/>
    <w:uiPriority w:val="39"/>
    <w:rsid w:val="00EB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2F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240">
      <w:bodyDiv w:val="1"/>
      <w:marLeft w:val="0"/>
      <w:marRight w:val="0"/>
      <w:marTop w:val="0"/>
      <w:marBottom w:val="0"/>
      <w:divBdr>
        <w:top w:val="none" w:sz="0" w:space="0" w:color="auto"/>
        <w:left w:val="none" w:sz="0" w:space="0" w:color="auto"/>
        <w:bottom w:val="none" w:sz="0" w:space="0" w:color="auto"/>
        <w:right w:val="none" w:sz="0" w:space="0" w:color="auto"/>
      </w:divBdr>
    </w:div>
    <w:div w:id="6705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Bhalerao V S (FCES)</cp:lastModifiedBy>
  <cp:revision>3</cp:revision>
  <dcterms:created xsi:type="dcterms:W3CDTF">2024-06-25T17:34:00Z</dcterms:created>
  <dcterms:modified xsi:type="dcterms:W3CDTF">2024-07-01T10:13:00Z</dcterms:modified>
</cp:coreProperties>
</file>