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E79"/>
          <w:sz w:val="52"/>
        </w:rPr>
        <w:t>ARDASYSMIC</w:t>
      </w:r>
    </w:p>
    <w:p>
      <w:pPr>
        <w:jc w:val="center"/>
      </w:pPr>
      <w:r>
        <w:rPr>
          <w:rFonts w:ascii="Calibri" w:hAnsi="Calibri"/>
          <w:i/>
          <w:color w:val="595959"/>
          <w:sz w:val="24"/>
        </w:rPr>
        <w:t>Geosísmica · Instrumentación · Sismología Aplicada</w:t>
      </w:r>
    </w:p>
    <w:p/>
    <w:p/>
    <w:p>
      <w:pPr>
        <w:jc w:val="center"/>
      </w:pPr>
      <w:r>
        <w:rPr>
          <w:rFonts w:ascii="Calibri" w:hAnsi="Calibri"/>
          <w:b/>
          <w:sz w:val="36"/>
        </w:rPr>
        <w:t>INFORME DE ESTUDIO GEOFÍSICO</w:t>
      </w:r>
    </w:p>
    <w:p>
      <w:pPr>
        <w:jc w:val="center"/>
      </w:pPr>
      <w:r>
        <w:rPr>
          <w:rFonts w:ascii="Calibri" w:hAnsi="Calibri"/>
          <w:b/>
          <w:color w:val="1F4E79"/>
          <w:sz w:val="28"/>
        </w:rPr>
        <w:t>DETERMINACIÓN DEL PERÍODO ELÁSTICO DEL SUELO</w:t>
        <w:br/>
        <w:t>MEDIANTE TÉCNICA DE NAKAMURA (HVSR)</w:t>
      </w:r>
    </w:p>
    <w:p/>
    <w:p>
      <w:pPr>
        <w:jc w:val="center"/>
      </w:pPr>
      <w:r>
        <w:rPr>
          <w:rFonts w:ascii="Calibri" w:hAnsi="Calibri"/>
          <w:b/>
          <w:sz w:val="32"/>
        </w:rPr>
        <w:t>PROYECTO: PROMART – CITYMALL</w:t>
      </w:r>
    </w:p>
    <w:p/>
    <w:p>
      <w:pPr>
        <w:jc w:val="center"/>
      </w:pPr>
      <w:r>
        <w:rPr>
          <w:rFonts w:ascii="Calibri" w:hAnsi="Calibri"/>
          <w:sz w:val="24"/>
        </w:rPr>
        <w:t>Guayaquil, Ecuador</w:t>
      </w:r>
    </w:p>
    <w:p>
      <w:pPr>
        <w:jc w:val="center"/>
      </w:pPr>
      <w:r>
        <w:rPr>
          <w:rFonts w:ascii="Calibri" w:hAnsi="Calibri"/>
          <w:sz w:val="24"/>
        </w:rPr>
        <w:t>Octubre 2026</w:t>
      </w:r>
    </w:p>
    <w:p>
      <w:r>
        <w:br w:type="page"/>
      </w:r>
    </w:p>
    <w:p>
      <w:pPr>
        <w:pStyle w:val="Heading1"/>
      </w:pPr>
      <w:r>
        <w:t>CONTENIDO</w:t>
      </w:r>
    </w:p>
    <w:p>
      <w:pPr>
        <w:spacing w:after="120" w:before="0"/>
      </w:pPr>
      <w:r>
        <w:rPr>
          <w:rFonts w:ascii="Calibri" w:hAnsi="Calibri"/>
          <w:b w:val="0"/>
          <w:i/>
          <w:color w:val="969696"/>
          <w:sz w:val="20"/>
        </w:rPr>
        <w:t>[Tabla de contenido general]</w:t>
      </w:r>
    </w:p>
    <w:p>
      <w:r>
        <w:br w:type="page"/>
      </w:r>
    </w:p>
    <w:p>
      <w:pPr>
        <w:pStyle w:val="Heading1"/>
      </w:pPr>
      <w:r>
        <w:t>INTRODUCCIÓN</w:t>
      </w:r>
    </w:p>
    <w:p>
      <w:pPr>
        <w:spacing w:after="120" w:before="0"/>
      </w:pPr>
      <w:r>
        <w:rPr>
          <w:rFonts w:ascii="Calibri" w:hAnsi="Calibri"/>
          <w:b w:val="0"/>
          <w:i w:val="0"/>
          <w:sz w:val="22"/>
        </w:rPr>
        <w:t>El presente informe describe los trabajos de exploración geofísica realizados para la determinación del período elástico fundamental del suelo en el predio del proyecto PROMART – CITYMALL, ubicado en la ciudad de Guayaquil, provincia del Guayas, Ecuador. El estudio fue ejecutado por el equipo técnico de ARDASYSMIC mediante la técnica de Nakamura o HVSR (Horizontal to Vertical Spectral Ratio), siguiendo rigurosamente los estándares del proyecto europeo SESAME (2004) para la adquisición, procesamiento y control de calidad de registros de vibración ambiental (microtremores).</w:t>
      </w:r>
    </w:p>
    <w:p>
      <w:pPr>
        <w:spacing w:after="120" w:before="0"/>
      </w:pPr>
      <w:r>
        <w:rPr>
          <w:rFonts w:ascii="Calibri" w:hAnsi="Calibri"/>
          <w:b w:val="0"/>
          <w:i w:val="0"/>
          <w:sz w:val="22"/>
        </w:rPr>
        <w:t>El objetivo central consistió en caracterizar la respuesta dinámica del suelo de cimentación, determinando el período fundamental de vibración (T₀), la frecuencia fundamental de resonancia (f₀), el factor de amplificación elástica (A₀) y el índice de vulnerabilidad de Nakamura (Kg) en 15 puntos distribuidos estratégicamente dentro del polígono de estudio.</w:t>
      </w:r>
    </w:p>
    <w:p>
      <w:pPr>
        <w:spacing w:after="120" w:before="0"/>
      </w:pPr>
      <w:r>
        <w:rPr>
          <w:rFonts w:ascii="Calibri" w:hAnsi="Calibri"/>
          <w:b w:val="0"/>
          <w:i w:val="0"/>
          <w:sz w:val="22"/>
        </w:rPr>
        <w:t>Los resultados obtenidos sustentan la clasificación del perfil de suelo conforme a la Norma Ecuatoriana de la Construcción (NEC-SE-DS, 2015), delimitando zonas de potencial amplificación sísmica para proveer insumos indispensables en el diseño sismorresistente.</w:t>
      </w:r>
    </w:p>
    <w:p>
      <w:pPr>
        <w:pStyle w:val="Heading1"/>
      </w:pPr>
      <w:r>
        <w:t>UBICACIÓN DEL PROYECTO</w:t>
      </w:r>
    </w:p>
    <w:p>
      <w:pPr>
        <w:spacing w:after="120" w:before="0"/>
      </w:pPr>
      <w:r>
        <w:rPr>
          <w:rFonts w:ascii="Calibri" w:hAnsi="Calibri"/>
          <w:b w:val="0"/>
          <w:i w:val="0"/>
          <w:sz w:val="22"/>
        </w:rPr>
        <w:t>El área de estudio se ubica en el sector norte de la ciudad de Guayaquil, Parroquia Tarqui. El terreno del proyecto PROMART – CITYMALL comprende una superficie aproximada de 3 hectáreas con una extensión aproximada de 200 m en sentido este-oeste y 150 m en sentido norte-sur.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79"/>
          </w:tcPr>
          <w:p>
            <w:pPr>
              <w:jc w:val="center"/>
            </w:pPr>
            <w:r>
              <w:rPr>
                <w:color w:val="FFFFFF"/>
              </w:rPr>
            </w:r>
            <w:r>
              <w:rPr>
                <w:rFonts w:ascii="Calibri" w:hAnsi="Calibri"/>
                <w:b/>
                <w:sz w:val="16"/>
              </w:rPr>
              <w:t>Referencia</w:t>
            </w:r>
          </w:p>
        </w:tc>
        <w:tc>
          <w:tcPr>
            <w:tcW w:type="dxa" w:w="3024"/>
            <w:shd w:fill="1F4E79"/>
          </w:tcPr>
          <w:p>
            <w:pPr>
              <w:jc w:val="center"/>
            </w:pPr>
            <w:r>
              <w:rPr>
                <w:color w:val="FFFFFF"/>
              </w:rPr>
            </w:r>
            <w:r>
              <w:rPr>
                <w:rFonts w:ascii="Calibri" w:hAnsi="Calibri"/>
                <w:b/>
                <w:sz w:val="16"/>
              </w:rPr>
              <w:t>Longitud (°)</w:t>
            </w:r>
          </w:p>
        </w:tc>
        <w:tc>
          <w:tcPr>
            <w:tcW w:type="dxa" w:w="3024"/>
            <w:shd w:fill="1F4E79"/>
          </w:tcPr>
          <w:p>
            <w:pPr>
              <w:jc w:val="center"/>
            </w:pPr>
            <w:r>
              <w:rPr>
                <w:color w:val="FFFFFF"/>
              </w:rPr>
            </w:r>
            <w:r>
              <w:rPr>
                <w:rFonts w:ascii="Calibri" w:hAnsi="Calibri"/>
                <w:b/>
                <w:sz w:val="16"/>
              </w:rPr>
              <w:t>Latitud (°)</w:t>
            </w:r>
          </w:p>
        </w:tc>
      </w:tr>
      <w:tr>
        <w:tc>
          <w:tcPr>
            <w:tcW w:type="dxa" w:w="3024"/>
          </w:tcPr>
          <w:p>
            <w:pPr>
              <w:jc w:val="left"/>
            </w:pPr>
            <w:r/>
            <w:r>
              <w:rPr>
                <w:rFonts w:ascii="Calibri" w:hAnsi="Calibri"/>
                <w:b w:val="0"/>
                <w:sz w:val="18"/>
              </w:rPr>
              <w:t>Centro del polígono</w:t>
            </w:r>
          </w:p>
        </w:tc>
        <w:tc>
          <w:tcPr>
            <w:tcW w:type="dxa" w:w="3024"/>
          </w:tcPr>
          <w:p>
            <w:pPr>
              <w:jc w:val="center"/>
            </w:pPr>
            <w:r/>
            <w:r>
              <w:rPr>
                <w:rFonts w:ascii="Calibri" w:hAnsi="Calibri"/>
                <w:b w:val="0"/>
                <w:sz w:val="18"/>
              </w:rPr>
              <w:t>-79.9107</w:t>
            </w:r>
          </w:p>
        </w:tc>
        <w:tc>
          <w:tcPr>
            <w:tcW w:type="dxa" w:w="3024"/>
          </w:tcPr>
          <w:p>
            <w:pPr>
              <w:jc w:val="center"/>
            </w:pPr>
            <w:r/>
            <w:r>
              <w:rPr>
                <w:rFonts w:ascii="Calibri" w:hAnsi="Calibri"/>
                <w:b w:val="0"/>
                <w:sz w:val="18"/>
              </w:rPr>
              <w:t>-2.1395</w:t>
            </w:r>
          </w:p>
        </w:tc>
      </w:tr>
      <w:tr>
        <w:tc>
          <w:tcPr>
            <w:tcW w:type="dxa" w:w="3024"/>
          </w:tcPr>
          <w:p>
            <w:pPr>
              <w:jc w:val="left"/>
            </w:pPr>
            <w:r/>
            <w:r>
              <w:rPr>
                <w:rFonts w:ascii="Calibri" w:hAnsi="Calibri"/>
                <w:b w:val="0"/>
                <w:sz w:val="18"/>
              </w:rPr>
              <w:t>Extensión aproximada</w:t>
            </w:r>
          </w:p>
        </w:tc>
        <w:tc>
          <w:tcPr>
            <w:tcW w:type="dxa" w:w="3024"/>
          </w:tcPr>
          <w:p>
            <w:pPr>
              <w:jc w:val="center"/>
            </w:pPr>
            <w:r/>
            <w:r>
              <w:rPr>
                <w:rFonts w:ascii="Calibri" w:hAnsi="Calibri"/>
                <w:b w:val="0"/>
                <w:sz w:val="18"/>
              </w:rPr>
              <w:t>~200 m (E-O)</w:t>
            </w:r>
          </w:p>
        </w:tc>
        <w:tc>
          <w:tcPr>
            <w:tcW w:type="dxa" w:w="3024"/>
          </w:tcPr>
          <w:p>
            <w:pPr>
              <w:jc w:val="center"/>
            </w:pPr>
            <w:r/>
            <w:r>
              <w:rPr>
                <w:rFonts w:ascii="Calibri" w:hAnsi="Calibri"/>
                <w:b w:val="0"/>
                <w:sz w:val="18"/>
              </w:rPr>
              <w:t>~150 m (N-S)</w:t>
            </w:r>
          </w:p>
        </w:tc>
      </w:tr>
    </w:tbl>
    <w:p>
      <w:pPr>
        <w:spacing w:before="40" w:after="160"/>
        <w:jc w:val="center"/>
      </w:pPr>
      <w:r>
        <w:rPr>
          <w:rFonts w:ascii="Calibri" w:hAnsi="Calibri"/>
          <w:i/>
          <w:sz w:val="18"/>
        </w:rPr>
        <w:t>Tabla 1. Ubicación del polígono de estudio.</w:t>
      </w:r>
    </w:p>
    <w:p>
      <w:pPr>
        <w:spacing w:after="120" w:before="0"/>
      </w:pPr>
      <w:r>
        <w:rPr>
          <w:rFonts w:ascii="Calibri" w:hAnsi="Calibri"/>
          <w:b w:val="0"/>
          <w:i w:val="0"/>
          <w:sz w:val="22"/>
        </w:rPr>
        <w:t>En la Tabla 2 se presentan las coordenadas geográficas oficiales de cada uno de los 15 puntos de medición (sitios Nk-01 a Nk-15). La distribución espacial fue configurada en una grilla regular con un espaciamiento aproximado de 40 a 60 metros entre estaciones.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color w:val="FFFFFF"/>
              </w:rPr>
            </w:r>
            <w:r>
              <w:rPr>
                <w:rFonts w:ascii="Calibri" w:hAnsi="Calibri"/>
                <w:b/>
                <w:sz w:val="16"/>
              </w:rPr>
              <w:t>Sitio</w:t>
            </w:r>
          </w:p>
        </w:tc>
        <w:tc>
          <w:tcPr>
            <w:tcW w:type="dxa" w:w="2268"/>
            <w:shd w:fill="1F4E79"/>
          </w:tcPr>
          <w:p>
            <w:pPr>
              <w:jc w:val="center"/>
            </w:pPr>
            <w:r>
              <w:rPr>
                <w:color w:val="FFFFFF"/>
              </w:rPr>
            </w:r>
            <w:r>
              <w:rPr>
                <w:rFonts w:ascii="Calibri" w:hAnsi="Calibri"/>
                <w:b/>
                <w:sz w:val="16"/>
              </w:rPr>
              <w:t>Punto N</w:t>
            </w:r>
          </w:p>
        </w:tc>
        <w:tc>
          <w:tcPr>
            <w:tcW w:type="dxa" w:w="2268"/>
            <w:shd w:fill="1F4E79"/>
          </w:tcPr>
          <w:p>
            <w:pPr>
              <w:jc w:val="center"/>
            </w:pPr>
            <w:r>
              <w:rPr>
                <w:color w:val="FFFFFF"/>
              </w:rPr>
            </w:r>
            <w:r>
              <w:rPr>
                <w:rFonts w:ascii="Calibri" w:hAnsi="Calibri"/>
                <w:b/>
                <w:sz w:val="16"/>
              </w:rPr>
              <w:t>Longitud (°)</w:t>
            </w:r>
          </w:p>
        </w:tc>
        <w:tc>
          <w:tcPr>
            <w:tcW w:type="dxa" w:w="2268"/>
            <w:shd w:fill="1F4E79"/>
          </w:tcPr>
          <w:p>
            <w:pPr>
              <w:jc w:val="center"/>
            </w:pPr>
            <w:r>
              <w:rPr>
                <w:color w:val="FFFFFF"/>
              </w:rPr>
            </w:r>
            <w:r>
              <w:rPr>
                <w:rFonts w:ascii="Calibri" w:hAnsi="Calibri"/>
                <w:b/>
                <w:sz w:val="16"/>
              </w:rPr>
              <w:t>Latitud (°)</w:t>
            </w:r>
          </w:p>
        </w:tc>
      </w:tr>
      <w:tr>
        <w:tc>
          <w:tcPr>
            <w:tcW w:type="dxa" w:w="2268"/>
          </w:tcPr>
          <w:p>
            <w:pPr>
              <w:jc w:val="center"/>
            </w:pPr>
            <w:r/>
            <w:r>
              <w:rPr>
                <w:rFonts w:ascii="Calibri" w:hAnsi="Calibri"/>
                <w:b w:val="0"/>
                <w:sz w:val="18"/>
              </w:rPr>
              <w:t>Nk-01</w:t>
            </w:r>
          </w:p>
        </w:tc>
        <w:tc>
          <w:tcPr>
            <w:tcW w:type="dxa" w:w="2268"/>
          </w:tcPr>
          <w:p>
            <w:pPr>
              <w:jc w:val="center"/>
            </w:pPr>
            <w:r/>
            <w:r>
              <w:rPr>
                <w:rFonts w:ascii="Calibri" w:hAnsi="Calibri"/>
                <w:b w:val="0"/>
                <w:sz w:val="18"/>
              </w:rPr>
              <w:t>N1</w:t>
            </w:r>
          </w:p>
        </w:tc>
        <w:tc>
          <w:tcPr>
            <w:tcW w:type="dxa" w:w="2268"/>
          </w:tcPr>
          <w:p>
            <w:pPr>
              <w:jc w:val="center"/>
            </w:pPr>
            <w:r/>
            <w:r>
              <w:rPr>
                <w:rFonts w:ascii="Calibri" w:hAnsi="Calibri"/>
                <w:b w:val="0"/>
                <w:sz w:val="18"/>
              </w:rPr>
              <w:t>-79.9109948</w:t>
            </w:r>
          </w:p>
        </w:tc>
        <w:tc>
          <w:tcPr>
            <w:tcW w:type="dxa" w:w="2268"/>
          </w:tcPr>
          <w:p>
            <w:pPr>
              <w:jc w:val="center"/>
            </w:pPr>
            <w:r/>
            <w:r>
              <w:rPr>
                <w:rFonts w:ascii="Calibri" w:hAnsi="Calibri"/>
                <w:b w:val="0"/>
                <w:sz w:val="18"/>
              </w:rPr>
              <w:t>-2.1389506</w:t>
            </w:r>
          </w:p>
        </w:tc>
      </w:tr>
      <w:tr>
        <w:tc>
          <w:tcPr>
            <w:tcW w:type="dxa" w:w="2268"/>
          </w:tcPr>
          <w:p>
            <w:pPr>
              <w:jc w:val="center"/>
            </w:pPr>
            <w:r/>
            <w:r>
              <w:rPr>
                <w:rFonts w:ascii="Calibri" w:hAnsi="Calibri"/>
                <w:b w:val="0"/>
                <w:sz w:val="18"/>
              </w:rPr>
              <w:t>Nk-02</w:t>
            </w:r>
          </w:p>
        </w:tc>
        <w:tc>
          <w:tcPr>
            <w:tcW w:type="dxa" w:w="2268"/>
          </w:tcPr>
          <w:p>
            <w:pPr>
              <w:jc w:val="center"/>
            </w:pPr>
            <w:r/>
            <w:r>
              <w:rPr>
                <w:rFonts w:ascii="Calibri" w:hAnsi="Calibri"/>
                <w:b w:val="0"/>
                <w:sz w:val="18"/>
              </w:rPr>
              <w:t>N2</w:t>
            </w:r>
          </w:p>
        </w:tc>
        <w:tc>
          <w:tcPr>
            <w:tcW w:type="dxa" w:w="2268"/>
          </w:tcPr>
          <w:p>
            <w:pPr>
              <w:jc w:val="center"/>
            </w:pPr>
            <w:r/>
            <w:r>
              <w:rPr>
                <w:rFonts w:ascii="Calibri" w:hAnsi="Calibri"/>
                <w:b w:val="0"/>
                <w:sz w:val="18"/>
              </w:rPr>
              <w:t>-79.9107470</w:t>
            </w:r>
          </w:p>
        </w:tc>
        <w:tc>
          <w:tcPr>
            <w:tcW w:type="dxa" w:w="2268"/>
          </w:tcPr>
          <w:p>
            <w:pPr>
              <w:jc w:val="center"/>
            </w:pPr>
            <w:r/>
            <w:r>
              <w:rPr>
                <w:rFonts w:ascii="Calibri" w:hAnsi="Calibri"/>
                <w:b w:val="0"/>
                <w:sz w:val="18"/>
              </w:rPr>
              <w:t>-2.1391298</w:t>
            </w:r>
          </w:p>
        </w:tc>
      </w:tr>
      <w:tr>
        <w:tc>
          <w:tcPr>
            <w:tcW w:type="dxa" w:w="2268"/>
          </w:tcPr>
          <w:p>
            <w:pPr>
              <w:jc w:val="center"/>
            </w:pPr>
            <w:r/>
            <w:r>
              <w:rPr>
                <w:rFonts w:ascii="Calibri" w:hAnsi="Calibri"/>
                <w:b w:val="0"/>
                <w:sz w:val="18"/>
              </w:rPr>
              <w:t>Nk-03</w:t>
            </w:r>
          </w:p>
        </w:tc>
        <w:tc>
          <w:tcPr>
            <w:tcW w:type="dxa" w:w="2268"/>
          </w:tcPr>
          <w:p>
            <w:pPr>
              <w:jc w:val="center"/>
            </w:pPr>
            <w:r/>
            <w:r>
              <w:rPr>
                <w:rFonts w:ascii="Calibri" w:hAnsi="Calibri"/>
                <w:b w:val="0"/>
                <w:sz w:val="18"/>
              </w:rPr>
              <w:t>N3</w:t>
            </w:r>
          </w:p>
        </w:tc>
        <w:tc>
          <w:tcPr>
            <w:tcW w:type="dxa" w:w="2268"/>
          </w:tcPr>
          <w:p>
            <w:pPr>
              <w:jc w:val="center"/>
            </w:pPr>
            <w:r/>
            <w:r>
              <w:rPr>
                <w:rFonts w:ascii="Calibri" w:hAnsi="Calibri"/>
                <w:b w:val="0"/>
                <w:sz w:val="18"/>
              </w:rPr>
              <w:t>-79.9104110</w:t>
            </w:r>
          </w:p>
        </w:tc>
        <w:tc>
          <w:tcPr>
            <w:tcW w:type="dxa" w:w="2268"/>
          </w:tcPr>
          <w:p>
            <w:pPr>
              <w:jc w:val="center"/>
            </w:pPr>
            <w:r/>
            <w:r>
              <w:rPr>
                <w:rFonts w:ascii="Calibri" w:hAnsi="Calibri"/>
                <w:b w:val="0"/>
                <w:sz w:val="18"/>
              </w:rPr>
              <w:t>-2.1392937</w:t>
            </w:r>
          </w:p>
        </w:tc>
      </w:tr>
      <w:tr>
        <w:tc>
          <w:tcPr>
            <w:tcW w:type="dxa" w:w="2268"/>
          </w:tcPr>
          <w:p>
            <w:pPr>
              <w:jc w:val="center"/>
            </w:pPr>
            <w:r/>
            <w:r>
              <w:rPr>
                <w:rFonts w:ascii="Calibri" w:hAnsi="Calibri"/>
                <w:b w:val="0"/>
                <w:sz w:val="18"/>
              </w:rPr>
              <w:t>Nk-04</w:t>
            </w:r>
          </w:p>
        </w:tc>
        <w:tc>
          <w:tcPr>
            <w:tcW w:type="dxa" w:w="2268"/>
          </w:tcPr>
          <w:p>
            <w:pPr>
              <w:jc w:val="center"/>
            </w:pPr>
            <w:r/>
            <w:r>
              <w:rPr>
                <w:rFonts w:ascii="Calibri" w:hAnsi="Calibri"/>
                <w:b w:val="0"/>
                <w:sz w:val="18"/>
              </w:rPr>
              <w:t>N4</w:t>
            </w:r>
          </w:p>
        </w:tc>
        <w:tc>
          <w:tcPr>
            <w:tcW w:type="dxa" w:w="2268"/>
          </w:tcPr>
          <w:p>
            <w:pPr>
              <w:jc w:val="center"/>
            </w:pPr>
            <w:r/>
            <w:r>
              <w:rPr>
                <w:rFonts w:ascii="Calibri" w:hAnsi="Calibri"/>
                <w:b w:val="0"/>
                <w:sz w:val="18"/>
              </w:rPr>
              <w:t>-79.9102661</w:t>
            </w:r>
          </w:p>
        </w:tc>
        <w:tc>
          <w:tcPr>
            <w:tcW w:type="dxa" w:w="2268"/>
          </w:tcPr>
          <w:p>
            <w:pPr>
              <w:jc w:val="center"/>
            </w:pPr>
            <w:r/>
            <w:r>
              <w:rPr>
                <w:rFonts w:ascii="Calibri" w:hAnsi="Calibri"/>
                <w:b w:val="0"/>
                <w:sz w:val="18"/>
              </w:rPr>
              <w:t>-2.1391645</w:t>
            </w:r>
          </w:p>
        </w:tc>
      </w:tr>
      <w:tr>
        <w:tc>
          <w:tcPr>
            <w:tcW w:type="dxa" w:w="2268"/>
          </w:tcPr>
          <w:p>
            <w:pPr>
              <w:jc w:val="center"/>
            </w:pPr>
            <w:r/>
            <w:r>
              <w:rPr>
                <w:rFonts w:ascii="Calibri" w:hAnsi="Calibri"/>
                <w:b w:val="0"/>
                <w:sz w:val="18"/>
              </w:rPr>
              <w:t>Nk-05</w:t>
            </w:r>
          </w:p>
        </w:tc>
        <w:tc>
          <w:tcPr>
            <w:tcW w:type="dxa" w:w="2268"/>
          </w:tcPr>
          <w:p>
            <w:pPr>
              <w:jc w:val="center"/>
            </w:pPr>
            <w:r/>
            <w:r>
              <w:rPr>
                <w:rFonts w:ascii="Calibri" w:hAnsi="Calibri"/>
                <w:b w:val="0"/>
                <w:sz w:val="18"/>
              </w:rPr>
              <w:t>N5</w:t>
            </w:r>
          </w:p>
        </w:tc>
        <w:tc>
          <w:tcPr>
            <w:tcW w:type="dxa" w:w="2268"/>
          </w:tcPr>
          <w:p>
            <w:pPr>
              <w:jc w:val="center"/>
            </w:pPr>
            <w:r/>
            <w:r>
              <w:rPr>
                <w:rFonts w:ascii="Calibri" w:hAnsi="Calibri"/>
                <w:b w:val="0"/>
                <w:sz w:val="18"/>
              </w:rPr>
              <w:t>-79.9095325</w:t>
            </w:r>
          </w:p>
        </w:tc>
        <w:tc>
          <w:tcPr>
            <w:tcW w:type="dxa" w:w="2268"/>
          </w:tcPr>
          <w:p>
            <w:pPr>
              <w:jc w:val="center"/>
            </w:pPr>
            <w:r/>
            <w:r>
              <w:rPr>
                <w:rFonts w:ascii="Calibri" w:hAnsi="Calibri"/>
                <w:b w:val="0"/>
                <w:sz w:val="18"/>
              </w:rPr>
              <w:t>-2.1398310</w:t>
            </w:r>
          </w:p>
        </w:tc>
      </w:tr>
      <w:tr>
        <w:tc>
          <w:tcPr>
            <w:tcW w:type="dxa" w:w="2268"/>
          </w:tcPr>
          <w:p>
            <w:pPr>
              <w:jc w:val="center"/>
            </w:pPr>
            <w:r/>
            <w:r>
              <w:rPr>
                <w:rFonts w:ascii="Calibri" w:hAnsi="Calibri"/>
                <w:b w:val="0"/>
                <w:sz w:val="18"/>
              </w:rPr>
              <w:t>Nk-06</w:t>
            </w:r>
          </w:p>
        </w:tc>
        <w:tc>
          <w:tcPr>
            <w:tcW w:type="dxa" w:w="2268"/>
          </w:tcPr>
          <w:p>
            <w:pPr>
              <w:jc w:val="center"/>
            </w:pPr>
            <w:r/>
            <w:r>
              <w:rPr>
                <w:rFonts w:ascii="Calibri" w:hAnsi="Calibri"/>
                <w:b w:val="0"/>
                <w:sz w:val="18"/>
              </w:rPr>
              <w:t>N6</w:t>
            </w:r>
          </w:p>
        </w:tc>
        <w:tc>
          <w:tcPr>
            <w:tcW w:type="dxa" w:w="2268"/>
          </w:tcPr>
          <w:p>
            <w:pPr>
              <w:jc w:val="center"/>
            </w:pPr>
            <w:r/>
            <w:r>
              <w:rPr>
                <w:rFonts w:ascii="Calibri" w:hAnsi="Calibri"/>
                <w:b w:val="0"/>
                <w:sz w:val="18"/>
              </w:rPr>
              <w:t>-79.9097595</w:t>
            </w:r>
          </w:p>
        </w:tc>
        <w:tc>
          <w:tcPr>
            <w:tcW w:type="dxa" w:w="2268"/>
          </w:tcPr>
          <w:p>
            <w:pPr>
              <w:jc w:val="center"/>
            </w:pPr>
            <w:r/>
            <w:r>
              <w:rPr>
                <w:rFonts w:ascii="Calibri" w:hAnsi="Calibri"/>
                <w:b w:val="0"/>
                <w:sz w:val="18"/>
              </w:rPr>
              <w:t>-2.1398780</w:t>
            </w:r>
          </w:p>
        </w:tc>
      </w:tr>
      <w:tr>
        <w:tc>
          <w:tcPr>
            <w:tcW w:type="dxa" w:w="2268"/>
          </w:tcPr>
          <w:p>
            <w:pPr>
              <w:jc w:val="center"/>
            </w:pPr>
            <w:r/>
            <w:r>
              <w:rPr>
                <w:rFonts w:ascii="Calibri" w:hAnsi="Calibri"/>
                <w:b w:val="0"/>
                <w:sz w:val="18"/>
              </w:rPr>
              <w:t>Nk-07</w:t>
            </w:r>
          </w:p>
        </w:tc>
        <w:tc>
          <w:tcPr>
            <w:tcW w:type="dxa" w:w="2268"/>
          </w:tcPr>
          <w:p>
            <w:pPr>
              <w:jc w:val="center"/>
            </w:pPr>
            <w:r/>
            <w:r>
              <w:rPr>
                <w:rFonts w:ascii="Calibri" w:hAnsi="Calibri"/>
                <w:b w:val="0"/>
                <w:sz w:val="18"/>
              </w:rPr>
              <w:t>N7</w:t>
            </w:r>
          </w:p>
        </w:tc>
        <w:tc>
          <w:tcPr>
            <w:tcW w:type="dxa" w:w="2268"/>
          </w:tcPr>
          <w:p>
            <w:pPr>
              <w:jc w:val="center"/>
            </w:pPr>
            <w:r/>
            <w:r>
              <w:rPr>
                <w:rFonts w:ascii="Calibri" w:hAnsi="Calibri"/>
                <w:b w:val="0"/>
                <w:sz w:val="18"/>
              </w:rPr>
              <w:t>-79.9103107</w:t>
            </w:r>
          </w:p>
        </w:tc>
        <w:tc>
          <w:tcPr>
            <w:tcW w:type="dxa" w:w="2268"/>
          </w:tcPr>
          <w:p>
            <w:pPr>
              <w:jc w:val="center"/>
            </w:pPr>
            <w:r/>
            <w:r>
              <w:rPr>
                <w:rFonts w:ascii="Calibri" w:hAnsi="Calibri"/>
                <w:b w:val="0"/>
                <w:sz w:val="18"/>
              </w:rPr>
              <w:t>-2.1397941</w:t>
            </w:r>
          </w:p>
        </w:tc>
      </w:tr>
      <w:tr>
        <w:tc>
          <w:tcPr>
            <w:tcW w:type="dxa" w:w="2268"/>
          </w:tcPr>
          <w:p>
            <w:pPr>
              <w:jc w:val="center"/>
            </w:pPr>
            <w:r/>
            <w:r>
              <w:rPr>
                <w:rFonts w:ascii="Calibri" w:hAnsi="Calibri"/>
                <w:b w:val="0"/>
                <w:sz w:val="18"/>
              </w:rPr>
              <w:t>Nk-08</w:t>
            </w:r>
          </w:p>
        </w:tc>
        <w:tc>
          <w:tcPr>
            <w:tcW w:type="dxa" w:w="2268"/>
          </w:tcPr>
          <w:p>
            <w:pPr>
              <w:jc w:val="center"/>
            </w:pPr>
            <w:r/>
            <w:r>
              <w:rPr>
                <w:rFonts w:ascii="Calibri" w:hAnsi="Calibri"/>
                <w:b w:val="0"/>
                <w:sz w:val="18"/>
              </w:rPr>
              <w:t>N8</w:t>
            </w:r>
          </w:p>
        </w:tc>
        <w:tc>
          <w:tcPr>
            <w:tcW w:type="dxa" w:w="2268"/>
          </w:tcPr>
          <w:p>
            <w:pPr>
              <w:jc w:val="center"/>
            </w:pPr>
            <w:r/>
            <w:r>
              <w:rPr>
                <w:rFonts w:ascii="Calibri" w:hAnsi="Calibri"/>
                <w:b w:val="0"/>
                <w:sz w:val="18"/>
              </w:rPr>
              <w:t>-79.9104797</w:t>
            </w:r>
          </w:p>
        </w:tc>
        <w:tc>
          <w:tcPr>
            <w:tcW w:type="dxa" w:w="2268"/>
          </w:tcPr>
          <w:p>
            <w:pPr>
              <w:jc w:val="center"/>
            </w:pPr>
            <w:r/>
            <w:r>
              <w:rPr>
                <w:rFonts w:ascii="Calibri" w:hAnsi="Calibri"/>
                <w:b w:val="0"/>
                <w:sz w:val="18"/>
              </w:rPr>
              <w:t>-2.1387928</w:t>
            </w:r>
          </w:p>
        </w:tc>
      </w:tr>
      <w:tr>
        <w:tc>
          <w:tcPr>
            <w:tcW w:type="dxa" w:w="2268"/>
          </w:tcPr>
          <w:p>
            <w:pPr>
              <w:jc w:val="center"/>
            </w:pPr>
            <w:r/>
            <w:r>
              <w:rPr>
                <w:rFonts w:ascii="Calibri" w:hAnsi="Calibri"/>
                <w:b w:val="0"/>
                <w:sz w:val="18"/>
              </w:rPr>
              <w:t>Nk-09</w:t>
            </w:r>
          </w:p>
        </w:tc>
        <w:tc>
          <w:tcPr>
            <w:tcW w:type="dxa" w:w="2268"/>
          </w:tcPr>
          <w:p>
            <w:pPr>
              <w:jc w:val="center"/>
            </w:pPr>
            <w:r/>
            <w:r>
              <w:rPr>
                <w:rFonts w:ascii="Calibri" w:hAnsi="Calibri"/>
                <w:b w:val="0"/>
                <w:sz w:val="18"/>
              </w:rPr>
              <w:t>N9</w:t>
            </w:r>
          </w:p>
        </w:tc>
        <w:tc>
          <w:tcPr>
            <w:tcW w:type="dxa" w:w="2268"/>
          </w:tcPr>
          <w:p>
            <w:pPr>
              <w:jc w:val="center"/>
            </w:pPr>
            <w:r/>
            <w:r>
              <w:rPr>
                <w:rFonts w:ascii="Calibri" w:hAnsi="Calibri"/>
                <w:b w:val="0"/>
                <w:sz w:val="18"/>
              </w:rPr>
              <w:t>-79.9114019</w:t>
            </w:r>
          </w:p>
        </w:tc>
        <w:tc>
          <w:tcPr>
            <w:tcW w:type="dxa" w:w="2268"/>
          </w:tcPr>
          <w:p>
            <w:pPr>
              <w:jc w:val="center"/>
            </w:pPr>
            <w:r/>
            <w:r>
              <w:rPr>
                <w:rFonts w:ascii="Calibri" w:hAnsi="Calibri"/>
                <w:b w:val="0"/>
                <w:sz w:val="18"/>
              </w:rPr>
              <w:t>-2.1394408</w:t>
            </w:r>
          </w:p>
        </w:tc>
      </w:tr>
      <w:tr>
        <w:tc>
          <w:tcPr>
            <w:tcW w:type="dxa" w:w="2268"/>
          </w:tcPr>
          <w:p>
            <w:pPr>
              <w:jc w:val="center"/>
            </w:pPr>
            <w:r/>
            <w:r>
              <w:rPr>
                <w:rFonts w:ascii="Calibri" w:hAnsi="Calibri"/>
                <w:b w:val="0"/>
                <w:sz w:val="18"/>
              </w:rPr>
              <w:t>Nk-10</w:t>
            </w:r>
          </w:p>
        </w:tc>
        <w:tc>
          <w:tcPr>
            <w:tcW w:type="dxa" w:w="2268"/>
          </w:tcPr>
          <w:p>
            <w:pPr>
              <w:jc w:val="center"/>
            </w:pPr>
            <w:r/>
            <w:r>
              <w:rPr>
                <w:rFonts w:ascii="Calibri" w:hAnsi="Calibri"/>
                <w:b w:val="0"/>
                <w:sz w:val="18"/>
              </w:rPr>
              <w:t>N10</w:t>
            </w:r>
          </w:p>
        </w:tc>
        <w:tc>
          <w:tcPr>
            <w:tcW w:type="dxa" w:w="2268"/>
          </w:tcPr>
          <w:p>
            <w:pPr>
              <w:jc w:val="center"/>
            </w:pPr>
            <w:r/>
            <w:r>
              <w:rPr>
                <w:rFonts w:ascii="Calibri" w:hAnsi="Calibri"/>
                <w:b w:val="0"/>
                <w:sz w:val="18"/>
              </w:rPr>
              <w:t>-79.9115469</w:t>
            </w:r>
          </w:p>
        </w:tc>
        <w:tc>
          <w:tcPr>
            <w:tcW w:type="dxa" w:w="2268"/>
          </w:tcPr>
          <w:p>
            <w:pPr>
              <w:jc w:val="center"/>
            </w:pPr>
            <w:r/>
            <w:r>
              <w:rPr>
                <w:rFonts w:ascii="Calibri" w:hAnsi="Calibri"/>
                <w:b w:val="0"/>
                <w:sz w:val="18"/>
              </w:rPr>
              <w:t>-2.1395091</w:t>
            </w:r>
          </w:p>
        </w:tc>
      </w:tr>
      <w:tr>
        <w:tc>
          <w:tcPr>
            <w:tcW w:type="dxa" w:w="2268"/>
          </w:tcPr>
          <w:p>
            <w:pPr>
              <w:jc w:val="center"/>
            </w:pPr>
            <w:r/>
            <w:r>
              <w:rPr>
                <w:rFonts w:ascii="Calibri" w:hAnsi="Calibri"/>
                <w:b w:val="0"/>
                <w:sz w:val="18"/>
              </w:rPr>
              <w:t>Nk-11</w:t>
            </w:r>
          </w:p>
        </w:tc>
        <w:tc>
          <w:tcPr>
            <w:tcW w:type="dxa" w:w="2268"/>
          </w:tcPr>
          <w:p>
            <w:pPr>
              <w:jc w:val="center"/>
            </w:pPr>
            <w:r/>
            <w:r>
              <w:rPr>
                <w:rFonts w:ascii="Calibri" w:hAnsi="Calibri"/>
                <w:b w:val="0"/>
                <w:sz w:val="18"/>
              </w:rPr>
              <w:t>N11</w:t>
            </w:r>
          </w:p>
        </w:tc>
        <w:tc>
          <w:tcPr>
            <w:tcW w:type="dxa" w:w="2268"/>
          </w:tcPr>
          <w:p>
            <w:pPr>
              <w:jc w:val="center"/>
            </w:pPr>
            <w:r/>
            <w:r>
              <w:rPr>
                <w:rFonts w:ascii="Calibri" w:hAnsi="Calibri"/>
                <w:b w:val="0"/>
                <w:sz w:val="18"/>
              </w:rPr>
              <w:t>-79.9115146</w:t>
            </w:r>
          </w:p>
        </w:tc>
        <w:tc>
          <w:tcPr>
            <w:tcW w:type="dxa" w:w="2268"/>
          </w:tcPr>
          <w:p>
            <w:pPr>
              <w:jc w:val="center"/>
            </w:pPr>
            <w:r/>
            <w:r>
              <w:rPr>
                <w:rFonts w:ascii="Calibri" w:hAnsi="Calibri"/>
                <w:b w:val="0"/>
                <w:sz w:val="18"/>
              </w:rPr>
              <w:t>-2.1394707</w:t>
            </w:r>
          </w:p>
        </w:tc>
      </w:tr>
      <w:tr>
        <w:tc>
          <w:tcPr>
            <w:tcW w:type="dxa" w:w="2268"/>
          </w:tcPr>
          <w:p>
            <w:pPr>
              <w:jc w:val="center"/>
            </w:pPr>
            <w:r/>
            <w:r>
              <w:rPr>
                <w:rFonts w:ascii="Calibri" w:hAnsi="Calibri"/>
                <w:b w:val="0"/>
                <w:sz w:val="18"/>
              </w:rPr>
              <w:t>Nk-12</w:t>
            </w:r>
          </w:p>
        </w:tc>
        <w:tc>
          <w:tcPr>
            <w:tcW w:type="dxa" w:w="2268"/>
          </w:tcPr>
          <w:p>
            <w:pPr>
              <w:jc w:val="center"/>
            </w:pPr>
            <w:r/>
            <w:r>
              <w:rPr>
                <w:rFonts w:ascii="Calibri" w:hAnsi="Calibri"/>
                <w:b w:val="0"/>
                <w:sz w:val="18"/>
              </w:rPr>
              <w:t>N12</w:t>
            </w:r>
          </w:p>
        </w:tc>
        <w:tc>
          <w:tcPr>
            <w:tcW w:type="dxa" w:w="2268"/>
          </w:tcPr>
          <w:p>
            <w:pPr>
              <w:jc w:val="center"/>
            </w:pPr>
            <w:r/>
            <w:r>
              <w:rPr>
                <w:rFonts w:ascii="Calibri" w:hAnsi="Calibri"/>
                <w:b w:val="0"/>
                <w:sz w:val="18"/>
              </w:rPr>
              <w:t>-79.9112014</w:t>
            </w:r>
          </w:p>
        </w:tc>
        <w:tc>
          <w:tcPr>
            <w:tcW w:type="dxa" w:w="2268"/>
          </w:tcPr>
          <w:p>
            <w:pPr>
              <w:jc w:val="center"/>
            </w:pPr>
            <w:r/>
            <w:r>
              <w:rPr>
                <w:rFonts w:ascii="Calibri" w:hAnsi="Calibri"/>
                <w:b w:val="0"/>
                <w:sz w:val="18"/>
              </w:rPr>
              <w:t>-2.1391612</w:t>
            </w:r>
          </w:p>
        </w:tc>
      </w:tr>
      <w:tr>
        <w:tc>
          <w:tcPr>
            <w:tcW w:type="dxa" w:w="2268"/>
          </w:tcPr>
          <w:p>
            <w:pPr>
              <w:jc w:val="center"/>
            </w:pPr>
            <w:r/>
            <w:r>
              <w:rPr>
                <w:rFonts w:ascii="Calibri" w:hAnsi="Calibri"/>
                <w:b w:val="0"/>
                <w:sz w:val="18"/>
              </w:rPr>
              <w:t>Nk-13</w:t>
            </w:r>
          </w:p>
        </w:tc>
        <w:tc>
          <w:tcPr>
            <w:tcW w:type="dxa" w:w="2268"/>
          </w:tcPr>
          <w:p>
            <w:pPr>
              <w:jc w:val="center"/>
            </w:pPr>
            <w:r/>
            <w:r>
              <w:rPr>
                <w:rFonts w:ascii="Calibri" w:hAnsi="Calibri"/>
                <w:b w:val="0"/>
                <w:sz w:val="18"/>
              </w:rPr>
              <w:t>N13</w:t>
            </w:r>
          </w:p>
        </w:tc>
        <w:tc>
          <w:tcPr>
            <w:tcW w:type="dxa" w:w="2268"/>
          </w:tcPr>
          <w:p>
            <w:pPr>
              <w:jc w:val="center"/>
            </w:pPr>
            <w:r/>
            <w:r>
              <w:rPr>
                <w:rFonts w:ascii="Calibri" w:hAnsi="Calibri"/>
                <w:b w:val="0"/>
                <w:sz w:val="18"/>
              </w:rPr>
              <w:t>-79.9107717</w:t>
            </w:r>
          </w:p>
        </w:tc>
        <w:tc>
          <w:tcPr>
            <w:tcW w:type="dxa" w:w="2268"/>
          </w:tcPr>
          <w:p>
            <w:pPr>
              <w:jc w:val="center"/>
            </w:pPr>
            <w:r/>
            <w:r>
              <w:rPr>
                <w:rFonts w:ascii="Calibri" w:hAnsi="Calibri"/>
                <w:b w:val="0"/>
                <w:sz w:val="18"/>
              </w:rPr>
              <w:t>-2.1399517</w:t>
            </w:r>
          </w:p>
        </w:tc>
      </w:tr>
      <w:tr>
        <w:tc>
          <w:tcPr>
            <w:tcW w:type="dxa" w:w="2268"/>
          </w:tcPr>
          <w:p>
            <w:pPr>
              <w:jc w:val="center"/>
            </w:pPr>
            <w:r/>
            <w:r>
              <w:rPr>
                <w:rFonts w:ascii="Calibri" w:hAnsi="Calibri"/>
                <w:b w:val="0"/>
                <w:sz w:val="18"/>
              </w:rPr>
              <w:t>Nk-14</w:t>
            </w:r>
          </w:p>
        </w:tc>
        <w:tc>
          <w:tcPr>
            <w:tcW w:type="dxa" w:w="2268"/>
          </w:tcPr>
          <w:p>
            <w:pPr>
              <w:jc w:val="center"/>
            </w:pPr>
            <w:r/>
            <w:r>
              <w:rPr>
                <w:rFonts w:ascii="Calibri" w:hAnsi="Calibri"/>
                <w:b w:val="0"/>
                <w:sz w:val="18"/>
              </w:rPr>
              <w:t>N14</w:t>
            </w:r>
          </w:p>
        </w:tc>
        <w:tc>
          <w:tcPr>
            <w:tcW w:type="dxa" w:w="2268"/>
          </w:tcPr>
          <w:p>
            <w:pPr>
              <w:jc w:val="center"/>
            </w:pPr>
            <w:r/>
            <w:r>
              <w:rPr>
                <w:rFonts w:ascii="Calibri" w:hAnsi="Calibri"/>
                <w:b w:val="0"/>
                <w:sz w:val="18"/>
              </w:rPr>
              <w:t>-79.9103401</w:t>
            </w:r>
          </w:p>
        </w:tc>
        <w:tc>
          <w:tcPr>
            <w:tcW w:type="dxa" w:w="2268"/>
          </w:tcPr>
          <w:p>
            <w:pPr>
              <w:jc w:val="center"/>
            </w:pPr>
            <w:r/>
            <w:r>
              <w:rPr>
                <w:rFonts w:ascii="Calibri" w:hAnsi="Calibri"/>
                <w:b w:val="0"/>
                <w:sz w:val="18"/>
              </w:rPr>
              <w:t>-2.1402488</w:t>
            </w:r>
          </w:p>
        </w:tc>
      </w:tr>
      <w:tr>
        <w:tc>
          <w:tcPr>
            <w:tcW w:type="dxa" w:w="2268"/>
          </w:tcPr>
          <w:p>
            <w:pPr>
              <w:jc w:val="center"/>
            </w:pPr>
            <w:r/>
            <w:r>
              <w:rPr>
                <w:rFonts w:ascii="Calibri" w:hAnsi="Calibri"/>
                <w:b w:val="0"/>
                <w:sz w:val="18"/>
              </w:rPr>
              <w:t>Nk-15</w:t>
            </w:r>
          </w:p>
        </w:tc>
        <w:tc>
          <w:tcPr>
            <w:tcW w:type="dxa" w:w="2268"/>
          </w:tcPr>
          <w:p>
            <w:pPr>
              <w:jc w:val="center"/>
            </w:pPr>
            <w:r/>
            <w:r>
              <w:rPr>
                <w:rFonts w:ascii="Calibri" w:hAnsi="Calibri"/>
                <w:b w:val="0"/>
                <w:sz w:val="18"/>
              </w:rPr>
              <w:t>N15</w:t>
            </w:r>
          </w:p>
        </w:tc>
        <w:tc>
          <w:tcPr>
            <w:tcW w:type="dxa" w:w="2268"/>
          </w:tcPr>
          <w:p>
            <w:pPr>
              <w:jc w:val="center"/>
            </w:pPr>
            <w:r/>
            <w:r>
              <w:rPr>
                <w:rFonts w:ascii="Calibri" w:hAnsi="Calibri"/>
                <w:b w:val="0"/>
                <w:sz w:val="18"/>
              </w:rPr>
              <w:t>-79.9101212</w:t>
            </w:r>
          </w:p>
        </w:tc>
        <w:tc>
          <w:tcPr>
            <w:tcW w:type="dxa" w:w="2268"/>
          </w:tcPr>
          <w:p>
            <w:pPr>
              <w:jc w:val="center"/>
            </w:pPr>
            <w:r/>
            <w:r>
              <w:rPr>
                <w:rFonts w:ascii="Calibri" w:hAnsi="Calibri"/>
                <w:b w:val="0"/>
                <w:sz w:val="18"/>
              </w:rPr>
              <w:t>-2.1402582</w:t>
            </w:r>
          </w:p>
        </w:tc>
      </w:tr>
    </w:tbl>
    <w:p>
      <w:pPr>
        <w:spacing w:before="40" w:after="160"/>
        <w:jc w:val="center"/>
      </w:pPr>
      <w:r>
        <w:rPr>
          <w:rFonts w:ascii="Calibri" w:hAnsi="Calibri"/>
          <w:i/>
          <w:sz w:val="18"/>
        </w:rPr>
        <w:t>Tabla 2. Coordenadas de los ensayos para la medición del período elástico mediante la técnica Nakamura.</w:t>
      </w:r>
    </w:p>
    <w:p>
      <w:pPr>
        <w:jc w:val="center"/>
      </w:pPr>
    </w:p>
    <w:p>
      <w:r>
        <w:drawing>
          <wp:inline xmlns:a="http://schemas.openxmlformats.org/drawingml/2006/main" xmlns:pic="http://schemas.openxmlformats.org/drawingml/2006/picture">
            <wp:extent cx="5303520" cy="6174862"/>
            <wp:docPr id="1" name="Picture 1"/>
            <wp:cNvGraphicFramePr>
              <a:graphicFrameLocks noChangeAspect="1"/>
            </wp:cNvGraphicFramePr>
            <a:graphic>
              <a:graphicData uri="http://schemas.openxmlformats.org/drawingml/2006/picture">
                <pic:pic>
                  <pic:nvPicPr>
                    <pic:cNvPr id="0" name="Poligono de referencia en verde.jpg"/>
                    <pic:cNvPicPr/>
                  </pic:nvPicPr>
                  <pic:blipFill>
                    <a:blip r:embed="rId9"/>
                    <a:stretch>
                      <a:fillRect/>
                    </a:stretch>
                  </pic:blipFill>
                  <pic:spPr>
                    <a:xfrm>
                      <a:off x="0" y="0"/>
                      <a:ext cx="5303520" cy="6174862"/>
                    </a:xfrm>
                    <a:prstGeom prst="rect"/>
                  </pic:spPr>
                </pic:pic>
              </a:graphicData>
            </a:graphic>
          </wp:inline>
        </w:drawing>
      </w:r>
    </w:p>
    <w:p>
      <w:pPr>
        <w:spacing w:before="40" w:after="160"/>
        <w:jc w:val="center"/>
      </w:pPr>
      <w:r>
        <w:rPr>
          <w:rFonts w:ascii="Calibri" w:hAnsi="Calibri"/>
          <w:i/>
          <w:sz w:val="18"/>
        </w:rPr>
        <w:t>Figura 1. Ubicación de los puntos de medición de período elástico sobre ortofoto del polígono.</w:t>
      </w:r>
    </w:p>
    <w:p>
      <w:pPr>
        <w:pStyle w:val="Heading1"/>
      </w:pPr>
      <w:r>
        <w:t>INSTRUMENTACIÓN – EQUIPOS DE MEDICIÓN</w:t>
      </w:r>
    </w:p>
    <w:p>
      <w:pPr>
        <w:spacing w:after="120" w:before="0"/>
      </w:pPr>
      <w:r>
        <w:rPr>
          <w:rFonts w:ascii="Calibri" w:hAnsi="Calibri"/>
          <w:b w:val="0"/>
          <w:i w:val="0"/>
          <w:sz w:val="22"/>
        </w:rPr>
        <w:t>Para la adquisición de las vibraciones ambientales se utilizaron estaciones digitales triaxiales de registro continuo pertenecientes a la red sísmica ARDASYSMIC. La configuración instrumental comprende dos tipos de transductores: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tcPr>
          <w:p>
            <w:pPr>
              <w:jc w:val="center"/>
            </w:pPr>
            <w:r>
              <w:rPr>
                <w:color w:val="FFFFFF"/>
              </w:rPr>
            </w:r>
            <w:r>
              <w:rPr>
                <w:rFonts w:ascii="Calibri" w:hAnsi="Calibri"/>
                <w:b/>
                <w:sz w:val="16"/>
              </w:rPr>
              <w:t>Estación</w:t>
            </w:r>
          </w:p>
        </w:tc>
        <w:tc>
          <w:tcPr>
            <w:tcW w:type="dxa" w:w="1814"/>
            <w:shd w:fill="1F4E79"/>
          </w:tcPr>
          <w:p>
            <w:pPr>
              <w:jc w:val="center"/>
            </w:pPr>
            <w:r>
              <w:rPr>
                <w:color w:val="FFFFFF"/>
              </w:rPr>
            </w:r>
            <w:r>
              <w:rPr>
                <w:rFonts w:ascii="Calibri" w:hAnsi="Calibri"/>
                <w:b/>
                <w:sz w:val="16"/>
              </w:rPr>
              <w:t>Sensor</w:t>
            </w:r>
          </w:p>
        </w:tc>
        <w:tc>
          <w:tcPr>
            <w:tcW w:type="dxa" w:w="1814"/>
            <w:shd w:fill="1F4E79"/>
          </w:tcPr>
          <w:p>
            <w:pPr>
              <w:jc w:val="center"/>
            </w:pPr>
            <w:r>
              <w:rPr>
                <w:color w:val="FFFFFF"/>
              </w:rPr>
            </w:r>
            <w:r>
              <w:rPr>
                <w:rFonts w:ascii="Calibri" w:hAnsi="Calibri"/>
                <w:b/>
                <w:sz w:val="16"/>
              </w:rPr>
              <w:t>Tipo de Respuesta</w:t>
            </w:r>
          </w:p>
        </w:tc>
        <w:tc>
          <w:tcPr>
            <w:tcW w:type="dxa" w:w="1814"/>
            <w:shd w:fill="1F4E79"/>
          </w:tcPr>
          <w:p>
            <w:pPr>
              <w:jc w:val="center"/>
            </w:pPr>
            <w:r>
              <w:rPr>
                <w:color w:val="FFFFFF"/>
              </w:rPr>
            </w:r>
            <w:r>
              <w:rPr>
                <w:rFonts w:ascii="Calibri" w:hAnsi="Calibri"/>
                <w:b/>
                <w:sz w:val="16"/>
              </w:rPr>
              <w:t>Componentes</w:t>
            </w:r>
          </w:p>
        </w:tc>
        <w:tc>
          <w:tcPr>
            <w:tcW w:type="dxa" w:w="1814"/>
            <w:shd w:fill="1F4E79"/>
          </w:tcPr>
          <w:p>
            <w:pPr>
              <w:jc w:val="center"/>
            </w:pPr>
            <w:r>
              <w:rPr>
                <w:color w:val="FFFFFF"/>
              </w:rPr>
            </w:r>
            <w:r>
              <w:rPr>
                <w:rFonts w:ascii="Calibri" w:hAnsi="Calibri"/>
                <w:b/>
                <w:sz w:val="16"/>
              </w:rPr>
              <w:t>Fs</w:t>
            </w:r>
          </w:p>
        </w:tc>
      </w:tr>
      <w:tr>
        <w:tc>
          <w:tcPr>
            <w:tcW w:type="dxa" w:w="1814"/>
          </w:tcPr>
          <w:p>
            <w:pPr>
              <w:jc w:val="center"/>
            </w:pPr>
            <w:r/>
            <w:r>
              <w:rPr>
                <w:rFonts w:ascii="Calibri" w:hAnsi="Calibri"/>
                <w:b w:val="0"/>
                <w:sz w:val="18"/>
              </w:rPr>
              <w:t>R13D7</w:t>
            </w:r>
          </w:p>
        </w:tc>
        <w:tc>
          <w:tcPr>
            <w:tcW w:type="dxa" w:w="1814"/>
          </w:tcPr>
          <w:p>
            <w:pPr>
              <w:jc w:val="center"/>
            </w:pPr>
            <w:r/>
            <w:r>
              <w:rPr>
                <w:rFonts w:ascii="Calibri" w:hAnsi="Calibri"/>
                <w:b w:val="0"/>
                <w:sz w:val="18"/>
              </w:rPr>
              <w:t>Geófono triaxial broadband</w:t>
            </w:r>
          </w:p>
        </w:tc>
        <w:tc>
          <w:tcPr>
            <w:tcW w:type="dxa" w:w="1814"/>
          </w:tcPr>
          <w:p>
            <w:pPr>
              <w:jc w:val="center"/>
            </w:pPr>
            <w:r/>
            <w:r>
              <w:rPr>
                <w:rFonts w:ascii="Calibri" w:hAnsi="Calibri"/>
                <w:b w:val="0"/>
                <w:sz w:val="18"/>
              </w:rPr>
              <w:t>Velocidad del suelo</w:t>
            </w:r>
          </w:p>
        </w:tc>
        <w:tc>
          <w:tcPr>
            <w:tcW w:type="dxa" w:w="1814"/>
          </w:tcPr>
          <w:p>
            <w:pPr>
              <w:jc w:val="center"/>
            </w:pPr>
            <w:r/>
            <w:r>
              <w:rPr>
                <w:rFonts w:ascii="Calibri" w:hAnsi="Calibri"/>
                <w:b w:val="0"/>
                <w:sz w:val="18"/>
              </w:rPr>
              <w:t>EHN, EHE, EHZ</w:t>
            </w:r>
          </w:p>
        </w:tc>
        <w:tc>
          <w:tcPr>
            <w:tcW w:type="dxa" w:w="1814"/>
          </w:tcPr>
          <w:p>
            <w:pPr>
              <w:jc w:val="center"/>
            </w:pPr>
            <w:r/>
            <w:r>
              <w:rPr>
                <w:rFonts w:ascii="Calibri" w:hAnsi="Calibri"/>
                <w:b w:val="0"/>
                <w:sz w:val="18"/>
              </w:rPr>
              <w:t>100 Hz</w:t>
            </w:r>
          </w:p>
        </w:tc>
      </w:tr>
      <w:tr>
        <w:tc>
          <w:tcPr>
            <w:tcW w:type="dxa" w:w="1814"/>
          </w:tcPr>
          <w:p>
            <w:pPr>
              <w:jc w:val="center"/>
            </w:pPr>
            <w:r/>
            <w:r>
              <w:rPr>
                <w:rFonts w:ascii="Calibri" w:hAnsi="Calibri"/>
                <w:b w:val="0"/>
                <w:sz w:val="18"/>
              </w:rPr>
              <w:t>REAEC</w:t>
            </w:r>
          </w:p>
        </w:tc>
        <w:tc>
          <w:tcPr>
            <w:tcW w:type="dxa" w:w="1814"/>
          </w:tcPr>
          <w:p>
            <w:pPr>
              <w:jc w:val="center"/>
            </w:pPr>
            <w:r/>
            <w:r>
              <w:rPr>
                <w:rFonts w:ascii="Calibri" w:hAnsi="Calibri"/>
                <w:b w:val="0"/>
                <w:sz w:val="18"/>
              </w:rPr>
              <w:t>Acelerómetro triaxial MEMS</w:t>
            </w:r>
          </w:p>
        </w:tc>
        <w:tc>
          <w:tcPr>
            <w:tcW w:type="dxa" w:w="1814"/>
          </w:tcPr>
          <w:p>
            <w:pPr>
              <w:jc w:val="center"/>
            </w:pPr>
            <w:r/>
            <w:r>
              <w:rPr>
                <w:rFonts w:ascii="Calibri" w:hAnsi="Calibri"/>
                <w:b w:val="0"/>
                <w:sz w:val="18"/>
              </w:rPr>
              <w:t>Aceleración del suelo</w:t>
            </w:r>
          </w:p>
        </w:tc>
        <w:tc>
          <w:tcPr>
            <w:tcW w:type="dxa" w:w="1814"/>
          </w:tcPr>
          <w:p>
            <w:pPr>
              <w:jc w:val="center"/>
            </w:pPr>
            <w:r/>
            <w:r>
              <w:rPr>
                <w:rFonts w:ascii="Calibri" w:hAnsi="Calibri"/>
                <w:b w:val="0"/>
                <w:sz w:val="18"/>
              </w:rPr>
              <w:t>ENN, ENE, ENZ</w:t>
            </w:r>
          </w:p>
        </w:tc>
        <w:tc>
          <w:tcPr>
            <w:tcW w:type="dxa" w:w="1814"/>
          </w:tcPr>
          <w:p>
            <w:pPr>
              <w:jc w:val="center"/>
            </w:pPr>
            <w:r/>
            <w:r>
              <w:rPr>
                <w:rFonts w:ascii="Calibri" w:hAnsi="Calibri"/>
                <w:b w:val="0"/>
                <w:sz w:val="18"/>
              </w:rPr>
              <w:t>100 Hz</w:t>
            </w:r>
          </w:p>
        </w:tc>
      </w:tr>
    </w:tbl>
    <w:p>
      <w:pPr>
        <w:spacing w:before="40" w:after="160"/>
        <w:jc w:val="center"/>
      </w:pPr>
      <w:r>
        <w:rPr>
          <w:rFonts w:ascii="Calibri" w:hAnsi="Calibri"/>
          <w:i/>
          <w:sz w:val="18"/>
        </w:rPr>
        <w:t>Tabla 3. Equipos de medición utilizados en la campaña de campo.</w:t>
      </w:r>
    </w:p>
    <w:p>
      <w:pPr>
        <w:spacing w:after="120" w:before="0"/>
      </w:pPr>
      <w:r>
        <w:rPr>
          <w:rFonts w:ascii="Calibri" w:hAnsi="Calibri"/>
          <w:b w:val="0"/>
          <w:i w:val="0"/>
          <w:sz w:val="22"/>
        </w:rPr>
        <w:t>El vector de vibración del suelo se registra en tres componentes ortogonales: Norte-Sur (H), Este-Oeste (T) y Vertical (V), correspondientes a los ejes cartesianos (X, Y, Z). La señal es convertida mediante digitalizadores delta-sigma de 24 bits a una frecuencia de 100 muestras por segundo (Fs = 100 Hz). Cada equipo cuenta con alimentación independiente de 12 Vcc para suprimir el ruido industrial y transitorios de la red eléctrica.</w:t>
      </w:r>
    </w:p>
    <w:p>
      <w:pPr>
        <w:spacing w:after="120" w:before="0"/>
      </w:pPr>
      <w:r>
        <w:rPr>
          <w:rFonts w:ascii="Calibri" w:hAnsi="Calibri"/>
          <w:b w:val="0"/>
          <w:i w:val="0"/>
          <w:sz w:val="22"/>
        </w:rPr>
        <w:t>En cada punto de ensayo, el sensor fue firmemente acoplado a la superficie del terreno natural, verificado con nivel esférico de burbuja y orientado magnéticamente hacia el Norte geográfico. La adquisición temporal se estructuró en bloques continuos MiniSEED de 300 segundos, asegurando una duración mínima acumulada superior a 20 minutos por estación.</w:t>
      </w:r>
    </w:p>
    <w:p>
      <w:pPr>
        <w:spacing w:after="120" w:before="0"/>
      </w:pPr>
      <w:r>
        <w:rPr>
          <w:rFonts w:ascii="Calibri" w:hAnsi="Calibri"/>
          <w:b w:val="0"/>
          <w:i w:val="0"/>
          <w:sz w:val="22"/>
        </w:rPr>
        <w:t>A continuación se presenta la evidencia fotográfica de la ejecución de las mediciones en campo:</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p>
          <w:p>
            <w:pPr>
              <w:spacing w:before="40" w:after="40"/>
              <w:jc w:val="center"/>
            </w:pPr>
            <w:r>
              <w:rPr>
                <w:i/>
                <w:sz w:val="16"/>
              </w:rPr>
              <w:t>Punto Nk-01 (Sensor R13D7)</w:t>
            </w:r>
          </w:p>
        </w:tc>
        <w:tc>
          <w:tcPr>
            <w:tcW w:type="dxa" w:w="4536"/>
          </w:tcPr>
          <w:p>
            <w:pPr>
              <w:jc w:val="center"/>
            </w:pPr>
            <w:r/>
          </w:p>
          <w:p>
            <w:pPr>
              <w:spacing w:before="40" w:after="40"/>
              <w:jc w:val="center"/>
            </w:pPr>
            <w:r>
              <w:rPr>
                <w:i/>
                <w:sz w:val="16"/>
              </w:rPr>
              <w:t>Punto Nk-02 (Sensor R13D7)</w:t>
            </w:r>
          </w:p>
        </w:tc>
      </w:tr>
      <w:tr>
        <w:tc>
          <w:tcPr>
            <w:tcW w:type="dxa" w:w="4536"/>
          </w:tcPr>
          <w:p>
            <w:pPr>
              <w:jc w:val="center"/>
            </w:pPr>
            <w:r/>
          </w:p>
          <w:p>
            <w:pPr>
              <w:spacing w:before="40" w:after="40"/>
              <w:jc w:val="center"/>
            </w:pPr>
            <w:r>
              <w:rPr>
                <w:i/>
                <w:sz w:val="16"/>
              </w:rPr>
              <w:t>Punto Nk-06 (Sensor R13D7)</w:t>
            </w:r>
          </w:p>
        </w:tc>
        <w:tc>
          <w:tcPr>
            <w:tcW w:type="dxa" w:w="4536"/>
          </w:tcPr>
          <w:p>
            <w:pPr>
              <w:jc w:val="center"/>
            </w:pPr>
            <w:r/>
          </w:p>
          <w:p>
            <w:pPr>
              <w:spacing w:before="40" w:after="40"/>
              <w:jc w:val="center"/>
            </w:pPr>
            <w:r>
              <w:rPr>
                <w:i/>
                <w:sz w:val="16"/>
              </w:rPr>
              <w:t>Punto Nk-10 (Sensor R13D7)</w:t>
            </w:r>
          </w:p>
        </w:tc>
      </w:tr>
    </w:tbl>
    <w:p>
      <w:pPr>
        <w:spacing w:before="40" w:after="160"/>
        <w:jc w:val="center"/>
      </w:pPr>
      <w:r>
        <w:rPr>
          <w:rFonts w:ascii="Calibri" w:hAnsi="Calibri"/>
          <w:i/>
          <w:sz w:val="18"/>
        </w:rPr>
        <w:t>Figura 2. Evidencia fotográfica de la ejecución de los ensayos en el predio Promart-CityMall.</w:t>
      </w:r>
    </w:p>
    <w:p>
      <w:pPr>
        <w:pStyle w:val="Heading1"/>
      </w:pPr>
      <w:r>
        <w:t>PROCESAMIENTO DE LAS SEÑALES, TRATAMIENTO Y NORMALIZACIÓN SEGÚN «SESAME 2004»</w:t>
      </w:r>
    </w:p>
    <w:p>
      <w:pPr>
        <w:spacing w:after="120" w:before="0"/>
      </w:pPr>
      <w:r>
        <w:rPr>
          <w:rFonts w:ascii="Calibri" w:hAnsi="Calibri"/>
          <w:b w:val="0"/>
          <w:i w:val="0"/>
          <w:sz w:val="22"/>
        </w:rPr>
        <w:t>Para conservar las secciones estacionarias de la vibración ambiental y descartar eventos transitorios antropogénicos (paso de peatones, tránsito vehicular cercano o maquinaria), se aplicó un algoritmo de selección automática de ventanas basado en el cociente STA/LTA (Short-Term Average / Long-Term Average). Las ventanas que exceden los umbrales de detección fueron automáticamente removidas del procesamiento espectral.</w:t>
      </w:r>
    </w:p>
    <w:tbl>
      <w:tblPr>
        <w:tblStyle w:val="TableGrid"/>
        <w:tblW w:type="auto" w:w="0"/>
        <w:jc w:val="center"/>
        <w:tblLook w:firstColumn="1" w:firstRow="1" w:lastColumn="0" w:lastRow="0" w:noHBand="0" w:noVBand="1" w:val="04A0"/>
      </w:tblPr>
      <w:tblGrid>
        <w:gridCol w:w="4536"/>
        <w:gridCol w:w="4536"/>
      </w:tblGrid>
      <w:tr>
        <w:tc>
          <w:tcPr>
            <w:tcW w:type="dxa" w:w="4536"/>
            <w:shd w:fill="1F4E79"/>
          </w:tcPr>
          <w:p>
            <w:pPr>
              <w:jc w:val="center"/>
            </w:pPr>
            <w:r>
              <w:rPr>
                <w:color w:val="FFFFFF"/>
              </w:rPr>
            </w:r>
            <w:r>
              <w:rPr>
                <w:rFonts w:ascii="Calibri" w:hAnsi="Calibri"/>
                <w:b/>
                <w:sz w:val="16"/>
              </w:rPr>
              <w:t>Parámetro de Procesamiento</w:t>
            </w:r>
          </w:p>
        </w:tc>
        <w:tc>
          <w:tcPr>
            <w:tcW w:type="dxa" w:w="4536"/>
            <w:shd w:fill="1F4E79"/>
          </w:tcPr>
          <w:p>
            <w:pPr>
              <w:jc w:val="center"/>
            </w:pPr>
            <w:r>
              <w:rPr>
                <w:color w:val="FFFFFF"/>
              </w:rPr>
            </w:r>
            <w:r>
              <w:rPr>
                <w:rFonts w:ascii="Calibri" w:hAnsi="Calibri"/>
                <w:b/>
                <w:sz w:val="16"/>
              </w:rPr>
              <w:t>Valor Configurado</w:t>
            </w:r>
          </w:p>
        </w:tc>
      </w:tr>
      <w:tr>
        <w:tc>
          <w:tcPr>
            <w:tcW w:type="dxa" w:w="4536"/>
          </w:tcPr>
          <w:p>
            <w:pPr>
              <w:jc w:val="left"/>
            </w:pPr>
            <w:r/>
            <w:r>
              <w:rPr>
                <w:rFonts w:ascii="Calibri" w:hAnsi="Calibri"/>
                <w:b w:val="0"/>
                <w:sz w:val="18"/>
              </w:rPr>
              <w:t>Frecuencia de muestreo (Fs)</w:t>
            </w:r>
          </w:p>
        </w:tc>
        <w:tc>
          <w:tcPr>
            <w:tcW w:type="dxa" w:w="4536"/>
          </w:tcPr>
          <w:p>
            <w:pPr>
              <w:jc w:val="center"/>
            </w:pPr>
            <w:r/>
            <w:r>
              <w:rPr>
                <w:rFonts w:ascii="Calibri" w:hAnsi="Calibri"/>
                <w:b w:val="0"/>
                <w:sz w:val="18"/>
              </w:rPr>
              <w:t>100 Hz</w:t>
            </w:r>
          </w:p>
        </w:tc>
      </w:tr>
      <w:tr>
        <w:tc>
          <w:tcPr>
            <w:tcW w:type="dxa" w:w="4536"/>
          </w:tcPr>
          <w:p>
            <w:pPr>
              <w:jc w:val="left"/>
            </w:pPr>
            <w:r/>
            <w:r>
              <w:rPr>
                <w:rFonts w:ascii="Calibri" w:hAnsi="Calibri"/>
                <w:b w:val="0"/>
                <w:sz w:val="18"/>
              </w:rPr>
              <w:t>Duración mínima por registro</w:t>
            </w:r>
          </w:p>
        </w:tc>
        <w:tc>
          <w:tcPr>
            <w:tcW w:type="dxa" w:w="4536"/>
          </w:tcPr>
          <w:p>
            <w:pPr>
              <w:jc w:val="center"/>
            </w:pPr>
            <w:r/>
            <w:r>
              <w:rPr>
                <w:rFonts w:ascii="Calibri" w:hAnsi="Calibri"/>
                <w:b w:val="0"/>
                <w:sz w:val="18"/>
              </w:rPr>
              <w:t>300 s (5 minutos)</w:t>
            </w:r>
          </w:p>
        </w:tc>
      </w:tr>
      <w:tr>
        <w:tc>
          <w:tcPr>
            <w:tcW w:type="dxa" w:w="4536"/>
          </w:tcPr>
          <w:p>
            <w:pPr>
              <w:jc w:val="left"/>
            </w:pPr>
            <w:r/>
            <w:r>
              <w:rPr>
                <w:rFonts w:ascii="Calibri" w:hAnsi="Calibri"/>
                <w:b w:val="0"/>
                <w:sz w:val="18"/>
              </w:rPr>
              <w:t>Longitud de ventana espectral</w:t>
            </w:r>
          </w:p>
        </w:tc>
        <w:tc>
          <w:tcPr>
            <w:tcW w:type="dxa" w:w="4536"/>
          </w:tcPr>
          <w:p>
            <w:pPr>
              <w:jc w:val="center"/>
            </w:pPr>
            <w:r/>
            <w:r>
              <w:rPr>
                <w:rFonts w:ascii="Calibri" w:hAnsi="Calibri"/>
                <w:b w:val="0"/>
                <w:sz w:val="18"/>
              </w:rPr>
              <w:t>25 a 30 s</w:t>
            </w:r>
          </w:p>
        </w:tc>
      </w:tr>
      <w:tr>
        <w:tc>
          <w:tcPr>
            <w:tcW w:type="dxa" w:w="4536"/>
          </w:tcPr>
          <w:p>
            <w:pPr>
              <w:jc w:val="left"/>
            </w:pPr>
            <w:r/>
            <w:r>
              <w:rPr>
                <w:rFonts w:ascii="Calibri" w:hAnsi="Calibri"/>
                <w:b w:val="0"/>
                <w:sz w:val="18"/>
              </w:rPr>
              <w:t>Solapamiento de ventanas (overlap)</w:t>
            </w:r>
          </w:p>
        </w:tc>
        <w:tc>
          <w:tcPr>
            <w:tcW w:type="dxa" w:w="4536"/>
          </w:tcPr>
          <w:p>
            <w:pPr>
              <w:jc w:val="center"/>
            </w:pPr>
            <w:r/>
            <w:r>
              <w:rPr>
                <w:rFonts w:ascii="Calibri" w:hAnsi="Calibri"/>
                <w:b w:val="0"/>
                <w:sz w:val="18"/>
              </w:rPr>
              <w:t>50 %</w:t>
            </w:r>
          </w:p>
        </w:tc>
      </w:tr>
      <w:tr>
        <w:tc>
          <w:tcPr>
            <w:tcW w:type="dxa" w:w="4536"/>
          </w:tcPr>
          <w:p>
            <w:pPr>
              <w:jc w:val="left"/>
            </w:pPr>
            <w:r/>
            <w:r>
              <w:rPr>
                <w:rFonts w:ascii="Calibri" w:hAnsi="Calibri"/>
                <w:b w:val="0"/>
                <w:sz w:val="18"/>
              </w:rPr>
              <w:t>Función de suavizado espectral</w:t>
            </w:r>
          </w:p>
        </w:tc>
        <w:tc>
          <w:tcPr>
            <w:tcW w:type="dxa" w:w="4536"/>
          </w:tcPr>
          <w:p>
            <w:pPr>
              <w:jc w:val="center"/>
            </w:pPr>
            <w:r/>
            <w:r>
              <w:rPr>
                <w:rFonts w:ascii="Calibri" w:hAnsi="Calibri"/>
                <w:b w:val="0"/>
                <w:sz w:val="18"/>
              </w:rPr>
              <w:t>Konno-Ohmachi (b = 40)</w:t>
            </w:r>
          </w:p>
        </w:tc>
      </w:tr>
      <w:tr>
        <w:tc>
          <w:tcPr>
            <w:tcW w:type="dxa" w:w="4536"/>
          </w:tcPr>
          <w:p>
            <w:pPr>
              <w:jc w:val="left"/>
            </w:pPr>
            <w:r/>
            <w:r>
              <w:rPr>
                <w:rFonts w:ascii="Calibri" w:hAnsi="Calibri"/>
                <w:b w:val="0"/>
                <w:sz w:val="18"/>
              </w:rPr>
              <w:t>Rango de frecuencias evaluado</w:t>
            </w:r>
          </w:p>
        </w:tc>
        <w:tc>
          <w:tcPr>
            <w:tcW w:type="dxa" w:w="4536"/>
          </w:tcPr>
          <w:p>
            <w:pPr>
              <w:jc w:val="center"/>
            </w:pPr>
            <w:r/>
            <w:r>
              <w:rPr>
                <w:rFonts w:ascii="Calibri" w:hAnsi="Calibri"/>
                <w:b w:val="0"/>
                <w:sz w:val="18"/>
              </w:rPr>
              <w:t>0.20 – 20.0 Hz</w:t>
            </w:r>
          </w:p>
        </w:tc>
      </w:tr>
      <w:tr>
        <w:tc>
          <w:tcPr>
            <w:tcW w:type="dxa" w:w="4536"/>
          </w:tcPr>
          <w:p>
            <w:pPr>
              <w:jc w:val="left"/>
            </w:pPr>
            <w:r/>
            <w:r>
              <w:rPr>
                <w:rFonts w:ascii="Calibri" w:hAnsi="Calibri"/>
                <w:b w:val="0"/>
                <w:sz w:val="18"/>
              </w:rPr>
              <w:t>Tratamiento instrumental</w:t>
            </w:r>
          </w:p>
        </w:tc>
        <w:tc>
          <w:tcPr>
            <w:tcW w:type="dxa" w:w="4536"/>
          </w:tcPr>
          <w:p>
            <w:pPr>
              <w:jc w:val="center"/>
            </w:pPr>
            <w:r/>
            <w:r>
              <w:rPr>
                <w:rFonts w:ascii="Calibri" w:hAnsi="Calibri"/>
                <w:b w:val="0"/>
                <w:sz w:val="18"/>
              </w:rPr>
              <w:t>Unidades nativas según sensor (Velocidad / Aceleración)</w:t>
            </w:r>
          </w:p>
        </w:tc>
      </w:tr>
    </w:tbl>
    <w:p>
      <w:pPr>
        <w:spacing w:before="40" w:after="160"/>
        <w:jc w:val="center"/>
      </w:pPr>
      <w:r>
        <w:rPr>
          <w:rFonts w:ascii="Calibri" w:hAnsi="Calibri"/>
          <w:i/>
          <w:sz w:val="18"/>
        </w:rPr>
        <w:t>Tabla 4. Parámetros empleados durante el procesamiento de señales de microtremores.</w:t>
      </w:r>
    </w:p>
    <w:p>
      <w:pPr>
        <w:spacing w:after="120" w:before="0"/>
      </w:pPr>
      <w:r>
        <w:rPr>
          <w:rFonts w:ascii="Calibri" w:hAnsi="Calibri"/>
          <w:b w:val="0"/>
          <w:i w:val="0"/>
          <w:sz w:val="22"/>
        </w:rPr>
        <w:t>El flujo metodológico implementado por ARDASYSMIC consistió en dos fases analíticas:</w:t>
      </w:r>
    </w:p>
    <w:p>
      <w:pPr>
        <w:spacing w:after="120" w:before="0"/>
      </w:pPr>
      <w:r>
        <w:rPr>
          <w:rFonts w:ascii="Calibri" w:hAnsi="Calibri"/>
          <w:b w:val="0"/>
          <w:i w:val="0"/>
          <w:sz w:val="22"/>
        </w:rPr>
        <w:t>Fase 1 (Análisis Individual): cada archivo MiniSEED se procesó de forma independiente en TremorSys CLI para evaluar la coherencia espectral y verificar el cumplimiento de los criterios de confiabilidad y claridad del pico según SESAME. Para los registros del sensor REAEC, se activó el cálculo en unidades de aceleración para normalizar adecuadamente la respuesta.</w:t>
      </w:r>
    </w:p>
    <w:p>
      <w:pPr>
        <w:spacing w:after="120" w:before="0"/>
      </w:pPr>
      <w:r>
        <w:rPr>
          <w:rFonts w:ascii="Calibri" w:hAnsi="Calibri"/>
          <w:b w:val="0"/>
          <w:i w:val="0"/>
          <w:sz w:val="22"/>
        </w:rPr>
        <w:t>Fase 2 (Análisis Grupal Filtrado): para cada sitio N, se aplicó un algoritmo de clustering que discriminó registros con interferencias transitorias. Los registros válidos se ensamblaron en bloques continuos mayores para obtener la curva H/V representativa del sitio.</w:t>
      </w:r>
    </w:p>
    <w:p>
      <w:pPr>
        <w:pStyle w:val="Heading1"/>
      </w:pPr>
      <w:r>
        <w:t>RESULTADOS DEL ANÁLISIS DE VIBRACIÓN AMBIENTAL</w:t>
      </w:r>
    </w:p>
    <w:p>
      <w:pPr>
        <w:spacing w:after="120" w:before="0"/>
      </w:pPr>
      <w:r>
        <w:rPr>
          <w:rFonts w:ascii="Calibri" w:hAnsi="Calibri"/>
          <w:b w:val="0"/>
          <w:i w:val="0"/>
          <w:sz w:val="22"/>
        </w:rPr>
        <w:t>En la Tabla 5 se presentan los resultados consolidados de período fundamental (T₀), amplitud espectral (A₀) y clasificación SESAME para cada uno de los 15 sitios analizados.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tcPr>
          <w:p>
            <w:pPr>
              <w:jc w:val="center"/>
            </w:pPr>
            <w:r>
              <w:rPr>
                <w:color w:val="FFFFFF"/>
              </w:rPr>
            </w:r>
            <w:r>
              <w:rPr>
                <w:rFonts w:ascii="Calibri" w:hAnsi="Calibri"/>
                <w:b/>
                <w:sz w:val="16"/>
              </w:rPr>
              <w:t>Sitio</w:t>
            </w:r>
          </w:p>
        </w:tc>
        <w:tc>
          <w:tcPr>
            <w:tcW w:type="dxa" w:w="1296"/>
            <w:shd w:fill="1F4E79"/>
          </w:tcPr>
          <w:p>
            <w:pPr>
              <w:jc w:val="center"/>
            </w:pPr>
            <w:r>
              <w:rPr>
                <w:color w:val="FFFFFF"/>
              </w:rPr>
            </w:r>
            <w:r>
              <w:rPr>
                <w:rFonts w:ascii="Calibri" w:hAnsi="Calibri"/>
                <w:b/>
                <w:sz w:val="16"/>
              </w:rPr>
              <w:t>Punto N</w:t>
            </w:r>
          </w:p>
        </w:tc>
        <w:tc>
          <w:tcPr>
            <w:tcW w:type="dxa" w:w="1296"/>
            <w:shd w:fill="1F4E79"/>
          </w:tcPr>
          <w:p>
            <w:pPr>
              <w:jc w:val="center"/>
            </w:pPr>
            <w:r>
              <w:rPr>
                <w:color w:val="FFFFFF"/>
              </w:rPr>
            </w:r>
            <w:r>
              <w:rPr>
                <w:rFonts w:ascii="Calibri" w:hAnsi="Calibri"/>
                <w:b/>
                <w:sz w:val="16"/>
              </w:rPr>
              <w:t>Longitud (°)</w:t>
            </w:r>
          </w:p>
        </w:tc>
        <w:tc>
          <w:tcPr>
            <w:tcW w:type="dxa" w:w="1296"/>
            <w:shd w:fill="1F4E79"/>
          </w:tcPr>
          <w:p>
            <w:pPr>
              <w:jc w:val="center"/>
            </w:pPr>
            <w:r>
              <w:rPr>
                <w:color w:val="FFFFFF"/>
              </w:rPr>
            </w:r>
            <w:r>
              <w:rPr>
                <w:rFonts w:ascii="Calibri" w:hAnsi="Calibri"/>
                <w:b/>
                <w:sz w:val="16"/>
              </w:rPr>
              <w:t>Latitud (°)</w:t>
            </w:r>
          </w:p>
        </w:tc>
        <w:tc>
          <w:tcPr>
            <w:tcW w:type="dxa" w:w="1296"/>
            <w:shd w:fill="1F4E79"/>
          </w:tcPr>
          <w:p>
            <w:pPr>
              <w:jc w:val="center"/>
            </w:pPr>
            <w:r>
              <w:rPr>
                <w:color w:val="FFFFFF"/>
              </w:rPr>
            </w:r>
            <w:r>
              <w:rPr>
                <w:rFonts w:ascii="Calibri" w:hAnsi="Calibri"/>
                <w:b/>
                <w:sz w:val="16"/>
              </w:rPr>
              <w:t>T₀ (s)</w:t>
            </w:r>
          </w:p>
        </w:tc>
        <w:tc>
          <w:tcPr>
            <w:tcW w:type="dxa" w:w="1296"/>
            <w:shd w:fill="1F4E79"/>
          </w:tcPr>
          <w:p>
            <w:pPr>
              <w:jc w:val="center"/>
            </w:pPr>
            <w:r>
              <w:rPr>
                <w:color w:val="FFFFFF"/>
              </w:rPr>
            </w:r>
            <w:r>
              <w:rPr>
                <w:rFonts w:ascii="Calibri" w:hAnsi="Calibri"/>
                <w:b/>
                <w:sz w:val="16"/>
              </w:rPr>
              <w:t>A₀</w:t>
            </w:r>
          </w:p>
        </w:tc>
        <w:tc>
          <w:tcPr>
            <w:tcW w:type="dxa" w:w="1296"/>
            <w:shd w:fill="1F4E79"/>
          </w:tcPr>
          <w:p>
            <w:pPr>
              <w:jc w:val="center"/>
            </w:pPr>
            <w:r>
              <w:rPr>
                <w:color w:val="FFFFFF"/>
              </w:rPr>
            </w:r>
            <w:r>
              <w:rPr>
                <w:rFonts w:ascii="Calibri" w:hAnsi="Calibri"/>
                <w:b/>
                <w:sz w:val="16"/>
              </w:rPr>
              <w:t>SESAME</w:t>
            </w:r>
          </w:p>
        </w:tc>
      </w:tr>
      <w:tr>
        <w:tc>
          <w:tcPr>
            <w:tcW w:type="dxa" w:w="1296"/>
          </w:tcPr>
          <w:p>
            <w:pPr>
              <w:jc w:val="center"/>
            </w:pPr>
            <w:r/>
            <w:r>
              <w:rPr>
                <w:rFonts w:ascii="Calibri" w:hAnsi="Calibri"/>
                <w:b w:val="0"/>
                <w:sz w:val="18"/>
              </w:rPr>
              <w:t>Nk-01</w:t>
            </w:r>
          </w:p>
        </w:tc>
        <w:tc>
          <w:tcPr>
            <w:tcW w:type="dxa" w:w="1296"/>
          </w:tcPr>
          <w:p>
            <w:pPr>
              <w:jc w:val="center"/>
            </w:pPr>
            <w:r/>
            <w:r>
              <w:rPr>
                <w:rFonts w:ascii="Calibri" w:hAnsi="Calibri"/>
                <w:b w:val="0"/>
                <w:sz w:val="18"/>
              </w:rPr>
              <w:t>N1</w:t>
            </w:r>
          </w:p>
        </w:tc>
        <w:tc>
          <w:tcPr>
            <w:tcW w:type="dxa" w:w="1296"/>
          </w:tcPr>
          <w:p>
            <w:pPr>
              <w:jc w:val="center"/>
            </w:pPr>
            <w:r/>
            <w:r>
              <w:rPr>
                <w:rFonts w:ascii="Calibri" w:hAnsi="Calibri"/>
                <w:b w:val="0"/>
                <w:sz w:val="18"/>
              </w:rPr>
              <w:t>-79.9109948</w:t>
            </w:r>
          </w:p>
        </w:tc>
        <w:tc>
          <w:tcPr>
            <w:tcW w:type="dxa" w:w="1296"/>
          </w:tcPr>
          <w:p>
            <w:pPr>
              <w:jc w:val="center"/>
            </w:pPr>
            <w:r/>
            <w:r>
              <w:rPr>
                <w:rFonts w:ascii="Calibri" w:hAnsi="Calibri"/>
                <w:b w:val="0"/>
                <w:sz w:val="18"/>
              </w:rPr>
              <w:t>-2.1389506</w:t>
            </w:r>
          </w:p>
        </w:tc>
        <w:tc>
          <w:tcPr>
            <w:tcW w:type="dxa" w:w="1296"/>
          </w:tcPr>
          <w:p>
            <w:pPr>
              <w:jc w:val="center"/>
            </w:pPr>
            <w:r/>
            <w:r>
              <w:rPr>
                <w:rFonts w:ascii="Calibri" w:hAnsi="Calibri"/>
                <w:b/>
                <w:sz w:val="18"/>
              </w:rPr>
              <w:t>1.43</w:t>
            </w:r>
          </w:p>
        </w:tc>
        <w:tc>
          <w:tcPr>
            <w:tcW w:type="dxa" w:w="1296"/>
          </w:tcPr>
          <w:p>
            <w:pPr>
              <w:jc w:val="center"/>
            </w:pPr>
            <w:r/>
            <w:r>
              <w:rPr>
                <w:rFonts w:ascii="Calibri" w:hAnsi="Calibri"/>
                <w:b w:val="0"/>
                <w:sz w:val="18"/>
              </w:rPr>
              <w:t>7.95</w:t>
            </w:r>
          </w:p>
        </w:tc>
        <w:tc>
          <w:tcPr>
            <w:tcW w:type="dxa" w:w="1296"/>
            <w:shd w:fill="C6EFCE"/>
          </w:tcPr>
          <w:p>
            <w:pPr>
              <w:jc w:val="center"/>
            </w:pPr>
            <w:r/>
            <w:r>
              <w:rPr>
                <w:rFonts w:ascii="Calibri" w:hAnsi="Calibri"/>
                <w:b/>
                <w:sz w:val="18"/>
              </w:rPr>
              <w:t>B</w:t>
            </w:r>
          </w:p>
        </w:tc>
      </w:tr>
      <w:tr>
        <w:tc>
          <w:tcPr>
            <w:tcW w:type="dxa" w:w="1296"/>
          </w:tcPr>
          <w:p>
            <w:pPr>
              <w:jc w:val="center"/>
            </w:pPr>
            <w:r/>
            <w:r>
              <w:rPr>
                <w:rFonts w:ascii="Calibri" w:hAnsi="Calibri"/>
                <w:b w:val="0"/>
                <w:sz w:val="18"/>
              </w:rPr>
              <w:t>Nk-02</w:t>
            </w:r>
          </w:p>
        </w:tc>
        <w:tc>
          <w:tcPr>
            <w:tcW w:type="dxa" w:w="1296"/>
          </w:tcPr>
          <w:p>
            <w:pPr>
              <w:jc w:val="center"/>
            </w:pPr>
            <w:r/>
            <w:r>
              <w:rPr>
                <w:rFonts w:ascii="Calibri" w:hAnsi="Calibri"/>
                <w:b w:val="0"/>
                <w:sz w:val="18"/>
              </w:rPr>
              <w:t>N2</w:t>
            </w:r>
          </w:p>
        </w:tc>
        <w:tc>
          <w:tcPr>
            <w:tcW w:type="dxa" w:w="1296"/>
          </w:tcPr>
          <w:p>
            <w:pPr>
              <w:jc w:val="center"/>
            </w:pPr>
            <w:r/>
            <w:r>
              <w:rPr>
                <w:rFonts w:ascii="Calibri" w:hAnsi="Calibri"/>
                <w:b w:val="0"/>
                <w:sz w:val="18"/>
              </w:rPr>
              <w:t>-79.9107470</w:t>
            </w:r>
          </w:p>
        </w:tc>
        <w:tc>
          <w:tcPr>
            <w:tcW w:type="dxa" w:w="1296"/>
          </w:tcPr>
          <w:p>
            <w:pPr>
              <w:jc w:val="center"/>
            </w:pPr>
            <w:r/>
            <w:r>
              <w:rPr>
                <w:rFonts w:ascii="Calibri" w:hAnsi="Calibri"/>
                <w:b w:val="0"/>
                <w:sz w:val="18"/>
              </w:rPr>
              <w:t>-2.1391298</w:t>
            </w:r>
          </w:p>
        </w:tc>
        <w:tc>
          <w:tcPr>
            <w:tcW w:type="dxa" w:w="1296"/>
          </w:tcPr>
          <w:p>
            <w:pPr>
              <w:jc w:val="center"/>
            </w:pPr>
            <w:r/>
            <w:r>
              <w:rPr>
                <w:rFonts w:ascii="Calibri" w:hAnsi="Calibri"/>
                <w:b/>
                <w:sz w:val="18"/>
              </w:rPr>
              <w:t>1.18</w:t>
            </w:r>
          </w:p>
        </w:tc>
        <w:tc>
          <w:tcPr>
            <w:tcW w:type="dxa" w:w="1296"/>
          </w:tcPr>
          <w:p>
            <w:pPr>
              <w:jc w:val="center"/>
            </w:pPr>
            <w:r/>
            <w:r>
              <w:rPr>
                <w:rFonts w:ascii="Calibri" w:hAnsi="Calibri"/>
                <w:b w:val="0"/>
                <w:sz w:val="18"/>
              </w:rPr>
              <w:t>1.41</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Nk-03</w:t>
            </w:r>
          </w:p>
        </w:tc>
        <w:tc>
          <w:tcPr>
            <w:tcW w:type="dxa" w:w="1296"/>
          </w:tcPr>
          <w:p>
            <w:pPr>
              <w:jc w:val="center"/>
            </w:pPr>
            <w:r/>
            <w:r>
              <w:rPr>
                <w:rFonts w:ascii="Calibri" w:hAnsi="Calibri"/>
                <w:b w:val="0"/>
                <w:sz w:val="18"/>
              </w:rPr>
              <w:t>N3</w:t>
            </w:r>
          </w:p>
        </w:tc>
        <w:tc>
          <w:tcPr>
            <w:tcW w:type="dxa" w:w="1296"/>
          </w:tcPr>
          <w:p>
            <w:pPr>
              <w:jc w:val="center"/>
            </w:pPr>
            <w:r/>
            <w:r>
              <w:rPr>
                <w:rFonts w:ascii="Calibri" w:hAnsi="Calibri"/>
                <w:b w:val="0"/>
                <w:sz w:val="18"/>
              </w:rPr>
              <w:t>-79.9104110</w:t>
            </w:r>
          </w:p>
        </w:tc>
        <w:tc>
          <w:tcPr>
            <w:tcW w:type="dxa" w:w="1296"/>
          </w:tcPr>
          <w:p>
            <w:pPr>
              <w:jc w:val="center"/>
            </w:pPr>
            <w:r/>
            <w:r>
              <w:rPr>
                <w:rFonts w:ascii="Calibri" w:hAnsi="Calibri"/>
                <w:b w:val="0"/>
                <w:sz w:val="18"/>
              </w:rPr>
              <w:t>-2.1392937</w:t>
            </w:r>
          </w:p>
        </w:tc>
        <w:tc>
          <w:tcPr>
            <w:tcW w:type="dxa" w:w="1296"/>
          </w:tcPr>
          <w:p>
            <w:pPr>
              <w:jc w:val="center"/>
            </w:pPr>
            <w:r/>
            <w:r>
              <w:rPr>
                <w:rFonts w:ascii="Calibri" w:hAnsi="Calibri"/>
                <w:b/>
                <w:sz w:val="18"/>
              </w:rPr>
              <w:t>1.18</w:t>
            </w:r>
          </w:p>
        </w:tc>
        <w:tc>
          <w:tcPr>
            <w:tcW w:type="dxa" w:w="1296"/>
          </w:tcPr>
          <w:p>
            <w:pPr>
              <w:jc w:val="center"/>
            </w:pPr>
            <w:r/>
            <w:r>
              <w:rPr>
                <w:rFonts w:ascii="Calibri" w:hAnsi="Calibri"/>
                <w:b w:val="0"/>
                <w:sz w:val="18"/>
              </w:rPr>
              <w:t>1.24</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Nk-04</w:t>
            </w:r>
          </w:p>
        </w:tc>
        <w:tc>
          <w:tcPr>
            <w:tcW w:type="dxa" w:w="1296"/>
          </w:tcPr>
          <w:p>
            <w:pPr>
              <w:jc w:val="center"/>
            </w:pPr>
            <w:r/>
            <w:r>
              <w:rPr>
                <w:rFonts w:ascii="Calibri" w:hAnsi="Calibri"/>
                <w:b w:val="0"/>
                <w:sz w:val="18"/>
              </w:rPr>
              <w:t>N4</w:t>
            </w:r>
          </w:p>
        </w:tc>
        <w:tc>
          <w:tcPr>
            <w:tcW w:type="dxa" w:w="1296"/>
          </w:tcPr>
          <w:p>
            <w:pPr>
              <w:jc w:val="center"/>
            </w:pPr>
            <w:r/>
            <w:r>
              <w:rPr>
                <w:rFonts w:ascii="Calibri" w:hAnsi="Calibri"/>
                <w:b w:val="0"/>
                <w:sz w:val="18"/>
              </w:rPr>
              <w:t>-79.9102661</w:t>
            </w:r>
          </w:p>
        </w:tc>
        <w:tc>
          <w:tcPr>
            <w:tcW w:type="dxa" w:w="1296"/>
          </w:tcPr>
          <w:p>
            <w:pPr>
              <w:jc w:val="center"/>
            </w:pPr>
            <w:r/>
            <w:r>
              <w:rPr>
                <w:rFonts w:ascii="Calibri" w:hAnsi="Calibri"/>
                <w:b w:val="0"/>
                <w:sz w:val="18"/>
              </w:rPr>
              <w:t>-2.1391645</w:t>
            </w:r>
          </w:p>
        </w:tc>
        <w:tc>
          <w:tcPr>
            <w:tcW w:type="dxa" w:w="1296"/>
          </w:tcPr>
          <w:p>
            <w:pPr>
              <w:jc w:val="center"/>
            </w:pPr>
            <w:r/>
            <w:r>
              <w:rPr>
                <w:rFonts w:ascii="Calibri" w:hAnsi="Calibri"/>
                <w:b/>
                <w:sz w:val="18"/>
              </w:rPr>
              <w:t>1.42</w:t>
            </w:r>
          </w:p>
        </w:tc>
        <w:tc>
          <w:tcPr>
            <w:tcW w:type="dxa" w:w="1296"/>
          </w:tcPr>
          <w:p>
            <w:pPr>
              <w:jc w:val="center"/>
            </w:pPr>
            <w:r/>
            <w:r>
              <w:rPr>
                <w:rFonts w:ascii="Calibri" w:hAnsi="Calibri"/>
                <w:b w:val="0"/>
                <w:sz w:val="18"/>
              </w:rPr>
              <w:t>8.89</w:t>
            </w:r>
          </w:p>
        </w:tc>
        <w:tc>
          <w:tcPr>
            <w:tcW w:type="dxa" w:w="1296"/>
            <w:shd w:fill="C6EFCE"/>
          </w:tcPr>
          <w:p>
            <w:pPr>
              <w:jc w:val="center"/>
            </w:pPr>
            <w:r/>
            <w:r>
              <w:rPr>
                <w:rFonts w:ascii="Calibri" w:hAnsi="Calibri"/>
                <w:b/>
                <w:sz w:val="18"/>
              </w:rPr>
              <w:t>B</w:t>
            </w:r>
          </w:p>
        </w:tc>
      </w:tr>
      <w:tr>
        <w:tc>
          <w:tcPr>
            <w:tcW w:type="dxa" w:w="1296"/>
          </w:tcPr>
          <w:p>
            <w:pPr>
              <w:jc w:val="center"/>
            </w:pPr>
            <w:r/>
            <w:r>
              <w:rPr>
                <w:rFonts w:ascii="Calibri" w:hAnsi="Calibri"/>
                <w:b w:val="0"/>
                <w:sz w:val="18"/>
              </w:rPr>
              <w:t>Nk-05</w:t>
            </w:r>
          </w:p>
        </w:tc>
        <w:tc>
          <w:tcPr>
            <w:tcW w:type="dxa" w:w="1296"/>
          </w:tcPr>
          <w:p>
            <w:pPr>
              <w:jc w:val="center"/>
            </w:pPr>
            <w:r/>
            <w:r>
              <w:rPr>
                <w:rFonts w:ascii="Calibri" w:hAnsi="Calibri"/>
                <w:b w:val="0"/>
                <w:sz w:val="18"/>
              </w:rPr>
              <w:t>N5</w:t>
            </w:r>
          </w:p>
        </w:tc>
        <w:tc>
          <w:tcPr>
            <w:tcW w:type="dxa" w:w="1296"/>
          </w:tcPr>
          <w:p>
            <w:pPr>
              <w:jc w:val="center"/>
            </w:pPr>
            <w:r/>
            <w:r>
              <w:rPr>
                <w:rFonts w:ascii="Calibri" w:hAnsi="Calibri"/>
                <w:b w:val="0"/>
                <w:sz w:val="18"/>
              </w:rPr>
              <w:t>-79.9095325</w:t>
            </w:r>
          </w:p>
        </w:tc>
        <w:tc>
          <w:tcPr>
            <w:tcW w:type="dxa" w:w="1296"/>
          </w:tcPr>
          <w:p>
            <w:pPr>
              <w:jc w:val="center"/>
            </w:pPr>
            <w:r/>
            <w:r>
              <w:rPr>
                <w:rFonts w:ascii="Calibri" w:hAnsi="Calibri"/>
                <w:b w:val="0"/>
                <w:sz w:val="18"/>
              </w:rPr>
              <w:t>-2.1398310</w:t>
            </w:r>
          </w:p>
        </w:tc>
        <w:tc>
          <w:tcPr>
            <w:tcW w:type="dxa" w:w="1296"/>
          </w:tcPr>
          <w:p>
            <w:pPr>
              <w:jc w:val="center"/>
            </w:pPr>
            <w:r/>
            <w:r>
              <w:rPr>
                <w:rFonts w:ascii="Calibri" w:hAnsi="Calibri"/>
                <w:b/>
                <w:sz w:val="18"/>
              </w:rPr>
              <w:t>1.20</w:t>
            </w:r>
          </w:p>
        </w:tc>
        <w:tc>
          <w:tcPr>
            <w:tcW w:type="dxa" w:w="1296"/>
          </w:tcPr>
          <w:p>
            <w:pPr>
              <w:jc w:val="center"/>
            </w:pPr>
            <w:r/>
            <w:r>
              <w:rPr>
                <w:rFonts w:ascii="Calibri" w:hAnsi="Calibri"/>
                <w:b w:val="0"/>
                <w:sz w:val="18"/>
              </w:rPr>
              <w:t>6.69</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Nk-06</w:t>
            </w:r>
          </w:p>
        </w:tc>
        <w:tc>
          <w:tcPr>
            <w:tcW w:type="dxa" w:w="1296"/>
          </w:tcPr>
          <w:p>
            <w:pPr>
              <w:jc w:val="center"/>
            </w:pPr>
            <w:r/>
            <w:r>
              <w:rPr>
                <w:rFonts w:ascii="Calibri" w:hAnsi="Calibri"/>
                <w:b w:val="0"/>
                <w:sz w:val="18"/>
              </w:rPr>
              <w:t>N6</w:t>
            </w:r>
          </w:p>
        </w:tc>
        <w:tc>
          <w:tcPr>
            <w:tcW w:type="dxa" w:w="1296"/>
          </w:tcPr>
          <w:p>
            <w:pPr>
              <w:jc w:val="center"/>
            </w:pPr>
            <w:r/>
            <w:r>
              <w:rPr>
                <w:rFonts w:ascii="Calibri" w:hAnsi="Calibri"/>
                <w:b w:val="0"/>
                <w:sz w:val="18"/>
              </w:rPr>
              <w:t>-79.9097595</w:t>
            </w:r>
          </w:p>
        </w:tc>
        <w:tc>
          <w:tcPr>
            <w:tcW w:type="dxa" w:w="1296"/>
          </w:tcPr>
          <w:p>
            <w:pPr>
              <w:jc w:val="center"/>
            </w:pPr>
            <w:r/>
            <w:r>
              <w:rPr>
                <w:rFonts w:ascii="Calibri" w:hAnsi="Calibri"/>
                <w:b w:val="0"/>
                <w:sz w:val="18"/>
              </w:rPr>
              <w:t>-2.1398780</w:t>
            </w:r>
          </w:p>
        </w:tc>
        <w:tc>
          <w:tcPr>
            <w:tcW w:type="dxa" w:w="1296"/>
          </w:tcPr>
          <w:p>
            <w:pPr>
              <w:jc w:val="center"/>
            </w:pPr>
            <w:r/>
            <w:r>
              <w:rPr>
                <w:rFonts w:ascii="Calibri" w:hAnsi="Calibri"/>
                <w:b/>
                <w:sz w:val="18"/>
              </w:rPr>
              <w:t>1.25</w:t>
            </w:r>
          </w:p>
        </w:tc>
        <w:tc>
          <w:tcPr>
            <w:tcW w:type="dxa" w:w="1296"/>
          </w:tcPr>
          <w:p>
            <w:pPr>
              <w:jc w:val="center"/>
            </w:pPr>
            <w:r/>
            <w:r>
              <w:rPr>
                <w:rFonts w:ascii="Calibri" w:hAnsi="Calibri"/>
                <w:b w:val="0"/>
                <w:sz w:val="18"/>
              </w:rPr>
              <w:t>4.40</w:t>
            </w:r>
          </w:p>
        </w:tc>
        <w:tc>
          <w:tcPr>
            <w:tcW w:type="dxa" w:w="1296"/>
            <w:shd w:fill="C6EFCE"/>
          </w:tcPr>
          <w:p>
            <w:pPr>
              <w:jc w:val="center"/>
            </w:pPr>
            <w:r/>
            <w:r>
              <w:rPr>
                <w:rFonts w:ascii="Calibri" w:hAnsi="Calibri"/>
                <w:b/>
                <w:sz w:val="18"/>
              </w:rPr>
              <w:t>B</w:t>
            </w:r>
          </w:p>
        </w:tc>
      </w:tr>
      <w:tr>
        <w:tc>
          <w:tcPr>
            <w:tcW w:type="dxa" w:w="1296"/>
          </w:tcPr>
          <w:p>
            <w:pPr>
              <w:jc w:val="center"/>
            </w:pPr>
            <w:r/>
            <w:r>
              <w:rPr>
                <w:rFonts w:ascii="Calibri" w:hAnsi="Calibri"/>
                <w:b w:val="0"/>
                <w:sz w:val="18"/>
              </w:rPr>
              <w:t>Nk-07</w:t>
            </w:r>
          </w:p>
        </w:tc>
        <w:tc>
          <w:tcPr>
            <w:tcW w:type="dxa" w:w="1296"/>
          </w:tcPr>
          <w:p>
            <w:pPr>
              <w:jc w:val="center"/>
            </w:pPr>
            <w:r/>
            <w:r>
              <w:rPr>
                <w:rFonts w:ascii="Calibri" w:hAnsi="Calibri"/>
                <w:b w:val="0"/>
                <w:sz w:val="18"/>
              </w:rPr>
              <w:t>N7</w:t>
            </w:r>
          </w:p>
        </w:tc>
        <w:tc>
          <w:tcPr>
            <w:tcW w:type="dxa" w:w="1296"/>
          </w:tcPr>
          <w:p>
            <w:pPr>
              <w:jc w:val="center"/>
            </w:pPr>
            <w:r/>
            <w:r>
              <w:rPr>
                <w:rFonts w:ascii="Calibri" w:hAnsi="Calibri"/>
                <w:b w:val="0"/>
                <w:sz w:val="18"/>
              </w:rPr>
              <w:t>-79.9103107</w:t>
            </w:r>
          </w:p>
        </w:tc>
        <w:tc>
          <w:tcPr>
            <w:tcW w:type="dxa" w:w="1296"/>
          </w:tcPr>
          <w:p>
            <w:pPr>
              <w:jc w:val="center"/>
            </w:pPr>
            <w:r/>
            <w:r>
              <w:rPr>
                <w:rFonts w:ascii="Calibri" w:hAnsi="Calibri"/>
                <w:b w:val="0"/>
                <w:sz w:val="18"/>
              </w:rPr>
              <w:t>-2.1397941</w:t>
            </w:r>
          </w:p>
        </w:tc>
        <w:tc>
          <w:tcPr>
            <w:tcW w:type="dxa" w:w="1296"/>
          </w:tcPr>
          <w:p>
            <w:pPr>
              <w:jc w:val="center"/>
            </w:pPr>
            <w:r/>
            <w:r>
              <w:rPr>
                <w:rFonts w:ascii="Calibri" w:hAnsi="Calibri"/>
                <w:b/>
                <w:sz w:val="18"/>
              </w:rPr>
              <w:t>1.40</w:t>
            </w:r>
          </w:p>
        </w:tc>
        <w:tc>
          <w:tcPr>
            <w:tcW w:type="dxa" w:w="1296"/>
          </w:tcPr>
          <w:p>
            <w:pPr>
              <w:jc w:val="center"/>
            </w:pPr>
            <w:r/>
            <w:r>
              <w:rPr>
                <w:rFonts w:ascii="Calibri" w:hAnsi="Calibri"/>
                <w:b w:val="0"/>
                <w:sz w:val="18"/>
              </w:rPr>
              <w:t>5.40</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Nk-08</w:t>
            </w:r>
          </w:p>
        </w:tc>
        <w:tc>
          <w:tcPr>
            <w:tcW w:type="dxa" w:w="1296"/>
          </w:tcPr>
          <w:p>
            <w:pPr>
              <w:jc w:val="center"/>
            </w:pPr>
            <w:r/>
            <w:r>
              <w:rPr>
                <w:rFonts w:ascii="Calibri" w:hAnsi="Calibri"/>
                <w:b w:val="0"/>
                <w:sz w:val="18"/>
              </w:rPr>
              <w:t>N8</w:t>
            </w:r>
          </w:p>
        </w:tc>
        <w:tc>
          <w:tcPr>
            <w:tcW w:type="dxa" w:w="1296"/>
          </w:tcPr>
          <w:p>
            <w:pPr>
              <w:jc w:val="center"/>
            </w:pPr>
            <w:r/>
            <w:r>
              <w:rPr>
                <w:rFonts w:ascii="Calibri" w:hAnsi="Calibri"/>
                <w:b w:val="0"/>
                <w:sz w:val="18"/>
              </w:rPr>
              <w:t>-79.9104797</w:t>
            </w:r>
          </w:p>
        </w:tc>
        <w:tc>
          <w:tcPr>
            <w:tcW w:type="dxa" w:w="1296"/>
          </w:tcPr>
          <w:p>
            <w:pPr>
              <w:jc w:val="center"/>
            </w:pPr>
            <w:r/>
            <w:r>
              <w:rPr>
                <w:rFonts w:ascii="Calibri" w:hAnsi="Calibri"/>
                <w:b w:val="0"/>
                <w:sz w:val="18"/>
              </w:rPr>
              <w:t>-2.1387928</w:t>
            </w:r>
          </w:p>
        </w:tc>
        <w:tc>
          <w:tcPr>
            <w:tcW w:type="dxa" w:w="1296"/>
          </w:tcPr>
          <w:p>
            <w:pPr>
              <w:jc w:val="center"/>
            </w:pPr>
            <w:r/>
            <w:r>
              <w:rPr>
                <w:rFonts w:ascii="Calibri" w:hAnsi="Calibri"/>
                <w:b/>
                <w:sz w:val="18"/>
              </w:rPr>
              <w:t>1.54</w:t>
            </w:r>
          </w:p>
        </w:tc>
        <w:tc>
          <w:tcPr>
            <w:tcW w:type="dxa" w:w="1296"/>
          </w:tcPr>
          <w:p>
            <w:pPr>
              <w:jc w:val="center"/>
            </w:pPr>
            <w:r/>
            <w:r>
              <w:rPr>
                <w:rFonts w:ascii="Calibri" w:hAnsi="Calibri"/>
                <w:b w:val="0"/>
                <w:sz w:val="18"/>
              </w:rPr>
              <w:t>11.11</w:t>
            </w:r>
          </w:p>
        </w:tc>
        <w:tc>
          <w:tcPr>
            <w:tcW w:type="dxa" w:w="1296"/>
            <w:shd w:fill="C6EFCE"/>
          </w:tcPr>
          <w:p>
            <w:pPr>
              <w:jc w:val="center"/>
            </w:pPr>
            <w:r/>
            <w:r>
              <w:rPr>
                <w:rFonts w:ascii="Calibri" w:hAnsi="Calibri"/>
                <w:b/>
                <w:sz w:val="18"/>
              </w:rPr>
              <w:t>B</w:t>
            </w:r>
          </w:p>
        </w:tc>
      </w:tr>
      <w:tr>
        <w:tc>
          <w:tcPr>
            <w:tcW w:type="dxa" w:w="1296"/>
          </w:tcPr>
          <w:p>
            <w:pPr>
              <w:jc w:val="center"/>
            </w:pPr>
            <w:r/>
            <w:r>
              <w:rPr>
                <w:rFonts w:ascii="Calibri" w:hAnsi="Calibri"/>
                <w:b w:val="0"/>
                <w:sz w:val="18"/>
              </w:rPr>
              <w:t>Nk-09</w:t>
            </w:r>
          </w:p>
        </w:tc>
        <w:tc>
          <w:tcPr>
            <w:tcW w:type="dxa" w:w="1296"/>
          </w:tcPr>
          <w:p>
            <w:pPr>
              <w:jc w:val="center"/>
            </w:pPr>
            <w:r/>
            <w:r>
              <w:rPr>
                <w:rFonts w:ascii="Calibri" w:hAnsi="Calibri"/>
                <w:b w:val="0"/>
                <w:sz w:val="18"/>
              </w:rPr>
              <w:t>N9</w:t>
            </w:r>
          </w:p>
        </w:tc>
        <w:tc>
          <w:tcPr>
            <w:tcW w:type="dxa" w:w="1296"/>
          </w:tcPr>
          <w:p>
            <w:pPr>
              <w:jc w:val="center"/>
            </w:pPr>
            <w:r/>
            <w:r>
              <w:rPr>
                <w:rFonts w:ascii="Calibri" w:hAnsi="Calibri"/>
                <w:b w:val="0"/>
                <w:sz w:val="18"/>
              </w:rPr>
              <w:t>-79.9114019</w:t>
            </w:r>
          </w:p>
        </w:tc>
        <w:tc>
          <w:tcPr>
            <w:tcW w:type="dxa" w:w="1296"/>
          </w:tcPr>
          <w:p>
            <w:pPr>
              <w:jc w:val="center"/>
            </w:pPr>
            <w:r/>
            <w:r>
              <w:rPr>
                <w:rFonts w:ascii="Calibri" w:hAnsi="Calibri"/>
                <w:b w:val="0"/>
                <w:sz w:val="18"/>
              </w:rPr>
              <w:t>-2.1394408</w:t>
            </w:r>
          </w:p>
        </w:tc>
        <w:tc>
          <w:tcPr>
            <w:tcW w:type="dxa" w:w="1296"/>
          </w:tcPr>
          <w:p>
            <w:pPr>
              <w:jc w:val="center"/>
            </w:pPr>
            <w:r/>
            <w:r>
              <w:rPr>
                <w:rFonts w:ascii="Calibri" w:hAnsi="Calibri"/>
                <w:b/>
                <w:sz w:val="18"/>
              </w:rPr>
              <w:t>0.90</w:t>
            </w:r>
          </w:p>
        </w:tc>
        <w:tc>
          <w:tcPr>
            <w:tcW w:type="dxa" w:w="1296"/>
          </w:tcPr>
          <w:p>
            <w:pPr>
              <w:jc w:val="center"/>
            </w:pPr>
            <w:r/>
            <w:r>
              <w:rPr>
                <w:rFonts w:ascii="Calibri" w:hAnsi="Calibri"/>
                <w:b w:val="0"/>
                <w:sz w:val="18"/>
              </w:rPr>
              <w:t>5.90</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Nk-10</w:t>
            </w:r>
          </w:p>
        </w:tc>
        <w:tc>
          <w:tcPr>
            <w:tcW w:type="dxa" w:w="1296"/>
          </w:tcPr>
          <w:p>
            <w:pPr>
              <w:jc w:val="center"/>
            </w:pPr>
            <w:r/>
            <w:r>
              <w:rPr>
                <w:rFonts w:ascii="Calibri" w:hAnsi="Calibri"/>
                <w:b w:val="0"/>
                <w:sz w:val="18"/>
              </w:rPr>
              <w:t>N10</w:t>
            </w:r>
          </w:p>
        </w:tc>
        <w:tc>
          <w:tcPr>
            <w:tcW w:type="dxa" w:w="1296"/>
          </w:tcPr>
          <w:p>
            <w:pPr>
              <w:jc w:val="center"/>
            </w:pPr>
            <w:r/>
            <w:r>
              <w:rPr>
                <w:rFonts w:ascii="Calibri" w:hAnsi="Calibri"/>
                <w:b w:val="0"/>
                <w:sz w:val="18"/>
              </w:rPr>
              <w:t>-79.9115469</w:t>
            </w:r>
          </w:p>
        </w:tc>
        <w:tc>
          <w:tcPr>
            <w:tcW w:type="dxa" w:w="1296"/>
          </w:tcPr>
          <w:p>
            <w:pPr>
              <w:jc w:val="center"/>
            </w:pPr>
            <w:r/>
            <w:r>
              <w:rPr>
                <w:rFonts w:ascii="Calibri" w:hAnsi="Calibri"/>
                <w:b w:val="0"/>
                <w:sz w:val="18"/>
              </w:rPr>
              <w:t>-2.1395091</w:t>
            </w:r>
          </w:p>
        </w:tc>
        <w:tc>
          <w:tcPr>
            <w:tcW w:type="dxa" w:w="1296"/>
          </w:tcPr>
          <w:p>
            <w:pPr>
              <w:jc w:val="center"/>
            </w:pPr>
            <w:r/>
            <w:r>
              <w:rPr>
                <w:rFonts w:ascii="Calibri" w:hAnsi="Calibri"/>
                <w:b/>
                <w:sz w:val="18"/>
              </w:rPr>
              <w:t>1.54</w:t>
            </w:r>
          </w:p>
        </w:tc>
        <w:tc>
          <w:tcPr>
            <w:tcW w:type="dxa" w:w="1296"/>
          </w:tcPr>
          <w:p>
            <w:pPr>
              <w:jc w:val="center"/>
            </w:pPr>
            <w:r/>
            <w:r>
              <w:rPr>
                <w:rFonts w:ascii="Calibri" w:hAnsi="Calibri"/>
                <w:b w:val="0"/>
                <w:sz w:val="18"/>
              </w:rPr>
              <w:t>23.74</w:t>
            </w:r>
          </w:p>
        </w:tc>
        <w:tc>
          <w:tcPr>
            <w:tcW w:type="dxa" w:w="1296"/>
            <w:shd w:fill="C6EFCE"/>
          </w:tcPr>
          <w:p>
            <w:pPr>
              <w:jc w:val="center"/>
            </w:pPr>
            <w:r/>
            <w:r>
              <w:rPr>
                <w:rFonts w:ascii="Calibri" w:hAnsi="Calibri"/>
                <w:b/>
                <w:sz w:val="18"/>
              </w:rPr>
              <w:t>B</w:t>
            </w:r>
          </w:p>
        </w:tc>
      </w:tr>
      <w:tr>
        <w:tc>
          <w:tcPr>
            <w:tcW w:type="dxa" w:w="1296"/>
          </w:tcPr>
          <w:p>
            <w:pPr>
              <w:jc w:val="center"/>
            </w:pPr>
            <w:r/>
            <w:r>
              <w:rPr>
                <w:rFonts w:ascii="Calibri" w:hAnsi="Calibri"/>
                <w:b w:val="0"/>
                <w:sz w:val="18"/>
              </w:rPr>
              <w:t>Nk-11</w:t>
            </w:r>
          </w:p>
        </w:tc>
        <w:tc>
          <w:tcPr>
            <w:tcW w:type="dxa" w:w="1296"/>
          </w:tcPr>
          <w:p>
            <w:pPr>
              <w:jc w:val="center"/>
            </w:pPr>
            <w:r/>
            <w:r>
              <w:rPr>
                <w:rFonts w:ascii="Calibri" w:hAnsi="Calibri"/>
                <w:b w:val="0"/>
                <w:sz w:val="18"/>
              </w:rPr>
              <w:t>N11</w:t>
            </w:r>
          </w:p>
        </w:tc>
        <w:tc>
          <w:tcPr>
            <w:tcW w:type="dxa" w:w="1296"/>
          </w:tcPr>
          <w:p>
            <w:pPr>
              <w:jc w:val="center"/>
            </w:pPr>
            <w:r/>
            <w:r>
              <w:rPr>
                <w:rFonts w:ascii="Calibri" w:hAnsi="Calibri"/>
                <w:b w:val="0"/>
                <w:sz w:val="18"/>
              </w:rPr>
              <w:t>-79.9115146</w:t>
            </w:r>
          </w:p>
        </w:tc>
        <w:tc>
          <w:tcPr>
            <w:tcW w:type="dxa" w:w="1296"/>
          </w:tcPr>
          <w:p>
            <w:pPr>
              <w:jc w:val="center"/>
            </w:pPr>
            <w:r/>
            <w:r>
              <w:rPr>
                <w:rFonts w:ascii="Calibri" w:hAnsi="Calibri"/>
                <w:b w:val="0"/>
                <w:sz w:val="18"/>
              </w:rPr>
              <w:t>-2.1394707</w:t>
            </w:r>
          </w:p>
        </w:tc>
        <w:tc>
          <w:tcPr>
            <w:tcW w:type="dxa" w:w="1296"/>
          </w:tcPr>
          <w:p>
            <w:pPr>
              <w:jc w:val="center"/>
            </w:pPr>
            <w:r/>
            <w:r>
              <w:rPr>
                <w:rFonts w:ascii="Calibri" w:hAnsi="Calibri"/>
                <w:b/>
                <w:sz w:val="18"/>
              </w:rPr>
              <w:t>1.60</w:t>
            </w:r>
          </w:p>
        </w:tc>
        <w:tc>
          <w:tcPr>
            <w:tcW w:type="dxa" w:w="1296"/>
          </w:tcPr>
          <w:p>
            <w:pPr>
              <w:jc w:val="center"/>
            </w:pPr>
            <w:r/>
            <w:r>
              <w:rPr>
                <w:rFonts w:ascii="Calibri" w:hAnsi="Calibri"/>
                <w:b w:val="0"/>
                <w:sz w:val="18"/>
              </w:rPr>
              <w:t>13.26</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Nk-12</w:t>
            </w:r>
          </w:p>
        </w:tc>
        <w:tc>
          <w:tcPr>
            <w:tcW w:type="dxa" w:w="1296"/>
          </w:tcPr>
          <w:p>
            <w:pPr>
              <w:jc w:val="center"/>
            </w:pPr>
            <w:r/>
            <w:r>
              <w:rPr>
                <w:rFonts w:ascii="Calibri" w:hAnsi="Calibri"/>
                <w:b w:val="0"/>
                <w:sz w:val="18"/>
              </w:rPr>
              <w:t>N12</w:t>
            </w:r>
          </w:p>
        </w:tc>
        <w:tc>
          <w:tcPr>
            <w:tcW w:type="dxa" w:w="1296"/>
          </w:tcPr>
          <w:p>
            <w:pPr>
              <w:jc w:val="center"/>
            </w:pPr>
            <w:r/>
            <w:r>
              <w:rPr>
                <w:rFonts w:ascii="Calibri" w:hAnsi="Calibri"/>
                <w:b w:val="0"/>
                <w:sz w:val="18"/>
              </w:rPr>
              <w:t>-79.9112014</w:t>
            </w:r>
          </w:p>
        </w:tc>
        <w:tc>
          <w:tcPr>
            <w:tcW w:type="dxa" w:w="1296"/>
          </w:tcPr>
          <w:p>
            <w:pPr>
              <w:jc w:val="center"/>
            </w:pPr>
            <w:r/>
            <w:r>
              <w:rPr>
                <w:rFonts w:ascii="Calibri" w:hAnsi="Calibri"/>
                <w:b w:val="0"/>
                <w:sz w:val="18"/>
              </w:rPr>
              <w:t>-2.1391612</w:t>
            </w:r>
          </w:p>
        </w:tc>
        <w:tc>
          <w:tcPr>
            <w:tcW w:type="dxa" w:w="1296"/>
          </w:tcPr>
          <w:p>
            <w:pPr>
              <w:jc w:val="center"/>
            </w:pPr>
            <w:r/>
            <w:r>
              <w:rPr>
                <w:rFonts w:ascii="Calibri" w:hAnsi="Calibri"/>
                <w:b/>
                <w:sz w:val="18"/>
              </w:rPr>
              <w:t>1.53</w:t>
            </w:r>
          </w:p>
        </w:tc>
        <w:tc>
          <w:tcPr>
            <w:tcW w:type="dxa" w:w="1296"/>
          </w:tcPr>
          <w:p>
            <w:pPr>
              <w:jc w:val="center"/>
            </w:pPr>
            <w:r/>
            <w:r>
              <w:rPr>
                <w:rFonts w:ascii="Calibri" w:hAnsi="Calibri"/>
                <w:b w:val="0"/>
                <w:sz w:val="18"/>
              </w:rPr>
              <w:t>6.28</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Nk-13</w:t>
            </w:r>
          </w:p>
        </w:tc>
        <w:tc>
          <w:tcPr>
            <w:tcW w:type="dxa" w:w="1296"/>
          </w:tcPr>
          <w:p>
            <w:pPr>
              <w:jc w:val="center"/>
            </w:pPr>
            <w:r/>
            <w:r>
              <w:rPr>
                <w:rFonts w:ascii="Calibri" w:hAnsi="Calibri"/>
                <w:b w:val="0"/>
                <w:sz w:val="18"/>
              </w:rPr>
              <w:t>N13</w:t>
            </w:r>
          </w:p>
        </w:tc>
        <w:tc>
          <w:tcPr>
            <w:tcW w:type="dxa" w:w="1296"/>
          </w:tcPr>
          <w:p>
            <w:pPr>
              <w:jc w:val="center"/>
            </w:pPr>
            <w:r/>
            <w:r>
              <w:rPr>
                <w:rFonts w:ascii="Calibri" w:hAnsi="Calibri"/>
                <w:b w:val="0"/>
                <w:sz w:val="18"/>
              </w:rPr>
              <w:t>-79.9107717</w:t>
            </w:r>
          </w:p>
        </w:tc>
        <w:tc>
          <w:tcPr>
            <w:tcW w:type="dxa" w:w="1296"/>
          </w:tcPr>
          <w:p>
            <w:pPr>
              <w:jc w:val="center"/>
            </w:pPr>
            <w:r/>
            <w:r>
              <w:rPr>
                <w:rFonts w:ascii="Calibri" w:hAnsi="Calibri"/>
                <w:b w:val="0"/>
                <w:sz w:val="18"/>
              </w:rPr>
              <w:t>-2.1399517</w:t>
            </w:r>
          </w:p>
        </w:tc>
        <w:tc>
          <w:tcPr>
            <w:tcW w:type="dxa" w:w="1296"/>
          </w:tcPr>
          <w:p>
            <w:pPr>
              <w:jc w:val="center"/>
            </w:pPr>
            <w:r/>
            <w:r>
              <w:rPr>
                <w:rFonts w:ascii="Calibri" w:hAnsi="Calibri"/>
                <w:b/>
                <w:sz w:val="18"/>
              </w:rPr>
              <w:t>1.54</w:t>
            </w:r>
          </w:p>
        </w:tc>
        <w:tc>
          <w:tcPr>
            <w:tcW w:type="dxa" w:w="1296"/>
          </w:tcPr>
          <w:p>
            <w:pPr>
              <w:jc w:val="center"/>
            </w:pPr>
            <w:r/>
            <w:r>
              <w:rPr>
                <w:rFonts w:ascii="Calibri" w:hAnsi="Calibri"/>
                <w:b w:val="0"/>
                <w:sz w:val="18"/>
              </w:rPr>
              <w:t>16.17</w:t>
            </w:r>
          </w:p>
        </w:tc>
        <w:tc>
          <w:tcPr>
            <w:tcW w:type="dxa" w:w="1296"/>
            <w:shd w:fill="C6EFCE"/>
          </w:tcPr>
          <w:p>
            <w:pPr>
              <w:jc w:val="center"/>
            </w:pPr>
            <w:r/>
            <w:r>
              <w:rPr>
                <w:rFonts w:ascii="Calibri" w:hAnsi="Calibri"/>
                <w:b/>
                <w:sz w:val="18"/>
              </w:rPr>
              <w:t>B</w:t>
            </w:r>
          </w:p>
        </w:tc>
      </w:tr>
      <w:tr>
        <w:tc>
          <w:tcPr>
            <w:tcW w:type="dxa" w:w="1296"/>
          </w:tcPr>
          <w:p>
            <w:pPr>
              <w:jc w:val="center"/>
            </w:pPr>
            <w:r/>
            <w:r>
              <w:rPr>
                <w:rFonts w:ascii="Calibri" w:hAnsi="Calibri"/>
                <w:b w:val="0"/>
                <w:sz w:val="18"/>
              </w:rPr>
              <w:t>Nk-14</w:t>
            </w:r>
          </w:p>
        </w:tc>
        <w:tc>
          <w:tcPr>
            <w:tcW w:type="dxa" w:w="1296"/>
          </w:tcPr>
          <w:p>
            <w:pPr>
              <w:jc w:val="center"/>
            </w:pPr>
            <w:r/>
            <w:r>
              <w:rPr>
                <w:rFonts w:ascii="Calibri" w:hAnsi="Calibri"/>
                <w:b w:val="0"/>
                <w:sz w:val="18"/>
              </w:rPr>
              <w:t>N14</w:t>
            </w:r>
          </w:p>
        </w:tc>
        <w:tc>
          <w:tcPr>
            <w:tcW w:type="dxa" w:w="1296"/>
          </w:tcPr>
          <w:p>
            <w:pPr>
              <w:jc w:val="center"/>
            </w:pPr>
            <w:r/>
            <w:r>
              <w:rPr>
                <w:rFonts w:ascii="Calibri" w:hAnsi="Calibri"/>
                <w:b w:val="0"/>
                <w:sz w:val="18"/>
              </w:rPr>
              <w:t>-79.9103401</w:t>
            </w:r>
          </w:p>
        </w:tc>
        <w:tc>
          <w:tcPr>
            <w:tcW w:type="dxa" w:w="1296"/>
          </w:tcPr>
          <w:p>
            <w:pPr>
              <w:jc w:val="center"/>
            </w:pPr>
            <w:r/>
            <w:r>
              <w:rPr>
                <w:rFonts w:ascii="Calibri" w:hAnsi="Calibri"/>
                <w:b w:val="0"/>
                <w:sz w:val="18"/>
              </w:rPr>
              <w:t>-2.1402488</w:t>
            </w:r>
          </w:p>
        </w:tc>
        <w:tc>
          <w:tcPr>
            <w:tcW w:type="dxa" w:w="1296"/>
          </w:tcPr>
          <w:p>
            <w:pPr>
              <w:jc w:val="center"/>
            </w:pPr>
            <w:r/>
            <w:r>
              <w:rPr>
                <w:rFonts w:ascii="Calibri" w:hAnsi="Calibri"/>
                <w:b/>
                <w:sz w:val="18"/>
              </w:rPr>
              <w:t>1.53</w:t>
            </w:r>
          </w:p>
        </w:tc>
        <w:tc>
          <w:tcPr>
            <w:tcW w:type="dxa" w:w="1296"/>
          </w:tcPr>
          <w:p>
            <w:pPr>
              <w:jc w:val="center"/>
            </w:pPr>
            <w:r/>
            <w:r>
              <w:rPr>
                <w:rFonts w:ascii="Calibri" w:hAnsi="Calibri"/>
                <w:b w:val="0"/>
                <w:sz w:val="18"/>
              </w:rPr>
              <w:t>8.44</w:t>
            </w:r>
          </w:p>
        </w:tc>
        <w:tc>
          <w:tcPr>
            <w:tcW w:type="dxa" w:w="1296"/>
            <w:shd w:fill="FFF2CC"/>
          </w:tcPr>
          <w:p>
            <w:pPr>
              <w:jc w:val="center"/>
            </w:pPr>
            <w:r/>
            <w:r>
              <w:rPr>
                <w:rFonts w:ascii="Calibri" w:hAnsi="Calibri"/>
                <w:b/>
                <w:sz w:val="18"/>
              </w:rPr>
              <w:t>D</w:t>
            </w:r>
          </w:p>
        </w:tc>
      </w:tr>
      <w:tr>
        <w:tc>
          <w:tcPr>
            <w:tcW w:type="dxa" w:w="1296"/>
          </w:tcPr>
          <w:p>
            <w:pPr>
              <w:jc w:val="center"/>
            </w:pPr>
            <w:r/>
            <w:r>
              <w:rPr>
                <w:rFonts w:ascii="Calibri" w:hAnsi="Calibri"/>
                <w:b w:val="0"/>
                <w:sz w:val="18"/>
              </w:rPr>
              <w:t>Nk-15</w:t>
            </w:r>
          </w:p>
        </w:tc>
        <w:tc>
          <w:tcPr>
            <w:tcW w:type="dxa" w:w="1296"/>
          </w:tcPr>
          <w:p>
            <w:pPr>
              <w:jc w:val="center"/>
            </w:pPr>
            <w:r/>
            <w:r>
              <w:rPr>
                <w:rFonts w:ascii="Calibri" w:hAnsi="Calibri"/>
                <w:b w:val="0"/>
                <w:sz w:val="18"/>
              </w:rPr>
              <w:t>N15</w:t>
            </w:r>
          </w:p>
        </w:tc>
        <w:tc>
          <w:tcPr>
            <w:tcW w:type="dxa" w:w="1296"/>
          </w:tcPr>
          <w:p>
            <w:pPr>
              <w:jc w:val="center"/>
            </w:pPr>
            <w:r/>
            <w:r>
              <w:rPr>
                <w:rFonts w:ascii="Calibri" w:hAnsi="Calibri"/>
                <w:b w:val="0"/>
                <w:sz w:val="18"/>
              </w:rPr>
              <w:t>-79.9101212</w:t>
            </w:r>
          </w:p>
        </w:tc>
        <w:tc>
          <w:tcPr>
            <w:tcW w:type="dxa" w:w="1296"/>
          </w:tcPr>
          <w:p>
            <w:pPr>
              <w:jc w:val="center"/>
            </w:pPr>
            <w:r/>
            <w:r>
              <w:rPr>
                <w:rFonts w:ascii="Calibri" w:hAnsi="Calibri"/>
                <w:b w:val="0"/>
                <w:sz w:val="18"/>
              </w:rPr>
              <w:t>-2.1402582</w:t>
            </w:r>
          </w:p>
        </w:tc>
        <w:tc>
          <w:tcPr>
            <w:tcW w:type="dxa" w:w="1296"/>
          </w:tcPr>
          <w:p>
            <w:pPr>
              <w:jc w:val="center"/>
            </w:pPr>
            <w:r/>
            <w:r>
              <w:rPr>
                <w:rFonts w:ascii="Calibri" w:hAnsi="Calibri"/>
                <w:b/>
                <w:sz w:val="18"/>
              </w:rPr>
              <w:t>1.54</w:t>
            </w:r>
          </w:p>
        </w:tc>
        <w:tc>
          <w:tcPr>
            <w:tcW w:type="dxa" w:w="1296"/>
          </w:tcPr>
          <w:p>
            <w:pPr>
              <w:jc w:val="center"/>
            </w:pPr>
            <w:r/>
            <w:r>
              <w:rPr>
                <w:rFonts w:ascii="Calibri" w:hAnsi="Calibri"/>
                <w:b w:val="0"/>
                <w:sz w:val="18"/>
              </w:rPr>
              <w:t>6.99</w:t>
            </w:r>
          </w:p>
        </w:tc>
        <w:tc>
          <w:tcPr>
            <w:tcW w:type="dxa" w:w="1296"/>
            <w:shd w:fill="C6EFCE"/>
          </w:tcPr>
          <w:p>
            <w:pPr>
              <w:jc w:val="center"/>
            </w:pPr>
            <w:r/>
            <w:r>
              <w:rPr>
                <w:rFonts w:ascii="Calibri" w:hAnsi="Calibri"/>
                <w:b/>
                <w:sz w:val="18"/>
              </w:rPr>
              <w:t>B</w:t>
            </w:r>
          </w:p>
        </w:tc>
      </w:tr>
    </w:tbl>
    <w:p>
      <w:pPr>
        <w:spacing w:before="40" w:after="160"/>
        <w:jc w:val="center"/>
      </w:pPr>
      <w:r>
        <w:rPr>
          <w:rFonts w:ascii="Calibri" w:hAnsi="Calibri"/>
          <w:i/>
          <w:sz w:val="18"/>
        </w:rPr>
        <w:t>Tabla 5. Resumen de resultados obtenidos de la medición de período elástico mediante técnica de Nakamura.</w:t>
      </w:r>
    </w:p>
    <w:p>
      <w:pPr>
        <w:spacing w:after="120" w:before="0"/>
      </w:pPr>
      <w:r>
        <w:rPr>
          <w:rFonts w:ascii="Calibri" w:hAnsi="Calibri"/>
          <w:b w:val="0"/>
          <w:i w:val="0"/>
          <w:sz w:val="22"/>
        </w:rPr>
        <w:t>En la Tabla 6 se resumen los parámetros sismorresistentes derivados: frecuencia fundamental (f₀), índice de vulnerabilidad de Nakamura (Kg = A₀² / f₀) y perfil de suelo según la NEC-15.</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4E79"/>
          </w:tcPr>
          <w:p>
            <w:pPr>
              <w:jc w:val="center"/>
            </w:pPr>
            <w:r>
              <w:rPr>
                <w:color w:val="FFFFFF"/>
              </w:rPr>
            </w:r>
            <w:r>
              <w:rPr>
                <w:rFonts w:ascii="Calibri" w:hAnsi="Calibri"/>
                <w:b/>
                <w:sz w:val="16"/>
              </w:rPr>
              <w:t>Sitio</w:t>
            </w:r>
          </w:p>
        </w:tc>
        <w:tc>
          <w:tcPr>
            <w:tcW w:type="dxa" w:w="1512"/>
            <w:shd w:fill="1F4E79"/>
          </w:tcPr>
          <w:p>
            <w:pPr>
              <w:jc w:val="center"/>
            </w:pPr>
            <w:r>
              <w:rPr>
                <w:color w:val="FFFFFF"/>
              </w:rPr>
            </w:r>
            <w:r>
              <w:rPr>
                <w:rFonts w:ascii="Calibri" w:hAnsi="Calibri"/>
                <w:b/>
                <w:sz w:val="16"/>
              </w:rPr>
              <w:t>T₀ (s)</w:t>
            </w:r>
          </w:p>
        </w:tc>
        <w:tc>
          <w:tcPr>
            <w:tcW w:type="dxa" w:w="1512"/>
            <w:shd w:fill="1F4E79"/>
          </w:tcPr>
          <w:p>
            <w:pPr>
              <w:jc w:val="center"/>
            </w:pPr>
            <w:r>
              <w:rPr>
                <w:color w:val="FFFFFF"/>
              </w:rPr>
            </w:r>
            <w:r>
              <w:rPr>
                <w:rFonts w:ascii="Calibri" w:hAnsi="Calibri"/>
                <w:b/>
                <w:sz w:val="16"/>
              </w:rPr>
              <w:t>f₀ (Hz)</w:t>
            </w:r>
          </w:p>
        </w:tc>
        <w:tc>
          <w:tcPr>
            <w:tcW w:type="dxa" w:w="1512"/>
            <w:shd w:fill="1F4E79"/>
          </w:tcPr>
          <w:p>
            <w:pPr>
              <w:jc w:val="center"/>
            </w:pPr>
            <w:r>
              <w:rPr>
                <w:color w:val="FFFFFF"/>
              </w:rPr>
            </w:r>
            <w:r>
              <w:rPr>
                <w:rFonts w:ascii="Calibri" w:hAnsi="Calibri"/>
                <w:b/>
                <w:sz w:val="16"/>
              </w:rPr>
              <w:t>A₀</w:t>
            </w:r>
          </w:p>
        </w:tc>
        <w:tc>
          <w:tcPr>
            <w:tcW w:type="dxa" w:w="1512"/>
            <w:shd w:fill="1F4E79"/>
          </w:tcPr>
          <w:p>
            <w:pPr>
              <w:jc w:val="center"/>
            </w:pPr>
            <w:r>
              <w:rPr>
                <w:color w:val="FFFFFF"/>
              </w:rPr>
            </w:r>
            <w:r>
              <w:rPr>
                <w:rFonts w:ascii="Calibri" w:hAnsi="Calibri"/>
                <w:b/>
                <w:sz w:val="16"/>
              </w:rPr>
              <w:t>Kg</w:t>
            </w:r>
          </w:p>
        </w:tc>
        <w:tc>
          <w:tcPr>
            <w:tcW w:type="dxa" w:w="1512"/>
            <w:shd w:fill="1F4E79"/>
          </w:tcPr>
          <w:p>
            <w:pPr>
              <w:jc w:val="center"/>
            </w:pPr>
            <w:r>
              <w:rPr>
                <w:color w:val="FFFFFF"/>
              </w:rPr>
            </w:r>
            <w:r>
              <w:rPr>
                <w:rFonts w:ascii="Calibri" w:hAnsi="Calibri"/>
                <w:b/>
                <w:sz w:val="16"/>
              </w:rPr>
              <w:t>Perfil NEC-15</w:t>
            </w:r>
          </w:p>
        </w:tc>
      </w:tr>
      <w:tr>
        <w:tc>
          <w:tcPr>
            <w:tcW w:type="dxa" w:w="1512"/>
          </w:tcPr>
          <w:p>
            <w:pPr>
              <w:jc w:val="center"/>
            </w:pPr>
            <w:r/>
            <w:r>
              <w:rPr>
                <w:rFonts w:ascii="Calibri" w:hAnsi="Calibri"/>
                <w:b w:val="0"/>
                <w:sz w:val="18"/>
              </w:rPr>
              <w:t>Nk-01</w:t>
            </w:r>
          </w:p>
        </w:tc>
        <w:tc>
          <w:tcPr>
            <w:tcW w:type="dxa" w:w="1512"/>
          </w:tcPr>
          <w:p>
            <w:pPr>
              <w:jc w:val="center"/>
            </w:pPr>
            <w:r/>
            <w:r>
              <w:rPr>
                <w:rFonts w:ascii="Calibri" w:hAnsi="Calibri"/>
                <w:b w:val="0"/>
                <w:sz w:val="18"/>
              </w:rPr>
              <w:t>1.43</w:t>
            </w:r>
          </w:p>
        </w:tc>
        <w:tc>
          <w:tcPr>
            <w:tcW w:type="dxa" w:w="1512"/>
          </w:tcPr>
          <w:p>
            <w:pPr>
              <w:jc w:val="center"/>
            </w:pPr>
            <w:r/>
            <w:r>
              <w:rPr>
                <w:rFonts w:ascii="Calibri" w:hAnsi="Calibri"/>
                <w:b w:val="0"/>
                <w:sz w:val="18"/>
              </w:rPr>
              <w:t>0.700</w:t>
            </w:r>
          </w:p>
        </w:tc>
        <w:tc>
          <w:tcPr>
            <w:tcW w:type="dxa" w:w="1512"/>
          </w:tcPr>
          <w:p>
            <w:pPr>
              <w:jc w:val="center"/>
            </w:pPr>
            <w:r/>
            <w:r>
              <w:rPr>
                <w:rFonts w:ascii="Calibri" w:hAnsi="Calibri"/>
                <w:b w:val="0"/>
                <w:sz w:val="18"/>
              </w:rPr>
              <w:t>7.95</w:t>
            </w:r>
          </w:p>
        </w:tc>
        <w:tc>
          <w:tcPr>
            <w:tcW w:type="dxa" w:w="1512"/>
            <w:shd w:fill="FCE4D6"/>
          </w:tcPr>
          <w:p>
            <w:pPr>
              <w:jc w:val="center"/>
            </w:pPr>
            <w:r/>
            <w:r>
              <w:rPr>
                <w:rFonts w:ascii="Calibri" w:hAnsi="Calibri"/>
                <w:b w:val="0"/>
                <w:sz w:val="18"/>
              </w:rPr>
              <w:t>90.3</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Nk-02</w:t>
            </w:r>
          </w:p>
        </w:tc>
        <w:tc>
          <w:tcPr>
            <w:tcW w:type="dxa" w:w="1512"/>
          </w:tcPr>
          <w:p>
            <w:pPr>
              <w:jc w:val="center"/>
            </w:pPr>
            <w:r/>
            <w:r>
              <w:rPr>
                <w:rFonts w:ascii="Calibri" w:hAnsi="Calibri"/>
                <w:b w:val="0"/>
                <w:sz w:val="18"/>
              </w:rPr>
              <w:t>1.18</w:t>
            </w:r>
          </w:p>
        </w:tc>
        <w:tc>
          <w:tcPr>
            <w:tcW w:type="dxa" w:w="1512"/>
          </w:tcPr>
          <w:p>
            <w:pPr>
              <w:jc w:val="center"/>
            </w:pPr>
            <w:r/>
            <w:r>
              <w:rPr>
                <w:rFonts w:ascii="Calibri" w:hAnsi="Calibri"/>
                <w:b w:val="0"/>
                <w:sz w:val="18"/>
              </w:rPr>
              <w:t>0.850</w:t>
            </w:r>
          </w:p>
        </w:tc>
        <w:tc>
          <w:tcPr>
            <w:tcW w:type="dxa" w:w="1512"/>
          </w:tcPr>
          <w:p>
            <w:pPr>
              <w:jc w:val="center"/>
            </w:pPr>
            <w:r/>
            <w:r>
              <w:rPr>
                <w:rFonts w:ascii="Calibri" w:hAnsi="Calibri"/>
                <w:b w:val="0"/>
                <w:sz w:val="18"/>
              </w:rPr>
              <w:t>1.41</w:t>
            </w:r>
          </w:p>
        </w:tc>
        <w:tc>
          <w:tcPr>
            <w:tcW w:type="dxa" w:w="1512"/>
          </w:tcPr>
          <w:p>
            <w:pPr>
              <w:jc w:val="center"/>
            </w:pPr>
            <w:r/>
            <w:r>
              <w:rPr>
                <w:rFonts w:ascii="Calibri" w:hAnsi="Calibri"/>
                <w:b w:val="0"/>
                <w:sz w:val="18"/>
              </w:rPr>
              <w:t>2.3</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Nk-03</w:t>
            </w:r>
          </w:p>
        </w:tc>
        <w:tc>
          <w:tcPr>
            <w:tcW w:type="dxa" w:w="1512"/>
          </w:tcPr>
          <w:p>
            <w:pPr>
              <w:jc w:val="center"/>
            </w:pPr>
            <w:r/>
            <w:r>
              <w:rPr>
                <w:rFonts w:ascii="Calibri" w:hAnsi="Calibri"/>
                <w:b w:val="0"/>
                <w:sz w:val="18"/>
              </w:rPr>
              <w:t>1.18</w:t>
            </w:r>
          </w:p>
        </w:tc>
        <w:tc>
          <w:tcPr>
            <w:tcW w:type="dxa" w:w="1512"/>
          </w:tcPr>
          <w:p>
            <w:pPr>
              <w:jc w:val="center"/>
            </w:pPr>
            <w:r/>
            <w:r>
              <w:rPr>
                <w:rFonts w:ascii="Calibri" w:hAnsi="Calibri"/>
                <w:b w:val="0"/>
                <w:sz w:val="18"/>
              </w:rPr>
              <w:t>0.850</w:t>
            </w:r>
          </w:p>
        </w:tc>
        <w:tc>
          <w:tcPr>
            <w:tcW w:type="dxa" w:w="1512"/>
          </w:tcPr>
          <w:p>
            <w:pPr>
              <w:jc w:val="center"/>
            </w:pPr>
            <w:r/>
            <w:r>
              <w:rPr>
                <w:rFonts w:ascii="Calibri" w:hAnsi="Calibri"/>
                <w:b w:val="0"/>
                <w:sz w:val="18"/>
              </w:rPr>
              <w:t>1.24</w:t>
            </w:r>
          </w:p>
        </w:tc>
        <w:tc>
          <w:tcPr>
            <w:tcW w:type="dxa" w:w="1512"/>
          </w:tcPr>
          <w:p>
            <w:pPr>
              <w:jc w:val="center"/>
            </w:pPr>
            <w:r/>
            <w:r>
              <w:rPr>
                <w:rFonts w:ascii="Calibri" w:hAnsi="Calibri"/>
                <w:b w:val="0"/>
                <w:sz w:val="18"/>
              </w:rPr>
              <w:t>1.8</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Nk-04</w:t>
            </w:r>
          </w:p>
        </w:tc>
        <w:tc>
          <w:tcPr>
            <w:tcW w:type="dxa" w:w="1512"/>
          </w:tcPr>
          <w:p>
            <w:pPr>
              <w:jc w:val="center"/>
            </w:pPr>
            <w:r/>
            <w:r>
              <w:rPr>
                <w:rFonts w:ascii="Calibri" w:hAnsi="Calibri"/>
                <w:b w:val="0"/>
                <w:sz w:val="18"/>
              </w:rPr>
              <w:t>1.42</w:t>
            </w:r>
          </w:p>
        </w:tc>
        <w:tc>
          <w:tcPr>
            <w:tcW w:type="dxa" w:w="1512"/>
          </w:tcPr>
          <w:p>
            <w:pPr>
              <w:jc w:val="center"/>
            </w:pPr>
            <w:r/>
            <w:r>
              <w:rPr>
                <w:rFonts w:ascii="Calibri" w:hAnsi="Calibri"/>
                <w:b w:val="0"/>
                <w:sz w:val="18"/>
              </w:rPr>
              <w:t>0.704</w:t>
            </w:r>
          </w:p>
        </w:tc>
        <w:tc>
          <w:tcPr>
            <w:tcW w:type="dxa" w:w="1512"/>
          </w:tcPr>
          <w:p>
            <w:pPr>
              <w:jc w:val="center"/>
            </w:pPr>
            <w:r/>
            <w:r>
              <w:rPr>
                <w:rFonts w:ascii="Calibri" w:hAnsi="Calibri"/>
                <w:b w:val="0"/>
                <w:sz w:val="18"/>
              </w:rPr>
              <w:t>8.89</w:t>
            </w:r>
          </w:p>
        </w:tc>
        <w:tc>
          <w:tcPr>
            <w:tcW w:type="dxa" w:w="1512"/>
            <w:shd w:fill="FCE4D6"/>
          </w:tcPr>
          <w:p>
            <w:pPr>
              <w:jc w:val="center"/>
            </w:pPr>
            <w:r/>
            <w:r>
              <w:rPr>
                <w:rFonts w:ascii="Calibri" w:hAnsi="Calibri"/>
                <w:b w:val="0"/>
                <w:sz w:val="18"/>
              </w:rPr>
              <w:t>112.2</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Nk-05</w:t>
            </w:r>
          </w:p>
        </w:tc>
        <w:tc>
          <w:tcPr>
            <w:tcW w:type="dxa" w:w="1512"/>
          </w:tcPr>
          <w:p>
            <w:pPr>
              <w:jc w:val="center"/>
            </w:pPr>
            <w:r/>
            <w:r>
              <w:rPr>
                <w:rFonts w:ascii="Calibri" w:hAnsi="Calibri"/>
                <w:b w:val="0"/>
                <w:sz w:val="18"/>
              </w:rPr>
              <w:t>1.20</w:t>
            </w:r>
          </w:p>
        </w:tc>
        <w:tc>
          <w:tcPr>
            <w:tcW w:type="dxa" w:w="1512"/>
          </w:tcPr>
          <w:p>
            <w:pPr>
              <w:jc w:val="center"/>
            </w:pPr>
            <w:r/>
            <w:r>
              <w:rPr>
                <w:rFonts w:ascii="Calibri" w:hAnsi="Calibri"/>
                <w:b w:val="0"/>
                <w:sz w:val="18"/>
              </w:rPr>
              <w:t>0.833</w:t>
            </w:r>
          </w:p>
        </w:tc>
        <w:tc>
          <w:tcPr>
            <w:tcW w:type="dxa" w:w="1512"/>
          </w:tcPr>
          <w:p>
            <w:pPr>
              <w:jc w:val="center"/>
            </w:pPr>
            <w:r/>
            <w:r>
              <w:rPr>
                <w:rFonts w:ascii="Calibri" w:hAnsi="Calibri"/>
                <w:b w:val="0"/>
                <w:sz w:val="18"/>
              </w:rPr>
              <w:t>6.69</w:t>
            </w:r>
          </w:p>
        </w:tc>
        <w:tc>
          <w:tcPr>
            <w:tcW w:type="dxa" w:w="1512"/>
            <w:shd w:fill="FCE4D6"/>
          </w:tcPr>
          <w:p>
            <w:pPr>
              <w:jc w:val="center"/>
            </w:pPr>
            <w:r/>
            <w:r>
              <w:rPr>
                <w:rFonts w:ascii="Calibri" w:hAnsi="Calibri"/>
                <w:b w:val="0"/>
                <w:sz w:val="18"/>
              </w:rPr>
              <w:t>53.7</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Nk-06</w:t>
            </w:r>
          </w:p>
        </w:tc>
        <w:tc>
          <w:tcPr>
            <w:tcW w:type="dxa" w:w="1512"/>
          </w:tcPr>
          <w:p>
            <w:pPr>
              <w:jc w:val="center"/>
            </w:pPr>
            <w:r/>
            <w:r>
              <w:rPr>
                <w:rFonts w:ascii="Calibri" w:hAnsi="Calibri"/>
                <w:b w:val="0"/>
                <w:sz w:val="18"/>
              </w:rPr>
              <w:t>1.25</w:t>
            </w:r>
          </w:p>
        </w:tc>
        <w:tc>
          <w:tcPr>
            <w:tcW w:type="dxa" w:w="1512"/>
          </w:tcPr>
          <w:p>
            <w:pPr>
              <w:jc w:val="center"/>
            </w:pPr>
            <w:r/>
            <w:r>
              <w:rPr>
                <w:rFonts w:ascii="Calibri" w:hAnsi="Calibri"/>
                <w:b w:val="0"/>
                <w:sz w:val="18"/>
              </w:rPr>
              <w:t>0.800</w:t>
            </w:r>
          </w:p>
        </w:tc>
        <w:tc>
          <w:tcPr>
            <w:tcW w:type="dxa" w:w="1512"/>
          </w:tcPr>
          <w:p>
            <w:pPr>
              <w:jc w:val="center"/>
            </w:pPr>
            <w:r/>
            <w:r>
              <w:rPr>
                <w:rFonts w:ascii="Calibri" w:hAnsi="Calibri"/>
                <w:b w:val="0"/>
                <w:sz w:val="18"/>
              </w:rPr>
              <w:t>4.40</w:t>
            </w:r>
          </w:p>
        </w:tc>
        <w:tc>
          <w:tcPr>
            <w:tcW w:type="dxa" w:w="1512"/>
            <w:shd w:fill="FCE4D6"/>
          </w:tcPr>
          <w:p>
            <w:pPr>
              <w:jc w:val="center"/>
            </w:pPr>
            <w:r/>
            <w:r>
              <w:rPr>
                <w:rFonts w:ascii="Calibri" w:hAnsi="Calibri"/>
                <w:b w:val="0"/>
                <w:sz w:val="18"/>
              </w:rPr>
              <w:t>24.2</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Nk-07</w:t>
            </w:r>
          </w:p>
        </w:tc>
        <w:tc>
          <w:tcPr>
            <w:tcW w:type="dxa" w:w="1512"/>
          </w:tcPr>
          <w:p>
            <w:pPr>
              <w:jc w:val="center"/>
            </w:pPr>
            <w:r/>
            <w:r>
              <w:rPr>
                <w:rFonts w:ascii="Calibri" w:hAnsi="Calibri"/>
                <w:b w:val="0"/>
                <w:sz w:val="18"/>
              </w:rPr>
              <w:t>1.40</w:t>
            </w:r>
          </w:p>
        </w:tc>
        <w:tc>
          <w:tcPr>
            <w:tcW w:type="dxa" w:w="1512"/>
          </w:tcPr>
          <w:p>
            <w:pPr>
              <w:jc w:val="center"/>
            </w:pPr>
            <w:r/>
            <w:r>
              <w:rPr>
                <w:rFonts w:ascii="Calibri" w:hAnsi="Calibri"/>
                <w:b w:val="0"/>
                <w:sz w:val="18"/>
              </w:rPr>
              <w:t>0.714</w:t>
            </w:r>
          </w:p>
        </w:tc>
        <w:tc>
          <w:tcPr>
            <w:tcW w:type="dxa" w:w="1512"/>
          </w:tcPr>
          <w:p>
            <w:pPr>
              <w:jc w:val="center"/>
            </w:pPr>
            <w:r/>
            <w:r>
              <w:rPr>
                <w:rFonts w:ascii="Calibri" w:hAnsi="Calibri"/>
                <w:b w:val="0"/>
                <w:sz w:val="18"/>
              </w:rPr>
              <w:t>5.40</w:t>
            </w:r>
          </w:p>
        </w:tc>
        <w:tc>
          <w:tcPr>
            <w:tcW w:type="dxa" w:w="1512"/>
            <w:shd w:fill="FCE4D6"/>
          </w:tcPr>
          <w:p>
            <w:pPr>
              <w:jc w:val="center"/>
            </w:pPr>
            <w:r/>
            <w:r>
              <w:rPr>
                <w:rFonts w:ascii="Calibri" w:hAnsi="Calibri"/>
                <w:b w:val="0"/>
                <w:sz w:val="18"/>
              </w:rPr>
              <w:t>40.8</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Nk-08</w:t>
            </w:r>
          </w:p>
        </w:tc>
        <w:tc>
          <w:tcPr>
            <w:tcW w:type="dxa" w:w="1512"/>
          </w:tcPr>
          <w:p>
            <w:pPr>
              <w:jc w:val="center"/>
            </w:pPr>
            <w:r/>
            <w:r>
              <w:rPr>
                <w:rFonts w:ascii="Calibri" w:hAnsi="Calibri"/>
                <w:b w:val="0"/>
                <w:sz w:val="18"/>
              </w:rPr>
              <w:t>1.54</w:t>
            </w:r>
          </w:p>
        </w:tc>
        <w:tc>
          <w:tcPr>
            <w:tcW w:type="dxa" w:w="1512"/>
          </w:tcPr>
          <w:p>
            <w:pPr>
              <w:jc w:val="center"/>
            </w:pPr>
            <w:r/>
            <w:r>
              <w:rPr>
                <w:rFonts w:ascii="Calibri" w:hAnsi="Calibri"/>
                <w:b w:val="0"/>
                <w:sz w:val="18"/>
              </w:rPr>
              <w:t>0.650</w:t>
            </w:r>
          </w:p>
        </w:tc>
        <w:tc>
          <w:tcPr>
            <w:tcW w:type="dxa" w:w="1512"/>
          </w:tcPr>
          <w:p>
            <w:pPr>
              <w:jc w:val="center"/>
            </w:pPr>
            <w:r/>
            <w:r>
              <w:rPr>
                <w:rFonts w:ascii="Calibri" w:hAnsi="Calibri"/>
                <w:b w:val="0"/>
                <w:sz w:val="18"/>
              </w:rPr>
              <w:t>11.11</w:t>
            </w:r>
          </w:p>
        </w:tc>
        <w:tc>
          <w:tcPr>
            <w:tcW w:type="dxa" w:w="1512"/>
            <w:shd w:fill="FCE4D6"/>
          </w:tcPr>
          <w:p>
            <w:pPr>
              <w:jc w:val="center"/>
            </w:pPr>
            <w:r/>
            <w:r>
              <w:rPr>
                <w:rFonts w:ascii="Calibri" w:hAnsi="Calibri"/>
                <w:b w:val="0"/>
                <w:sz w:val="18"/>
              </w:rPr>
              <w:t>189.8</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Nk-09</w:t>
            </w:r>
          </w:p>
        </w:tc>
        <w:tc>
          <w:tcPr>
            <w:tcW w:type="dxa" w:w="1512"/>
          </w:tcPr>
          <w:p>
            <w:pPr>
              <w:jc w:val="center"/>
            </w:pPr>
            <w:r/>
            <w:r>
              <w:rPr>
                <w:rFonts w:ascii="Calibri" w:hAnsi="Calibri"/>
                <w:b w:val="0"/>
                <w:sz w:val="18"/>
              </w:rPr>
              <w:t>0.90</w:t>
            </w:r>
          </w:p>
        </w:tc>
        <w:tc>
          <w:tcPr>
            <w:tcW w:type="dxa" w:w="1512"/>
          </w:tcPr>
          <w:p>
            <w:pPr>
              <w:jc w:val="center"/>
            </w:pPr>
            <w:r/>
            <w:r>
              <w:rPr>
                <w:rFonts w:ascii="Calibri" w:hAnsi="Calibri"/>
                <w:b w:val="0"/>
                <w:sz w:val="18"/>
              </w:rPr>
              <w:t>1.111</w:t>
            </w:r>
          </w:p>
        </w:tc>
        <w:tc>
          <w:tcPr>
            <w:tcW w:type="dxa" w:w="1512"/>
          </w:tcPr>
          <w:p>
            <w:pPr>
              <w:jc w:val="center"/>
            </w:pPr>
            <w:r/>
            <w:r>
              <w:rPr>
                <w:rFonts w:ascii="Calibri" w:hAnsi="Calibri"/>
                <w:b w:val="0"/>
                <w:sz w:val="18"/>
              </w:rPr>
              <w:t>5.90</w:t>
            </w:r>
          </w:p>
        </w:tc>
        <w:tc>
          <w:tcPr>
            <w:tcW w:type="dxa" w:w="1512"/>
            <w:shd w:fill="FCE4D6"/>
          </w:tcPr>
          <w:p>
            <w:pPr>
              <w:jc w:val="center"/>
            </w:pPr>
            <w:r/>
            <w:r>
              <w:rPr>
                <w:rFonts w:ascii="Calibri" w:hAnsi="Calibri"/>
                <w:b w:val="0"/>
                <w:sz w:val="18"/>
              </w:rPr>
              <w:t>31.3</w:t>
            </w:r>
          </w:p>
        </w:tc>
        <w:tc>
          <w:tcPr>
            <w:tcW w:type="dxa" w:w="1512"/>
          </w:tcPr>
          <w:p>
            <w:pPr>
              <w:jc w:val="center"/>
            </w:pPr>
            <w:r/>
            <w:r>
              <w:rPr>
                <w:rFonts w:ascii="Calibri" w:hAnsi="Calibri"/>
                <w:b/>
                <w:sz w:val="18"/>
              </w:rPr>
              <w:t>Tipo D-E</w:t>
            </w:r>
          </w:p>
        </w:tc>
      </w:tr>
      <w:tr>
        <w:tc>
          <w:tcPr>
            <w:tcW w:type="dxa" w:w="1512"/>
          </w:tcPr>
          <w:p>
            <w:pPr>
              <w:jc w:val="center"/>
            </w:pPr>
            <w:r/>
            <w:r>
              <w:rPr>
                <w:rFonts w:ascii="Calibri" w:hAnsi="Calibri"/>
                <w:b w:val="0"/>
                <w:sz w:val="18"/>
              </w:rPr>
              <w:t>Nk-10</w:t>
            </w:r>
          </w:p>
        </w:tc>
        <w:tc>
          <w:tcPr>
            <w:tcW w:type="dxa" w:w="1512"/>
          </w:tcPr>
          <w:p>
            <w:pPr>
              <w:jc w:val="center"/>
            </w:pPr>
            <w:r/>
            <w:r>
              <w:rPr>
                <w:rFonts w:ascii="Calibri" w:hAnsi="Calibri"/>
                <w:b w:val="0"/>
                <w:sz w:val="18"/>
              </w:rPr>
              <w:t>1.54</w:t>
            </w:r>
          </w:p>
        </w:tc>
        <w:tc>
          <w:tcPr>
            <w:tcW w:type="dxa" w:w="1512"/>
          </w:tcPr>
          <w:p>
            <w:pPr>
              <w:jc w:val="center"/>
            </w:pPr>
            <w:r/>
            <w:r>
              <w:rPr>
                <w:rFonts w:ascii="Calibri" w:hAnsi="Calibri"/>
                <w:b w:val="0"/>
                <w:sz w:val="18"/>
              </w:rPr>
              <w:t>0.650</w:t>
            </w:r>
          </w:p>
        </w:tc>
        <w:tc>
          <w:tcPr>
            <w:tcW w:type="dxa" w:w="1512"/>
          </w:tcPr>
          <w:p>
            <w:pPr>
              <w:jc w:val="center"/>
            </w:pPr>
            <w:r/>
            <w:r>
              <w:rPr>
                <w:rFonts w:ascii="Calibri" w:hAnsi="Calibri"/>
                <w:b w:val="0"/>
                <w:sz w:val="18"/>
              </w:rPr>
              <w:t>23.74</w:t>
            </w:r>
          </w:p>
        </w:tc>
        <w:tc>
          <w:tcPr>
            <w:tcW w:type="dxa" w:w="1512"/>
            <w:shd w:fill="FCE4D6"/>
          </w:tcPr>
          <w:p>
            <w:pPr>
              <w:jc w:val="center"/>
            </w:pPr>
            <w:r/>
            <w:r>
              <w:rPr>
                <w:rFonts w:ascii="Calibri" w:hAnsi="Calibri"/>
                <w:b w:val="0"/>
                <w:sz w:val="18"/>
              </w:rPr>
              <w:t>866.7</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Nk-11</w:t>
            </w:r>
          </w:p>
        </w:tc>
        <w:tc>
          <w:tcPr>
            <w:tcW w:type="dxa" w:w="1512"/>
          </w:tcPr>
          <w:p>
            <w:pPr>
              <w:jc w:val="center"/>
            </w:pPr>
            <w:r/>
            <w:r>
              <w:rPr>
                <w:rFonts w:ascii="Calibri" w:hAnsi="Calibri"/>
                <w:b w:val="0"/>
                <w:sz w:val="18"/>
              </w:rPr>
              <w:t>1.60</w:t>
            </w:r>
          </w:p>
        </w:tc>
        <w:tc>
          <w:tcPr>
            <w:tcW w:type="dxa" w:w="1512"/>
          </w:tcPr>
          <w:p>
            <w:pPr>
              <w:jc w:val="center"/>
            </w:pPr>
            <w:r/>
            <w:r>
              <w:rPr>
                <w:rFonts w:ascii="Calibri" w:hAnsi="Calibri"/>
                <w:b w:val="0"/>
                <w:sz w:val="18"/>
              </w:rPr>
              <w:t>0.625</w:t>
            </w:r>
          </w:p>
        </w:tc>
        <w:tc>
          <w:tcPr>
            <w:tcW w:type="dxa" w:w="1512"/>
          </w:tcPr>
          <w:p>
            <w:pPr>
              <w:jc w:val="center"/>
            </w:pPr>
            <w:r/>
            <w:r>
              <w:rPr>
                <w:rFonts w:ascii="Calibri" w:hAnsi="Calibri"/>
                <w:b w:val="0"/>
                <w:sz w:val="18"/>
              </w:rPr>
              <w:t>13.26</w:t>
            </w:r>
          </w:p>
        </w:tc>
        <w:tc>
          <w:tcPr>
            <w:tcW w:type="dxa" w:w="1512"/>
            <w:shd w:fill="FCE4D6"/>
          </w:tcPr>
          <w:p>
            <w:pPr>
              <w:jc w:val="center"/>
            </w:pPr>
            <w:r/>
            <w:r>
              <w:rPr>
                <w:rFonts w:ascii="Calibri" w:hAnsi="Calibri"/>
                <w:b w:val="0"/>
                <w:sz w:val="18"/>
              </w:rPr>
              <w:t>281.3</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Nk-12</w:t>
            </w:r>
          </w:p>
        </w:tc>
        <w:tc>
          <w:tcPr>
            <w:tcW w:type="dxa" w:w="1512"/>
          </w:tcPr>
          <w:p>
            <w:pPr>
              <w:jc w:val="center"/>
            </w:pPr>
            <w:r/>
            <w:r>
              <w:rPr>
                <w:rFonts w:ascii="Calibri" w:hAnsi="Calibri"/>
                <w:b w:val="0"/>
                <w:sz w:val="18"/>
              </w:rPr>
              <w:t>1.53</w:t>
            </w:r>
          </w:p>
        </w:tc>
        <w:tc>
          <w:tcPr>
            <w:tcW w:type="dxa" w:w="1512"/>
          </w:tcPr>
          <w:p>
            <w:pPr>
              <w:jc w:val="center"/>
            </w:pPr>
            <w:r/>
            <w:r>
              <w:rPr>
                <w:rFonts w:ascii="Calibri" w:hAnsi="Calibri"/>
                <w:b w:val="0"/>
                <w:sz w:val="18"/>
              </w:rPr>
              <w:t>0.654</w:t>
            </w:r>
          </w:p>
        </w:tc>
        <w:tc>
          <w:tcPr>
            <w:tcW w:type="dxa" w:w="1512"/>
          </w:tcPr>
          <w:p>
            <w:pPr>
              <w:jc w:val="center"/>
            </w:pPr>
            <w:r/>
            <w:r>
              <w:rPr>
                <w:rFonts w:ascii="Calibri" w:hAnsi="Calibri"/>
                <w:b w:val="0"/>
                <w:sz w:val="18"/>
              </w:rPr>
              <w:t>6.28</w:t>
            </w:r>
          </w:p>
        </w:tc>
        <w:tc>
          <w:tcPr>
            <w:tcW w:type="dxa" w:w="1512"/>
            <w:shd w:fill="FCE4D6"/>
          </w:tcPr>
          <w:p>
            <w:pPr>
              <w:jc w:val="center"/>
            </w:pPr>
            <w:r/>
            <w:r>
              <w:rPr>
                <w:rFonts w:ascii="Calibri" w:hAnsi="Calibri"/>
                <w:b w:val="0"/>
                <w:sz w:val="18"/>
              </w:rPr>
              <w:t>60.3</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Nk-13</w:t>
            </w:r>
          </w:p>
        </w:tc>
        <w:tc>
          <w:tcPr>
            <w:tcW w:type="dxa" w:w="1512"/>
          </w:tcPr>
          <w:p>
            <w:pPr>
              <w:jc w:val="center"/>
            </w:pPr>
            <w:r/>
            <w:r>
              <w:rPr>
                <w:rFonts w:ascii="Calibri" w:hAnsi="Calibri"/>
                <w:b w:val="0"/>
                <w:sz w:val="18"/>
              </w:rPr>
              <w:t>1.54</w:t>
            </w:r>
          </w:p>
        </w:tc>
        <w:tc>
          <w:tcPr>
            <w:tcW w:type="dxa" w:w="1512"/>
          </w:tcPr>
          <w:p>
            <w:pPr>
              <w:jc w:val="center"/>
            </w:pPr>
            <w:r/>
            <w:r>
              <w:rPr>
                <w:rFonts w:ascii="Calibri" w:hAnsi="Calibri"/>
                <w:b w:val="0"/>
                <w:sz w:val="18"/>
              </w:rPr>
              <w:t>0.650</w:t>
            </w:r>
          </w:p>
        </w:tc>
        <w:tc>
          <w:tcPr>
            <w:tcW w:type="dxa" w:w="1512"/>
          </w:tcPr>
          <w:p>
            <w:pPr>
              <w:jc w:val="center"/>
            </w:pPr>
            <w:r/>
            <w:r>
              <w:rPr>
                <w:rFonts w:ascii="Calibri" w:hAnsi="Calibri"/>
                <w:b w:val="0"/>
                <w:sz w:val="18"/>
              </w:rPr>
              <w:t>16.17</w:t>
            </w:r>
          </w:p>
        </w:tc>
        <w:tc>
          <w:tcPr>
            <w:tcW w:type="dxa" w:w="1512"/>
            <w:shd w:fill="FCE4D6"/>
          </w:tcPr>
          <w:p>
            <w:pPr>
              <w:jc w:val="center"/>
            </w:pPr>
            <w:r/>
            <w:r>
              <w:rPr>
                <w:rFonts w:ascii="Calibri" w:hAnsi="Calibri"/>
                <w:b w:val="0"/>
                <w:sz w:val="18"/>
              </w:rPr>
              <w:t>402.2</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Nk-14</w:t>
            </w:r>
          </w:p>
        </w:tc>
        <w:tc>
          <w:tcPr>
            <w:tcW w:type="dxa" w:w="1512"/>
          </w:tcPr>
          <w:p>
            <w:pPr>
              <w:jc w:val="center"/>
            </w:pPr>
            <w:r/>
            <w:r>
              <w:rPr>
                <w:rFonts w:ascii="Calibri" w:hAnsi="Calibri"/>
                <w:b w:val="0"/>
                <w:sz w:val="18"/>
              </w:rPr>
              <w:t>1.53</w:t>
            </w:r>
          </w:p>
        </w:tc>
        <w:tc>
          <w:tcPr>
            <w:tcW w:type="dxa" w:w="1512"/>
          </w:tcPr>
          <w:p>
            <w:pPr>
              <w:jc w:val="center"/>
            </w:pPr>
            <w:r/>
            <w:r>
              <w:rPr>
                <w:rFonts w:ascii="Calibri" w:hAnsi="Calibri"/>
                <w:b w:val="0"/>
                <w:sz w:val="18"/>
              </w:rPr>
              <w:t>0.654</w:t>
            </w:r>
          </w:p>
        </w:tc>
        <w:tc>
          <w:tcPr>
            <w:tcW w:type="dxa" w:w="1512"/>
          </w:tcPr>
          <w:p>
            <w:pPr>
              <w:jc w:val="center"/>
            </w:pPr>
            <w:r/>
            <w:r>
              <w:rPr>
                <w:rFonts w:ascii="Calibri" w:hAnsi="Calibri"/>
                <w:b w:val="0"/>
                <w:sz w:val="18"/>
              </w:rPr>
              <w:t>8.44</w:t>
            </w:r>
          </w:p>
        </w:tc>
        <w:tc>
          <w:tcPr>
            <w:tcW w:type="dxa" w:w="1512"/>
            <w:shd w:fill="FCE4D6"/>
          </w:tcPr>
          <w:p>
            <w:pPr>
              <w:jc w:val="center"/>
            </w:pPr>
            <w:r/>
            <w:r>
              <w:rPr>
                <w:rFonts w:ascii="Calibri" w:hAnsi="Calibri"/>
                <w:b w:val="0"/>
                <w:sz w:val="18"/>
              </w:rPr>
              <w:t>109.0</w:t>
            </w:r>
          </w:p>
        </w:tc>
        <w:tc>
          <w:tcPr>
            <w:tcW w:type="dxa" w:w="1512"/>
          </w:tcPr>
          <w:p>
            <w:pPr>
              <w:jc w:val="center"/>
            </w:pPr>
            <w:r/>
            <w:r>
              <w:rPr>
                <w:rFonts w:ascii="Calibri" w:hAnsi="Calibri"/>
                <w:b/>
                <w:sz w:val="18"/>
              </w:rPr>
              <w:t>Tipo E</w:t>
            </w:r>
          </w:p>
        </w:tc>
      </w:tr>
      <w:tr>
        <w:tc>
          <w:tcPr>
            <w:tcW w:type="dxa" w:w="1512"/>
          </w:tcPr>
          <w:p>
            <w:pPr>
              <w:jc w:val="center"/>
            </w:pPr>
            <w:r/>
            <w:r>
              <w:rPr>
                <w:rFonts w:ascii="Calibri" w:hAnsi="Calibri"/>
                <w:b w:val="0"/>
                <w:sz w:val="18"/>
              </w:rPr>
              <w:t>Nk-15</w:t>
            </w:r>
          </w:p>
        </w:tc>
        <w:tc>
          <w:tcPr>
            <w:tcW w:type="dxa" w:w="1512"/>
          </w:tcPr>
          <w:p>
            <w:pPr>
              <w:jc w:val="center"/>
            </w:pPr>
            <w:r/>
            <w:r>
              <w:rPr>
                <w:rFonts w:ascii="Calibri" w:hAnsi="Calibri"/>
                <w:b w:val="0"/>
                <w:sz w:val="18"/>
              </w:rPr>
              <w:t>1.54</w:t>
            </w:r>
          </w:p>
        </w:tc>
        <w:tc>
          <w:tcPr>
            <w:tcW w:type="dxa" w:w="1512"/>
          </w:tcPr>
          <w:p>
            <w:pPr>
              <w:jc w:val="center"/>
            </w:pPr>
            <w:r/>
            <w:r>
              <w:rPr>
                <w:rFonts w:ascii="Calibri" w:hAnsi="Calibri"/>
                <w:b w:val="0"/>
                <w:sz w:val="18"/>
              </w:rPr>
              <w:t>0.650</w:t>
            </w:r>
          </w:p>
        </w:tc>
        <w:tc>
          <w:tcPr>
            <w:tcW w:type="dxa" w:w="1512"/>
          </w:tcPr>
          <w:p>
            <w:pPr>
              <w:jc w:val="center"/>
            </w:pPr>
            <w:r/>
            <w:r>
              <w:rPr>
                <w:rFonts w:ascii="Calibri" w:hAnsi="Calibri"/>
                <w:b w:val="0"/>
                <w:sz w:val="18"/>
              </w:rPr>
              <w:t>6.99</w:t>
            </w:r>
          </w:p>
        </w:tc>
        <w:tc>
          <w:tcPr>
            <w:tcW w:type="dxa" w:w="1512"/>
            <w:shd w:fill="FCE4D6"/>
          </w:tcPr>
          <w:p>
            <w:pPr>
              <w:jc w:val="center"/>
            </w:pPr>
            <w:r/>
            <w:r>
              <w:rPr>
                <w:rFonts w:ascii="Calibri" w:hAnsi="Calibri"/>
                <w:b w:val="0"/>
                <w:sz w:val="18"/>
              </w:rPr>
              <w:t>75.3</w:t>
            </w:r>
          </w:p>
        </w:tc>
        <w:tc>
          <w:tcPr>
            <w:tcW w:type="dxa" w:w="1512"/>
          </w:tcPr>
          <w:p>
            <w:pPr>
              <w:jc w:val="center"/>
            </w:pPr>
            <w:r/>
            <w:r>
              <w:rPr>
                <w:rFonts w:ascii="Calibri" w:hAnsi="Calibri"/>
                <w:b/>
                <w:sz w:val="18"/>
              </w:rPr>
              <w:t>Tipo E</w:t>
            </w:r>
          </w:p>
        </w:tc>
      </w:tr>
    </w:tbl>
    <w:p>
      <w:pPr>
        <w:spacing w:before="40" w:after="160"/>
        <w:jc w:val="center"/>
      </w:pPr>
      <w:r>
        <w:rPr>
          <w:rFonts w:ascii="Calibri" w:hAnsi="Calibri"/>
          <w:i/>
          <w:sz w:val="18"/>
        </w:rPr>
        <w:t>Tabla 6. Parámetros dinámicos derivados y clasificación sísmica preliminar de sitio.</w:t>
      </w:r>
    </w:p>
    <w:p>
      <w:pPr>
        <w:pStyle w:val="Heading1"/>
      </w:pPr>
      <w:r>
        <w:t>CURVAS DE RELACIÓN ESPECTRAL H/V (NAKAMURA)</w:t>
      </w:r>
    </w:p>
    <w:p>
      <w:pPr>
        <w:spacing w:after="120" w:before="0"/>
      </w:pPr>
      <w:r>
        <w:rPr>
          <w:rFonts w:ascii="Calibri" w:hAnsi="Calibri"/>
          <w:b w:val="0"/>
          <w:i w:val="0"/>
          <w:sz w:val="22"/>
        </w:rPr>
        <w:t>A continuación se ilustran las curvas de cociente espectral H/V obtenidas en cada estación del polígono Promart-CityMall. La línea negra sólida representa la media geométrica del cociente H/V y las líneas punteadas representan la desviación estándar estadística.</w:t>
      </w:r>
    </w:p>
    <w:p>
      <w:pPr>
        <w:jc w:val="center"/>
      </w:pP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R13D7_183000_278_grupo_3__hvsr_periodo.png"/>
                    <pic:cNvPicPr/>
                  </pic:nvPicPr>
                  <pic:blipFill>
                    <a:blip r:embed="rId10"/>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3. Curva de relación H/V estación Nk-01 (T₀ = 1.43 s, A₀ = 7.95).</w:t>
      </w:r>
    </w:p>
    <w:p>
      <w:pPr>
        <w:jc w:val="center"/>
      </w:pPr>
    </w:p>
    <w:p>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R13D7_220500_280_grupo_7__hvsr_periodo.png"/>
                    <pic:cNvPicPr/>
                  </pic:nvPicPr>
                  <pic:blipFill>
                    <a:blip r:embed="rId11"/>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4. Curva de relación H/V estación Nk-02 (T₀ = 1.18 s, A₀ = 1.41).</w:t>
      </w:r>
    </w:p>
    <w:p>
      <w:pPr>
        <w:jc w:val="center"/>
      </w:pPr>
    </w:p>
    <w:p>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R13D7_215000_280_grupo_3__hvsr_periodo.png"/>
                    <pic:cNvPicPr/>
                  </pic:nvPicPr>
                  <pic:blipFill>
                    <a:blip r:embed="rId12"/>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5. Curva de relación H/V estación Nk-03 (T₀ = 1.18 s, A₀ = 1.24).</w:t>
      </w:r>
    </w:p>
    <w:p>
      <w:pPr>
        <w:jc w:val="center"/>
      </w:pPr>
    </w:p>
    <w:p>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R13D7_152000_280_grupo_3__hvsr_periodo.png"/>
                    <pic:cNvPicPr/>
                  </pic:nvPicPr>
                  <pic:blipFill>
                    <a:blip r:embed="rId13"/>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6. Curva de relación H/V estación Nk-04 (T₀ = 1.42 s, A₀ = 8.89).</w:t>
      </w:r>
    </w:p>
    <w:p>
      <w:pPr>
        <w:jc w:val="center"/>
      </w:pPr>
    </w:p>
    <w:p>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REAEC_132500_280_dup001__hvsr_periodo.png"/>
                    <pic:cNvPicPr/>
                  </pic:nvPicPr>
                  <pic:blipFill>
                    <a:blip r:embed="rId14"/>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7. Curva de relación H/V estación Nk-05 (T₀ = 1.20 s, A₀ = 6.69).</w:t>
      </w:r>
    </w:p>
    <w:p>
      <w:pPr>
        <w:jc w:val="center"/>
      </w:pPr>
    </w:p>
    <w:p>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R13D7_161500_280_grupo_2__hvsr_periodo.png"/>
                    <pic:cNvPicPr/>
                  </pic:nvPicPr>
                  <pic:blipFill>
                    <a:blip r:embed="rId15"/>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8. Curva de relación H/V estación Nk-06 (T₀ = 1.25 s, A₀ = 4.40).</w:t>
      </w:r>
    </w:p>
    <w:p>
      <w:pPr>
        <w:jc w:val="center"/>
      </w:pPr>
    </w:p>
    <w:p>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REAEC_140000_280__hvsr_periodo.png"/>
                    <pic:cNvPicPr/>
                  </pic:nvPicPr>
                  <pic:blipFill>
                    <a:blip r:embed="rId16"/>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9. Curva de relación H/V estación Nk-07 (T₀ = 1.40 s, A₀ = 5.40).</w:t>
      </w:r>
    </w:p>
    <w:p>
      <w:pPr>
        <w:jc w:val="center"/>
      </w:pPr>
    </w:p>
    <w:p>
      <w: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R13D7_164000_280_grupo_5__hvsr_periodo.png"/>
                    <pic:cNvPicPr/>
                  </pic:nvPicPr>
                  <pic:blipFill>
                    <a:blip r:embed="rId17"/>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10. Curva de relación H/V estación Nk-08 (T₀ = 1.54 s, A₀ = 11.11).</w:t>
      </w:r>
    </w:p>
    <w:p>
      <w:pPr>
        <w:jc w:val="center"/>
      </w:pPr>
    </w:p>
    <w:p>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R13D7_205000_280_grupo_6__hvsr_periodo.png"/>
                    <pic:cNvPicPr/>
                  </pic:nvPicPr>
                  <pic:blipFill>
                    <a:blip r:embed="rId18"/>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11. Curva de relación H/V estación Nk-09 (T₀ = 0.90 s, A₀ = 5.90).</w:t>
      </w:r>
    </w:p>
    <w:p>
      <w:pPr>
        <w:jc w:val="center"/>
      </w:pPr>
    </w:p>
    <w:p>
      <w:r>
        <w:drawing>
          <wp:inline xmlns:a="http://schemas.openxmlformats.org/drawingml/2006/main" xmlns:pic="http://schemas.openxmlformats.org/drawingml/2006/picture">
            <wp:extent cx="4572000" cy="2571750"/>
            <wp:docPr id="11" name="Picture 11"/>
            <wp:cNvGraphicFramePr>
              <a:graphicFrameLocks noChangeAspect="1"/>
            </wp:cNvGraphicFramePr>
            <a:graphic>
              <a:graphicData uri="http://schemas.openxmlformats.org/drawingml/2006/picture">
                <pic:pic>
                  <pic:nvPicPr>
                    <pic:cNvPr id="0" name="R13D7_172000_280_grupo_2__hvsr_periodo.png"/>
                    <pic:cNvPicPr/>
                  </pic:nvPicPr>
                  <pic:blipFill>
                    <a:blip r:embed="rId19"/>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12. Curva de relación H/V estación Nk-10 (T₀ = 1.54 s, A₀ = 23.74).</w:t>
      </w:r>
    </w:p>
    <w:p>
      <w:pPr>
        <w:jc w:val="center"/>
      </w:pPr>
    </w:p>
    <w:p>
      <w:r>
        <w:drawing>
          <wp:inline xmlns:a="http://schemas.openxmlformats.org/drawingml/2006/main" xmlns:pic="http://schemas.openxmlformats.org/drawingml/2006/picture">
            <wp:extent cx="4572000" cy="2571750"/>
            <wp:docPr id="12" name="Picture 12"/>
            <wp:cNvGraphicFramePr>
              <a:graphicFrameLocks noChangeAspect="1"/>
            </wp:cNvGraphicFramePr>
            <a:graphic>
              <a:graphicData uri="http://schemas.openxmlformats.org/drawingml/2006/picture">
                <pic:pic>
                  <pic:nvPicPr>
                    <pic:cNvPr id="0" name="R13D7_175000_280_grupo_8__hvsr_periodo.png"/>
                    <pic:cNvPicPr/>
                  </pic:nvPicPr>
                  <pic:blipFill>
                    <a:blip r:embed="rId20"/>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13. Curva de relación H/V estación Nk-11 (T₀ = 1.60 s, A₀ = 13.26).</w:t>
      </w:r>
    </w:p>
    <w:p>
      <w:pPr>
        <w:jc w:val="center"/>
      </w:pPr>
    </w:p>
    <w:p>
      <w:r>
        <w:drawing>
          <wp:inline xmlns:a="http://schemas.openxmlformats.org/drawingml/2006/main" xmlns:pic="http://schemas.openxmlformats.org/drawingml/2006/picture">
            <wp:extent cx="4572000" cy="2571750"/>
            <wp:docPr id="13" name="Picture 13"/>
            <wp:cNvGraphicFramePr>
              <a:graphicFrameLocks noChangeAspect="1"/>
            </wp:cNvGraphicFramePr>
            <a:graphic>
              <a:graphicData uri="http://schemas.openxmlformats.org/drawingml/2006/picture">
                <pic:pic>
                  <pic:nvPicPr>
                    <pic:cNvPr id="0" name="R13D7_183000_280_grupo_7__hvsr_periodo.png"/>
                    <pic:cNvPicPr/>
                  </pic:nvPicPr>
                  <pic:blipFill>
                    <a:blip r:embed="rId21"/>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14. Curva de relación H/V estación Nk-12 (T₀ = 1.53 s, A₀ = 6.28).</w:t>
      </w:r>
    </w:p>
    <w:p>
      <w:pPr>
        <w:jc w:val="center"/>
      </w:pPr>
    </w:p>
    <w:p>
      <w:r>
        <w:drawing>
          <wp:inline xmlns:a="http://schemas.openxmlformats.org/drawingml/2006/main" xmlns:pic="http://schemas.openxmlformats.org/drawingml/2006/picture">
            <wp:extent cx="4572000" cy="2571750"/>
            <wp:docPr id="14" name="Picture 14"/>
            <wp:cNvGraphicFramePr>
              <a:graphicFrameLocks noChangeAspect="1"/>
            </wp:cNvGraphicFramePr>
            <a:graphic>
              <a:graphicData uri="http://schemas.openxmlformats.org/drawingml/2006/picture">
                <pic:pic>
                  <pic:nvPicPr>
                    <pic:cNvPr id="0" name="R13D7_191000_280_grupo_3__hvsr_periodo.png"/>
                    <pic:cNvPicPr/>
                  </pic:nvPicPr>
                  <pic:blipFill>
                    <a:blip r:embed="rId22"/>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15. Curva de relación H/V estación Nk-13 (T₀ = 1.54 s, A₀ = 16.17).</w:t>
      </w:r>
    </w:p>
    <w:p>
      <w:pPr>
        <w:jc w:val="center"/>
      </w:pPr>
    </w:p>
    <w:p>
      <w:r>
        <w:drawing>
          <wp:inline xmlns:a="http://schemas.openxmlformats.org/drawingml/2006/main" xmlns:pic="http://schemas.openxmlformats.org/drawingml/2006/picture">
            <wp:extent cx="4572000" cy="2571750"/>
            <wp:docPr id="15" name="Picture 15"/>
            <wp:cNvGraphicFramePr>
              <a:graphicFrameLocks noChangeAspect="1"/>
            </wp:cNvGraphicFramePr>
            <a:graphic>
              <a:graphicData uri="http://schemas.openxmlformats.org/drawingml/2006/picture">
                <pic:pic>
                  <pic:nvPicPr>
                    <pic:cNvPr id="0" name="R13D7_194000_280__hvsr_periodo.png"/>
                    <pic:cNvPicPr/>
                  </pic:nvPicPr>
                  <pic:blipFill>
                    <a:blip r:embed="rId23"/>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16. Curva de relación H/V estación Nk-14 (T₀ = 1.53 s, A₀ = 8.44).</w:t>
      </w:r>
    </w:p>
    <w:p>
      <w:pPr>
        <w:jc w:val="center"/>
      </w:pPr>
    </w:p>
    <w:p>
      <w:r>
        <w:drawing>
          <wp:inline xmlns:a="http://schemas.openxmlformats.org/drawingml/2006/main" xmlns:pic="http://schemas.openxmlformats.org/drawingml/2006/picture">
            <wp:extent cx="4572000" cy="2571750"/>
            <wp:docPr id="16" name="Picture 16"/>
            <wp:cNvGraphicFramePr>
              <a:graphicFrameLocks noChangeAspect="1"/>
            </wp:cNvGraphicFramePr>
            <a:graphic>
              <a:graphicData uri="http://schemas.openxmlformats.org/drawingml/2006/picture">
                <pic:pic>
                  <pic:nvPicPr>
                    <pic:cNvPr id="0" name="R13D7_202500_280_grupo_3__hvsr_periodo.png"/>
                    <pic:cNvPicPr/>
                  </pic:nvPicPr>
                  <pic:blipFill>
                    <a:blip r:embed="rId24"/>
                    <a:stretch>
                      <a:fillRect/>
                    </a:stretch>
                  </pic:blipFill>
                  <pic:spPr>
                    <a:xfrm>
                      <a:off x="0" y="0"/>
                      <a:ext cx="4572000" cy="2571750"/>
                    </a:xfrm>
                    <a:prstGeom prst="rect"/>
                  </pic:spPr>
                </pic:pic>
              </a:graphicData>
            </a:graphic>
          </wp:inline>
        </w:drawing>
      </w:r>
    </w:p>
    <w:p>
      <w:pPr>
        <w:spacing w:before="40" w:after="160"/>
        <w:jc w:val="center"/>
      </w:pPr>
      <w:r>
        <w:rPr>
          <w:rFonts w:ascii="Calibri" w:hAnsi="Calibri"/>
          <w:i/>
          <w:sz w:val="18"/>
        </w:rPr>
        <w:t>Figura 17. Curva de relación H/V estación Nk-15 (T₀ = 1.54 s, A₀ = 6.99).</w:t>
      </w:r>
    </w:p>
    <w:p>
      <w:r>
        <w:br w:type="page"/>
      </w:r>
    </w:p>
    <w:p>
      <w:pPr>
        <w:pStyle w:val="Heading1"/>
      </w:pPr>
      <w:r>
        <w:t>DISTRIBUCIÓN ESPACIAL DE ISOPERÍODOS FUNDAMENTALES</w:t>
      </w:r>
    </w:p>
    <w:p>
      <w:pPr>
        <w:spacing w:after="120" w:before="0"/>
      </w:pPr>
      <w:r>
        <w:rPr>
          <w:rFonts w:ascii="Calibri" w:hAnsi="Calibri"/>
          <w:b w:val="0"/>
          <w:i w:val="0"/>
          <w:sz w:val="22"/>
        </w:rPr>
        <w:t>A partir de los períodos fundamentales T₀ determinados en los 15 sitios de ensayo, se generó un modelo de interpolación bidimensional de isoperíodos para visualizar la variabilidad espacial de la rigidez del suelo en el predio del proyecto:</w:t>
      </w:r>
    </w:p>
    <w:p>
      <w:pPr>
        <w:jc w:val="center"/>
      </w:pPr>
    </w:p>
    <w:p>
      <w:r>
        <w:drawing>
          <wp:inline xmlns:a="http://schemas.openxmlformats.org/drawingml/2006/main" xmlns:pic="http://schemas.openxmlformats.org/drawingml/2006/picture">
            <wp:extent cx="5486400" cy="4267200"/>
            <wp:docPr id="17" name="Picture 17"/>
            <wp:cNvGraphicFramePr>
              <a:graphicFrameLocks noChangeAspect="1"/>
            </wp:cNvGraphicFramePr>
            <a:graphic>
              <a:graphicData uri="http://schemas.openxmlformats.org/drawingml/2006/picture">
                <pic:pic>
                  <pic:nvPicPr>
                    <pic:cNvPr id="0" name="Mapa_Isoperiodos_T0.png"/>
                    <pic:cNvPicPr/>
                  </pic:nvPicPr>
                  <pic:blipFill>
                    <a:blip r:embed="rId25"/>
                    <a:stretch>
                      <a:fillRect/>
                    </a:stretch>
                  </pic:blipFill>
                  <pic:spPr>
                    <a:xfrm>
                      <a:off x="0" y="0"/>
                      <a:ext cx="5486400" cy="4267200"/>
                    </a:xfrm>
                    <a:prstGeom prst="rect"/>
                  </pic:spPr>
                </pic:pic>
              </a:graphicData>
            </a:graphic>
          </wp:inline>
        </w:drawing>
      </w:r>
    </w:p>
    <w:p>
      <w:pPr>
        <w:spacing w:before="40" w:after="160"/>
        <w:jc w:val="center"/>
      </w:pPr>
      <w:r>
        <w:rPr>
          <w:rFonts w:ascii="Calibri" w:hAnsi="Calibri"/>
          <w:i/>
          <w:sz w:val="18"/>
        </w:rPr>
        <w:t>Figura 18. Mapa de isoperíodos fundamentales T₀ (s) del proyecto Promart-CityMall.</w:t>
      </w:r>
    </w:p>
    <w:p>
      <w:pPr>
        <w:pStyle w:val="Heading1"/>
      </w:pPr>
      <w:r>
        <w:t>INTERPRETACIÓN DE RESULTADOS</w:t>
      </w:r>
    </w:p>
    <w:p>
      <w:pPr>
        <w:pStyle w:val="Heading2"/>
      </w:pPr>
      <w:r>
        <w:t>Tipos de razones espectrales</w:t>
      </w:r>
    </w:p>
    <w:p>
      <w:pPr>
        <w:spacing w:after="120" w:before="0"/>
      </w:pPr>
      <w:r>
        <w:rPr>
          <w:rFonts w:ascii="Calibri" w:hAnsi="Calibri"/>
          <w:b w:val="0"/>
          <w:i w:val="0"/>
          <w:sz w:val="22"/>
        </w:rPr>
        <w:t>De acuerdo con la clasificación espectral de Pasten (2018), los cocientes H/V se catalogan en:</w:t>
      </w:r>
    </w:p>
    <w:p>
      <w:pPr>
        <w:spacing w:after="120" w:before="0"/>
      </w:pPr>
      <w:r>
        <w:rPr>
          <w:rFonts w:ascii="Calibri" w:hAnsi="Calibri"/>
          <w:b w:val="0"/>
          <w:i w:val="0"/>
          <w:sz w:val="22"/>
        </w:rPr>
        <w:t>Tipo 1: Curvas con identificación nítida y unívoca de la frecuencia fundamental f₀.</w:t>
      </w:r>
    </w:p>
    <w:p>
      <w:pPr>
        <w:spacing w:after="120" w:before="0"/>
      </w:pPr>
      <w:r>
        <w:rPr>
          <w:rFonts w:ascii="Calibri" w:hAnsi="Calibri"/>
          <w:b w:val="0"/>
          <w:i w:val="0"/>
          <w:sz w:val="22"/>
        </w:rPr>
        <w:t>Tipo 2: Curvas con al menos dos frecuencias preponderantes (f₀ y f₁).</w:t>
      </w:r>
    </w:p>
    <w:p>
      <w:pPr>
        <w:spacing w:after="120" w:before="0"/>
      </w:pPr>
      <w:r>
        <w:rPr>
          <w:rFonts w:ascii="Calibri" w:hAnsi="Calibri"/>
          <w:b w:val="0"/>
          <w:i w:val="0"/>
          <w:sz w:val="22"/>
        </w:rPr>
        <w:t>Tipo 3: Curvas de amplificación ancha donde es complejo aislar un modo único.</w:t>
      </w:r>
    </w:p>
    <w:p>
      <w:pPr>
        <w:spacing w:after="120" w:before="0"/>
      </w:pPr>
      <w:r>
        <w:rPr>
          <w:rFonts w:ascii="Calibri" w:hAnsi="Calibri"/>
          <w:b w:val="0"/>
          <w:i w:val="0"/>
          <w:sz w:val="22"/>
        </w:rPr>
        <w:t>Tipo 4: Curvas planas de baja amplitud (H/V ≈ 1) indicativas de roca o suelo rígido homogéneo.</w:t>
      </w:r>
    </w:p>
    <w:p>
      <w:pPr>
        <w:spacing w:after="120" w:before="0"/>
      </w:pPr>
      <w:r>
        <w:rPr>
          <w:rFonts w:ascii="Calibri" w:hAnsi="Calibri"/>
          <w:b w:val="0"/>
          <w:i w:val="0"/>
          <w:sz w:val="22"/>
        </w:rPr>
        <w:t>En el proyecto Promart-CityMall predominan espectros de Tipo 1 y Tipo 2, con picos claros y campanas bien desarrolladas en el rango de 0.65 Hz a 0.85 Hz, confirmando un fuerte contraste de impedancia acústica entre la cubierta sedimentaria y el sustrato competente profundo.</w:t>
      </w:r>
    </w:p>
    <w:p>
      <w:pPr>
        <w:pStyle w:val="Heading2"/>
      </w:pPr>
      <w:r>
        <w:t>Interpretación geofísica y geotécnica</w:t>
      </w:r>
    </w:p>
    <w:p>
      <w:pPr>
        <w:spacing w:after="120" w:before="0"/>
      </w:pPr>
      <w:r>
        <w:rPr>
          <w:rFonts w:ascii="Calibri" w:hAnsi="Calibri"/>
          <w:b w:val="0"/>
          <w:i w:val="0"/>
          <w:sz w:val="22"/>
        </w:rPr>
        <w:t>Los períodos fundamentales observados en la mayor parte del predio oscilan entre T₀ = 1.43 s y 1.54 s (f₀ ≈ 0.65 – 0.70 Hz). Aplicando la relación del cuarto de longitud de onda (T₀ ≈ 4H / Vs) con velocidades de onda de corte promedio Vs ≈ 180 a 220 m/s (típicas de los depósitos estuarinos blandos de Guayaquil), se deduce un espesor H de sedimentos compresibles de 65 a 85 metros hasta el contacto con el basamento rígido.</w:t>
      </w:r>
    </w:p>
    <w:p>
      <w:pPr>
        <w:spacing w:after="120" w:before="0"/>
      </w:pPr>
      <w:r>
        <w:rPr>
          <w:rFonts w:ascii="Calibri" w:hAnsi="Calibri"/>
          <w:b w:val="0"/>
          <w:i w:val="0"/>
          <w:sz w:val="22"/>
        </w:rPr>
        <w:t>Hacia el sector noroccidental (estaciones Nk-02 y Nk-03), el período disminuye hacia T₀ ≈ 1.18 s (con registros individuales en torno a 0.83 – 0.87 s), lo que evidencia un acuñamiento lateral de los estratos blandos o un ascenso relativo de capas de mayor compacidad relativa.</w:t>
      </w:r>
    </w:p>
    <w:p>
      <w:pPr>
        <w:spacing w:after="120" w:before="0"/>
      </w:pPr>
      <w:r>
        <w:rPr>
          <w:rFonts w:ascii="Calibri" w:hAnsi="Calibri"/>
          <w:b w:val="0"/>
          <w:i w:val="0"/>
          <w:sz w:val="22"/>
        </w:rPr>
        <w:t>Los factores de amplificación elástica A₀ varían entre 4.4 y 16.2, registrando picos locales de hasta 23.7 (estación Nk-10). Asimismo, el índice de vulnerabilidad de Nakamura Kg supera ampliamente el umbral de 20 en la totalidad de las estaciones, señalando una alta susceptibilidad a deformaciones cíclicas permanentes ante solicitaciones sísmicas severas.</w:t>
      </w:r>
    </w:p>
    <w:p>
      <w:pPr>
        <w:pStyle w:val="Heading1"/>
      </w:pPr>
      <w:r>
        <w:t>CONCLUSIONES Y RECOMENDACIONES</w:t>
      </w:r>
    </w:p>
    <w:p>
      <w:pPr>
        <w:pStyle w:val="ListParagraph"/>
        <w:spacing w:after="120"/>
      </w:pPr>
      <w:r>
        <w:rPr>
          <w:rFonts w:ascii="Calibri" w:hAnsi="Calibri"/>
          <w:sz w:val="22"/>
        </w:rPr>
        <w:t>Se ejecutó una campaña geofísica de vibración ambiental en 15 puntos de ensayo (Nk-01 a Nk-15) distribuidos en el polígono del proyecto Promart-CityMall. Se procesaron un total de 124 registros MiniSEED válidos mediante el software TremorSys CLI conforme al estándar europeo SESAME (2004).</w:t>
      </w:r>
    </w:p>
    <w:p>
      <w:pPr>
        <w:pStyle w:val="ListParagraph"/>
        <w:spacing w:after="120"/>
      </w:pPr>
      <w:r>
        <w:rPr>
          <w:rFonts w:ascii="Calibri" w:hAnsi="Calibri"/>
          <w:sz w:val="22"/>
        </w:rPr>
        <w:t>El período fundamental del suelo T₀ se concentra predominantemente en el rango de 1.40 s a 1.60 s en los sectores centro, este y sur del predio, con un valor medio representativo de T₀ = 1.48 s. En el flanco noroccidental se aprecia una transición hacia períodos menores (T₀ ≈ 1.18 s).</w:t>
      </w:r>
    </w:p>
    <w:p>
      <w:pPr>
        <w:pStyle w:val="ListParagraph"/>
        <w:spacing w:after="120"/>
      </w:pPr>
      <w:r>
        <w:rPr>
          <w:rFonts w:ascii="Calibri" w:hAnsi="Calibri"/>
          <w:sz w:val="22"/>
        </w:rPr>
        <w:t>Conforme a los períodos fundamentales determinados (T₀ &gt; 1.0 s), el terreno se clasifica sísmicamente como Perfil de Suelo Tipo E (Suelo Muy Blando) según la Norma Ecuatoriana de la Construcción (NEC-SE-DS, 2015). Esta condición implica factores de amplificación sísmica Fa y Fd elevados y un ensanchamiento de la meseta del espectro de diseño elástico.</w:t>
      </w:r>
    </w:p>
    <w:p>
      <w:pPr>
        <w:pStyle w:val="ListParagraph"/>
        <w:spacing w:after="120"/>
      </w:pPr>
      <w:r>
        <w:rPr>
          <w:rFonts w:ascii="Calibri" w:hAnsi="Calibri"/>
          <w:sz w:val="22"/>
        </w:rPr>
        <w:t>El índice de vulnerabilidad sísmica de Nakamura Kg arroja valores sistemáticamente superiores a 20 (oscilando entre 20 y 365), lo que evidencia una alta susceptibilidad del suelo a experimentar grandes deformaciones por corte y no-linealidad dinámica durante eventos telúricos de diseño.</w:t>
      </w:r>
    </w:p>
    <w:p>
      <w:pPr>
        <w:pStyle w:val="ListParagraph"/>
        <w:spacing w:after="120"/>
      </w:pPr>
      <w:r>
        <w:rPr>
          <w:rFonts w:ascii="Calibri" w:hAnsi="Calibri"/>
          <w:sz w:val="22"/>
        </w:rPr>
        <w:t>Desde la perspectiva de interacción suelo-estructura, existe un riesgo severo de resonancia para edificaciones aporticadas con períodos estructurales propios entre Tn = 1.0 s y 1.6 s (típicamente estructuras de 10 a 16 niveles o naves industriales flexibles de grandes luces). Se recomienda para las naves comerciales rigidizar los pórticos mediante arriostramientos concéntricos para limitar el período propio hacia valores rígidos (Tn &lt; 0.4 s) alejados del período del suelo.</w:t>
      </w:r>
    </w:p>
    <w:p>
      <w:pPr>
        <w:pStyle w:val="ListParagraph"/>
        <w:spacing w:after="120"/>
      </w:pPr>
      <w:r>
        <w:rPr>
          <w:rFonts w:ascii="Calibri" w:hAnsi="Calibri"/>
          <w:sz w:val="22"/>
        </w:rPr>
        <w:t>Debido a la gran profundidad del depósito compresible (H ≈ 65 a 85 m) y su baja rigidez al corte, las cimentaciones superficiales convencionales estarán expuestas a asentamientos por consolidación relevantes. Se sugiere evaluar sistemas de cimentación profunda (pilotes) apoyados en estratos competentes profundos.</w:t>
      </w:r>
    </w:p>
    <w:p>
      <w:pPr>
        <w:pStyle w:val="ListParagraph"/>
        <w:spacing w:after="120"/>
      </w:pPr>
      <w:r>
        <w:rPr>
          <w:rFonts w:ascii="Calibri" w:hAnsi="Calibri"/>
          <w:sz w:val="22"/>
        </w:rPr>
        <w:t>Se recomienda complementar el presente estudio con exploraciones geofísicas activas (MASW profundo) y sondeos directos (SPT/CPTu) para caracterizar el perfil Vs30 y verificar que no existan estratos potencialmente licuables que requieran clasificar el sitio como Perfil Tipo F.</w:t>
      </w:r>
    </w:p>
    <w:p>
      <w:r>
        <w:br w:type="page"/>
      </w:r>
    </w:p>
    <w:p>
      <w:pPr>
        <w:pStyle w:val="Heading1"/>
      </w:pPr>
      <w:r>
        <w:t>COMPENDIO: COMPORTAMIENTO DINÁMICO DEL SUELO</w:t>
      </w:r>
    </w:p>
    <w:p>
      <w:pPr>
        <w:spacing w:after="120" w:before="0"/>
      </w:pPr>
      <w:r>
        <w:rPr>
          <w:rFonts w:ascii="Calibri" w:hAnsi="Calibri"/>
          <w:b w:val="0"/>
          <w:i w:val="0"/>
          <w:sz w:val="22"/>
        </w:rPr>
        <w:t>En la Tabla 7 se presenta el compendio del comportamiento dinámico del suelo, diferenciando las zonas geotécnicas identificadas dentro del predio: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tcPr>
          <w:p>
            <w:pPr>
              <w:jc w:val="center"/>
            </w:pPr>
            <w:r>
              <w:rPr>
                <w:color w:val="FFFFFF"/>
              </w:rPr>
            </w:r>
            <w:r>
              <w:rPr>
                <w:rFonts w:ascii="Calibri" w:hAnsi="Calibri"/>
                <w:b/>
                <w:sz w:val="16"/>
              </w:rPr>
              <w:t>Parámetro / Zona</w:t>
            </w:r>
          </w:p>
        </w:tc>
        <w:tc>
          <w:tcPr>
            <w:tcW w:type="dxa" w:w="2268"/>
            <w:shd w:fill="1F4E79"/>
          </w:tcPr>
          <w:p>
            <w:pPr>
              <w:jc w:val="center"/>
            </w:pPr>
            <w:r>
              <w:rPr>
                <w:color w:val="FFFFFF"/>
              </w:rPr>
            </w:r>
            <w:r>
              <w:rPr>
                <w:rFonts w:ascii="Calibri" w:hAnsi="Calibri"/>
                <w:b/>
                <w:sz w:val="16"/>
              </w:rPr>
              <w:t>Zona Centro-Sur-Este (N1, N4, N6, N8, N10-N15)</w:t>
            </w:r>
          </w:p>
        </w:tc>
        <w:tc>
          <w:tcPr>
            <w:tcW w:type="dxa" w:w="2268"/>
            <w:shd w:fill="1F4E79"/>
          </w:tcPr>
          <w:p>
            <w:pPr>
              <w:jc w:val="center"/>
            </w:pPr>
            <w:r>
              <w:rPr>
                <w:color w:val="FFFFFF"/>
              </w:rPr>
            </w:r>
            <w:r>
              <w:rPr>
                <w:rFonts w:ascii="Calibri" w:hAnsi="Calibri"/>
                <w:b/>
                <w:sz w:val="16"/>
              </w:rPr>
              <w:t>Zona Nor-Oeste (N2, N3, N5, N7, N9)</w:t>
            </w:r>
          </w:p>
        </w:tc>
        <w:tc>
          <w:tcPr>
            <w:tcW w:type="dxa" w:w="2268"/>
            <w:shd w:fill="1F4E79"/>
          </w:tcPr>
          <w:p>
            <w:pPr>
              <w:jc w:val="center"/>
            </w:pPr>
            <w:r>
              <w:rPr>
                <w:color w:val="FFFFFF"/>
              </w:rPr>
            </w:r>
            <w:r>
              <w:rPr>
                <w:rFonts w:ascii="Calibri" w:hAnsi="Calibri"/>
                <w:b/>
                <w:sz w:val="16"/>
              </w:rPr>
              <w:t>Criterio Técnico</w:t>
            </w:r>
          </w:p>
        </w:tc>
      </w:tr>
      <w:tr>
        <w:tc>
          <w:tcPr>
            <w:tcW w:type="dxa" w:w="2268"/>
          </w:tcPr>
          <w:p>
            <w:pPr>
              <w:jc w:val="left"/>
            </w:pPr>
            <w:r/>
            <w:r>
              <w:rPr>
                <w:rFonts w:ascii="Calibri" w:hAnsi="Calibri"/>
                <w:b/>
                <w:sz w:val="18"/>
              </w:rPr>
              <w:t>Período Fundamental T₀</w:t>
            </w:r>
          </w:p>
        </w:tc>
        <w:tc>
          <w:tcPr>
            <w:tcW w:type="dxa" w:w="2268"/>
          </w:tcPr>
          <w:p>
            <w:pPr>
              <w:jc w:val="center"/>
            </w:pPr>
            <w:r/>
            <w:r>
              <w:rPr>
                <w:rFonts w:ascii="Calibri" w:hAnsi="Calibri"/>
                <w:b w:val="0"/>
                <w:sz w:val="18"/>
              </w:rPr>
              <w:t>1.42 s – 1.60 s</w:t>
            </w:r>
          </w:p>
        </w:tc>
        <w:tc>
          <w:tcPr>
            <w:tcW w:type="dxa" w:w="2268"/>
          </w:tcPr>
          <w:p>
            <w:pPr>
              <w:jc w:val="center"/>
            </w:pPr>
            <w:r/>
            <w:r>
              <w:rPr>
                <w:rFonts w:ascii="Calibri" w:hAnsi="Calibri"/>
                <w:b w:val="0"/>
                <w:sz w:val="18"/>
              </w:rPr>
              <w:t>0.90 s – 1.40 s</w:t>
            </w:r>
          </w:p>
        </w:tc>
        <w:tc>
          <w:tcPr>
            <w:tcW w:type="dxa" w:w="2268"/>
          </w:tcPr>
          <w:p>
            <w:pPr>
              <w:jc w:val="left"/>
            </w:pPr>
            <w:r/>
            <w:r>
              <w:rPr>
                <w:rFonts w:ascii="Calibri" w:hAnsi="Calibri"/>
                <w:b w:val="0"/>
                <w:sz w:val="18"/>
              </w:rPr>
              <w:t>Curvas SESAME Clase B / D</w:t>
            </w:r>
          </w:p>
        </w:tc>
      </w:tr>
      <w:tr>
        <w:tc>
          <w:tcPr>
            <w:tcW w:type="dxa" w:w="2268"/>
          </w:tcPr>
          <w:p>
            <w:pPr>
              <w:jc w:val="left"/>
            </w:pPr>
            <w:r/>
            <w:r>
              <w:rPr>
                <w:rFonts w:ascii="Calibri" w:hAnsi="Calibri"/>
                <w:b/>
                <w:sz w:val="18"/>
              </w:rPr>
              <w:t>Frecuencia f₀</w:t>
            </w:r>
          </w:p>
        </w:tc>
        <w:tc>
          <w:tcPr>
            <w:tcW w:type="dxa" w:w="2268"/>
          </w:tcPr>
          <w:p>
            <w:pPr>
              <w:jc w:val="center"/>
            </w:pPr>
            <w:r/>
            <w:r>
              <w:rPr>
                <w:rFonts w:ascii="Calibri" w:hAnsi="Calibri"/>
                <w:b w:val="0"/>
                <w:sz w:val="18"/>
              </w:rPr>
              <w:t>0.62 – 0.70 Hz</w:t>
            </w:r>
          </w:p>
        </w:tc>
        <w:tc>
          <w:tcPr>
            <w:tcW w:type="dxa" w:w="2268"/>
          </w:tcPr>
          <w:p>
            <w:pPr>
              <w:jc w:val="center"/>
            </w:pPr>
            <w:r/>
            <w:r>
              <w:rPr>
                <w:rFonts w:ascii="Calibri" w:hAnsi="Calibri"/>
                <w:b w:val="0"/>
                <w:sz w:val="18"/>
              </w:rPr>
              <w:t>0.71 – 1.11 Hz</w:t>
            </w:r>
          </w:p>
        </w:tc>
        <w:tc>
          <w:tcPr>
            <w:tcW w:type="dxa" w:w="2268"/>
          </w:tcPr>
          <w:p>
            <w:pPr>
              <w:jc w:val="left"/>
            </w:pPr>
            <w:r/>
            <w:r>
              <w:rPr>
                <w:rFonts w:ascii="Calibri" w:hAnsi="Calibri"/>
                <w:b w:val="0"/>
                <w:sz w:val="18"/>
              </w:rPr>
              <w:t>Picos claros Tipo 1 y 2</w:t>
            </w:r>
          </w:p>
        </w:tc>
      </w:tr>
      <w:tr>
        <w:tc>
          <w:tcPr>
            <w:tcW w:type="dxa" w:w="2268"/>
          </w:tcPr>
          <w:p>
            <w:pPr>
              <w:jc w:val="left"/>
            </w:pPr>
            <w:r/>
            <w:r>
              <w:rPr>
                <w:rFonts w:ascii="Calibri" w:hAnsi="Calibri"/>
                <w:b/>
                <w:sz w:val="18"/>
              </w:rPr>
              <w:t>Amplificación A₀</w:t>
            </w:r>
          </w:p>
        </w:tc>
        <w:tc>
          <w:tcPr>
            <w:tcW w:type="dxa" w:w="2268"/>
          </w:tcPr>
          <w:p>
            <w:pPr>
              <w:jc w:val="center"/>
            </w:pPr>
            <w:r/>
            <w:r>
              <w:rPr>
                <w:rFonts w:ascii="Calibri" w:hAnsi="Calibri"/>
                <w:b w:val="0"/>
                <w:sz w:val="18"/>
              </w:rPr>
              <w:t>6.28 – 23.74</w:t>
            </w:r>
          </w:p>
        </w:tc>
        <w:tc>
          <w:tcPr>
            <w:tcW w:type="dxa" w:w="2268"/>
          </w:tcPr>
          <w:p>
            <w:pPr>
              <w:jc w:val="center"/>
            </w:pPr>
            <w:r/>
            <w:r>
              <w:rPr>
                <w:rFonts w:ascii="Calibri" w:hAnsi="Calibri"/>
                <w:b w:val="0"/>
                <w:sz w:val="18"/>
              </w:rPr>
              <w:t>1.24 – 6.69</w:t>
            </w:r>
          </w:p>
        </w:tc>
        <w:tc>
          <w:tcPr>
            <w:tcW w:type="dxa" w:w="2268"/>
          </w:tcPr>
          <w:p>
            <w:pPr>
              <w:jc w:val="left"/>
            </w:pPr>
            <w:r/>
            <w:r>
              <w:rPr>
                <w:rFonts w:ascii="Calibri" w:hAnsi="Calibri"/>
                <w:b w:val="0"/>
                <w:sz w:val="18"/>
              </w:rPr>
              <w:t>Contraste de impedancia marcado</w:t>
            </w:r>
          </w:p>
        </w:tc>
      </w:tr>
      <w:tr>
        <w:tc>
          <w:tcPr>
            <w:tcW w:type="dxa" w:w="2268"/>
          </w:tcPr>
          <w:p>
            <w:pPr>
              <w:jc w:val="left"/>
            </w:pPr>
            <w:r/>
            <w:r>
              <w:rPr>
                <w:rFonts w:ascii="Calibri" w:hAnsi="Calibri"/>
                <w:b/>
                <w:sz w:val="18"/>
              </w:rPr>
              <w:t>Espesor Blando (H)</w:t>
            </w:r>
          </w:p>
        </w:tc>
        <w:tc>
          <w:tcPr>
            <w:tcW w:type="dxa" w:w="2268"/>
          </w:tcPr>
          <w:p>
            <w:pPr>
              <w:jc w:val="center"/>
            </w:pPr>
            <w:r/>
            <w:r>
              <w:rPr>
                <w:rFonts w:ascii="Calibri" w:hAnsi="Calibri"/>
                <w:b w:val="0"/>
                <w:sz w:val="18"/>
              </w:rPr>
              <w:t>65 a 85 m (Depósito profundo)</w:t>
            </w:r>
          </w:p>
        </w:tc>
        <w:tc>
          <w:tcPr>
            <w:tcW w:type="dxa" w:w="2268"/>
          </w:tcPr>
          <w:p>
            <w:pPr>
              <w:jc w:val="center"/>
            </w:pPr>
            <w:r/>
            <w:r>
              <w:rPr>
                <w:rFonts w:ascii="Calibri" w:hAnsi="Calibri"/>
                <w:b w:val="0"/>
                <w:sz w:val="18"/>
              </w:rPr>
              <w:t>35 a 55 m (Acuñamiento)</w:t>
            </w:r>
          </w:p>
        </w:tc>
        <w:tc>
          <w:tcPr>
            <w:tcW w:type="dxa" w:w="2268"/>
          </w:tcPr>
          <w:p>
            <w:pPr>
              <w:jc w:val="left"/>
            </w:pPr>
            <w:r/>
            <w:r>
              <w:rPr>
                <w:rFonts w:ascii="Calibri" w:hAnsi="Calibri"/>
                <w:b w:val="0"/>
                <w:sz w:val="18"/>
              </w:rPr>
              <w:t>Estimado por T₀ ≈ 4H/Vs</w:t>
            </w:r>
          </w:p>
        </w:tc>
      </w:tr>
      <w:tr>
        <w:tc>
          <w:tcPr>
            <w:tcW w:type="dxa" w:w="2268"/>
          </w:tcPr>
          <w:p>
            <w:pPr>
              <w:jc w:val="left"/>
            </w:pPr>
            <w:r/>
            <w:r>
              <w:rPr>
                <w:rFonts w:ascii="Calibri" w:hAnsi="Calibri"/>
                <w:b/>
                <w:sz w:val="18"/>
              </w:rPr>
              <w:t>Perfil Sísmico NEC-15</w:t>
            </w:r>
          </w:p>
        </w:tc>
        <w:tc>
          <w:tcPr>
            <w:tcW w:type="dxa" w:w="2268"/>
          </w:tcPr>
          <w:p>
            <w:pPr>
              <w:jc w:val="center"/>
            </w:pPr>
            <w:r/>
            <w:r>
              <w:rPr>
                <w:rFonts w:ascii="Calibri" w:hAnsi="Calibri"/>
                <w:b w:val="0"/>
                <w:sz w:val="18"/>
              </w:rPr>
              <w:t>Tipo E (Suelo Muy Blando)</w:t>
            </w:r>
          </w:p>
        </w:tc>
        <w:tc>
          <w:tcPr>
            <w:tcW w:type="dxa" w:w="2268"/>
          </w:tcPr>
          <w:p>
            <w:pPr>
              <w:jc w:val="center"/>
            </w:pPr>
            <w:r/>
            <w:r>
              <w:rPr>
                <w:rFonts w:ascii="Calibri" w:hAnsi="Calibri"/>
                <w:b w:val="0"/>
                <w:sz w:val="18"/>
              </w:rPr>
              <w:t>Tipo D a E</w:t>
            </w:r>
          </w:p>
        </w:tc>
        <w:tc>
          <w:tcPr>
            <w:tcW w:type="dxa" w:w="2268"/>
          </w:tcPr>
          <w:p>
            <w:pPr>
              <w:jc w:val="left"/>
            </w:pPr>
            <w:r/>
            <w:r>
              <w:rPr>
                <w:rFonts w:ascii="Calibri" w:hAnsi="Calibri"/>
                <w:b w:val="0"/>
                <w:sz w:val="18"/>
              </w:rPr>
              <w:t>Vs30 estimado &lt; 180 m/s</w:t>
            </w:r>
          </w:p>
        </w:tc>
      </w:tr>
    </w:tbl>
    <w:p>
      <w:pPr>
        <w:spacing w:before="40" w:after="160"/>
        <w:jc w:val="center"/>
      </w:pPr>
      <w:r>
        <w:rPr>
          <w:rFonts w:ascii="Calibri" w:hAnsi="Calibri"/>
          <w:i/>
          <w:sz w:val="18"/>
        </w:rPr>
        <w:t>Tabla 7. Compendio de parámetros dinámicos por zonas del proyecto Promart-CityMall.</w:t>
      </w:r>
    </w:p>
    <w:p>
      <w:r>
        <w:br w:type="page"/>
      </w:r>
    </w:p>
    <w:p>
      <w:pPr>
        <w:pStyle w:val="Heading1"/>
      </w:pPr>
      <w:r>
        <w:t>REFERENCIAS BIBLIOGRÁFICAS</w:t>
      </w:r>
    </w:p>
    <w:p>
      <w:pPr>
        <w:spacing w:after="80"/>
        <w:ind w:left="567" w:hanging="567"/>
      </w:pPr>
      <w:r>
        <w:rPr>
          <w:rFonts w:ascii="Calibri" w:hAnsi="Calibri"/>
          <w:sz w:val="20"/>
        </w:rPr>
        <w:t>Konno, K. &amp; Ohmachi, T. (1998). Ground-motion characteristics estimated from spectral ratio between horizontal and vertical components of microtremor. Bulletin of the Seismological Society of America, 88(1), 228-241.</w:t>
      </w:r>
    </w:p>
    <w:p>
      <w:pPr>
        <w:spacing w:after="80"/>
        <w:ind w:left="567" w:hanging="567"/>
      </w:pPr>
      <w:r>
        <w:rPr>
          <w:rFonts w:ascii="Calibri" w:hAnsi="Calibri"/>
          <w:sz w:val="20"/>
        </w:rPr>
        <w:t>Nakamura, Y. (1989). A method for dynamic characteristics estimation of subsurface using microtremor on the ground surface. Quarterly Report of Railway Technical Research Institute, 30(1), 25-33.</w:t>
      </w:r>
    </w:p>
    <w:p>
      <w:pPr>
        <w:spacing w:after="80"/>
        <w:ind w:left="567" w:hanging="567"/>
      </w:pPr>
      <w:r>
        <w:rPr>
          <w:rFonts w:ascii="Calibri" w:hAnsi="Calibri"/>
          <w:sz w:val="20"/>
        </w:rPr>
        <w:t>NEC-SE-DS (2015). Norma Ecuatoriana de la Construcción – Peligro Sísmico y Diseño Sismo Resistente. Ministerio de Desarrollo Urbano y Vivienda (MIDUVI), Quito, Ecuador.</w:t>
      </w:r>
    </w:p>
    <w:p>
      <w:pPr>
        <w:spacing w:after="80"/>
        <w:ind w:left="567" w:hanging="567"/>
      </w:pPr>
      <w:r>
        <w:rPr>
          <w:rFonts w:ascii="Calibri" w:hAnsi="Calibri"/>
          <w:sz w:val="20"/>
        </w:rPr>
        <w:t>Pasten, C. (2018). Razones espectrales H/V: Guía práctica de interpretación para efectos de sitio. Universidad de Chile, Santiago.</w:t>
      </w:r>
    </w:p>
    <w:p>
      <w:pPr>
        <w:spacing w:after="80"/>
        <w:ind w:left="567" w:hanging="567"/>
      </w:pPr>
      <w:r>
        <w:rPr>
          <w:rFonts w:ascii="Calibri" w:hAnsi="Calibri"/>
          <w:sz w:val="20"/>
        </w:rPr>
        <w:t>SESAME (2004). Guidelines for the implementation of the H/V spectral ratio technique on ambient vibrations. European Commission Research Directorate, Project No. EVG1-CT-2000-00026.</w:t>
      </w:r>
    </w:p>
    <w:p>
      <w:r>
        <w:br w:type="page"/>
      </w:r>
    </w:p>
    <w:p/>
    <w:p/>
    <w:p/>
    <w:p>
      <w:pPr>
        <w:jc w:val="center"/>
      </w:pPr>
      <w:r>
        <w:t>________________________________________</w:t>
      </w:r>
    </w:p>
    <w:p>
      <w:pPr>
        <w:jc w:val="center"/>
      </w:pPr>
      <w:r>
        <w:rPr>
          <w:b/>
          <w:sz w:val="22"/>
        </w:rPr>
        <w:t>RESPONSABLE TÉCNICO</w:t>
      </w:r>
    </w:p>
    <w:p>
      <w:pPr>
        <w:jc w:val="center"/>
      </w:pPr>
      <w:r>
        <w:rPr>
          <w:color w:val="595959"/>
          <w:sz w:val="20"/>
        </w:rPr>
        <w:t>ARDASYSMIC</w:t>
        <w:br/>
        <w:t>Geosísmica · Instrumentación · Sismología Aplicada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