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DA4" w:rsidRDefault="005B3DA4" w:rsidP="005B3DA4">
      <w:pPr>
        <w:spacing w:line="240" w:lineRule="auto"/>
      </w:pPr>
      <w:r w:rsidRPr="006C0D9B">
        <w:rPr>
          <w:rFonts w:ascii="Times New Roman" w:hAnsi="Times New Roman" w:cs="Times New Roman"/>
          <w:b/>
          <w:sz w:val="24"/>
          <w:szCs w:val="24"/>
        </w:rPr>
        <w:t xml:space="preserve">Table 2 </w:t>
      </w:r>
      <w:r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 w:rsidRPr="003D439F">
        <w:rPr>
          <w:rFonts w:ascii="Times New Roman" w:hAnsi="Times New Roman" w:cs="Times New Roman"/>
          <w:sz w:val="24"/>
          <w:szCs w:val="24"/>
        </w:rPr>
        <w:t xml:space="preserve">ontribution of different taxonomic groups to counts of marker genes involved in </w:t>
      </w:r>
      <w:r w:rsidRPr="006C0D9B">
        <w:rPr>
          <w:rFonts w:ascii="Times New Roman" w:hAnsi="Times New Roman" w:cs="Times New Roman"/>
          <w:sz w:val="24"/>
          <w:szCs w:val="24"/>
        </w:rPr>
        <w:t xml:space="preserve">carbon, nitrogen and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sulfur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conversions. </w:t>
      </w:r>
    </w:p>
    <w:tbl>
      <w:tblPr>
        <w:tblStyle w:val="LightShading1"/>
        <w:tblW w:w="0" w:type="auto"/>
        <w:tblLayout w:type="fixed"/>
        <w:tblLook w:val="04A0" w:firstRow="1" w:lastRow="0" w:firstColumn="1" w:lastColumn="0" w:noHBand="0" w:noVBand="1"/>
      </w:tblPr>
      <w:tblGrid>
        <w:gridCol w:w="1962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5B3DA4" w:rsidRPr="007E2280" w:rsidTr="00960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auto"/>
            <w:vAlign w:val="bottom"/>
          </w:tcPr>
          <w:p w:rsidR="005B3DA4" w:rsidRPr="007E2280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Taxon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5B3DA4" w:rsidRPr="00FF16D7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Calvin cycle</w:t>
            </w:r>
          </w:p>
        </w:tc>
        <w:tc>
          <w:tcPr>
            <w:tcW w:w="534" w:type="dxa"/>
            <w:textDirection w:val="tbRl"/>
          </w:tcPr>
          <w:p w:rsidR="005B3DA4" w:rsidRPr="002235D6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prkB</w:t>
            </w:r>
            <w:proofErr w:type="spellEnd"/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5B3DA4" w:rsidRPr="007E2280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spiration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5B3DA4" w:rsidRPr="007E2280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Fe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rmentation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5B3DA4" w:rsidRPr="007E2280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rT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5B3DA4" w:rsidRPr="007E2280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WL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5B3DA4" w:rsidRPr="007E2280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CO ox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idation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5B3DA4" w:rsidRPr="007E2280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AAnP</w:t>
            </w:r>
            <w:proofErr w:type="spellEnd"/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5B3DA4" w:rsidRPr="007E2280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 fixation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5B3DA4" w:rsidRPr="007E2280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NO 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duction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5B3DA4" w:rsidRPr="007E2280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39185B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 xml:space="preserve">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reduction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5B3DA4" w:rsidRPr="007E2280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DNRA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5B3DA4" w:rsidRPr="0039185B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9185B">
              <w:rPr>
                <w:rFonts w:ascii="Times New Roman" w:hAnsi="Times New Roman" w:cs="Times New Roman"/>
                <w:i/>
                <w:sz w:val="18"/>
                <w:szCs w:val="18"/>
              </w:rPr>
              <w:t>hao</w:t>
            </w:r>
            <w:proofErr w:type="spellEnd"/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5B3DA4" w:rsidRPr="007E2280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 mineralization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5B3DA4" w:rsidRPr="007E2280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  <w:r w:rsidRPr="0039185B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3</w:t>
            </w:r>
            <w:r w:rsidRPr="0039185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assimilation</w:t>
            </w:r>
          </w:p>
        </w:tc>
        <w:tc>
          <w:tcPr>
            <w:tcW w:w="534" w:type="dxa"/>
            <w:textDirection w:val="tbRl"/>
            <w:vAlign w:val="bottom"/>
          </w:tcPr>
          <w:p w:rsidR="005B3DA4" w:rsidRPr="007E2280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 assimilation</w:t>
            </w:r>
          </w:p>
        </w:tc>
        <w:tc>
          <w:tcPr>
            <w:tcW w:w="534" w:type="dxa"/>
            <w:textDirection w:val="tbRl"/>
            <w:vAlign w:val="bottom"/>
          </w:tcPr>
          <w:p w:rsidR="005B3DA4" w:rsidRPr="007E2280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DSR</w:t>
            </w:r>
          </w:p>
        </w:tc>
        <w:tc>
          <w:tcPr>
            <w:tcW w:w="534" w:type="dxa"/>
            <w:textDirection w:val="tbRl"/>
            <w:vAlign w:val="bottom"/>
          </w:tcPr>
          <w:p w:rsidR="005B3DA4" w:rsidRPr="007E2280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 oxidation</w:t>
            </w:r>
          </w:p>
        </w:tc>
        <w:tc>
          <w:tcPr>
            <w:tcW w:w="534" w:type="dxa"/>
            <w:textDirection w:val="tbRl"/>
            <w:vAlign w:val="bottom"/>
          </w:tcPr>
          <w:p w:rsidR="005B3DA4" w:rsidRPr="007E2280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asssimilation</w:t>
            </w:r>
            <w:proofErr w:type="spellEnd"/>
          </w:p>
        </w:tc>
        <w:tc>
          <w:tcPr>
            <w:tcW w:w="534" w:type="dxa"/>
            <w:textDirection w:val="tbRl"/>
            <w:vAlign w:val="bottom"/>
          </w:tcPr>
          <w:p w:rsidR="005B3DA4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 mineralization</w:t>
            </w:r>
          </w:p>
        </w:tc>
        <w:tc>
          <w:tcPr>
            <w:tcW w:w="534" w:type="dxa"/>
            <w:textDirection w:val="tbRl"/>
            <w:vAlign w:val="bottom"/>
          </w:tcPr>
          <w:p w:rsidR="005B3DA4" w:rsidRDefault="005B3DA4" w:rsidP="009607A3">
            <w:pPr>
              <w:pStyle w:val="WW-Default"/>
              <w:spacing w:line="100" w:lineRule="atLeast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DMSO reduction</w:t>
            </w:r>
          </w:p>
        </w:tc>
      </w:tr>
      <w:tr w:rsidR="005B3DA4" w:rsidRPr="007E2280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8" w:space="0" w:color="000000" w:themeColor="text1"/>
              <w:bottom w:val="nil"/>
            </w:tcBorders>
          </w:tcPr>
          <w:p w:rsidR="005B3DA4" w:rsidRPr="00754EE3" w:rsidRDefault="005B3DA4" w:rsidP="009607A3">
            <w:pPr>
              <w:tabs>
                <w:tab w:val="clear" w:pos="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Acidobacteria</w:t>
            </w:r>
            <w:proofErr w:type="spellEnd"/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1.03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left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Actinobacteria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0.64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0.23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0.32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5.41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Alphaproteobacteria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4.84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b/>
                <w:sz w:val="18"/>
                <w:szCs w:val="18"/>
              </w:rPr>
              <w:t>6.7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b/>
                <w:sz w:val="18"/>
                <w:szCs w:val="18"/>
              </w:rPr>
              <w:t>6.98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D853F1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53F1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27469D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7469D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27469D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7469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8C0BBF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C0B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8C0BBF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C0B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6.39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6219FD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219FD">
              <w:rPr>
                <w:rFonts w:ascii="Times New Roman" w:hAnsi="Times New Roman" w:cs="Times New Roman"/>
                <w:sz w:val="18"/>
                <w:szCs w:val="18"/>
              </w:rPr>
              <w:t>5.49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6219FD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219FD">
              <w:rPr>
                <w:rFonts w:ascii="Times New Roman" w:hAnsi="Times New Roman" w:cs="Times New Roman"/>
                <w:sz w:val="18"/>
                <w:szCs w:val="18"/>
              </w:rPr>
              <w:t>49.4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6219FD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219F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FF16D7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F16D7">
              <w:rPr>
                <w:rFonts w:ascii="Times New Roman" w:hAnsi="Times New Roman" w:cs="Times New Roman"/>
                <w:sz w:val="18"/>
                <w:szCs w:val="18"/>
              </w:rPr>
              <w:t>2.05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6219FD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219FD">
              <w:rPr>
                <w:rFonts w:ascii="Times New Roman" w:hAnsi="Times New Roman" w:cs="Times New Roman"/>
                <w:sz w:val="18"/>
                <w:szCs w:val="18"/>
              </w:rPr>
              <w:t>0.85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A0010C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010C">
              <w:rPr>
                <w:rFonts w:ascii="Times New Roman" w:hAnsi="Times New Roman" w:cs="Times New Roman"/>
                <w:sz w:val="18"/>
                <w:szCs w:val="18"/>
              </w:rPr>
              <w:t>11.7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A0010C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010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left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Aquificae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0.26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Bacteroidetes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8C0BBF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BBF">
              <w:rPr>
                <w:rFonts w:ascii="Times New Roman" w:hAnsi="Times New Roman" w:cs="Times New Roman"/>
                <w:b/>
                <w:sz w:val="18"/>
                <w:szCs w:val="18"/>
              </w:rPr>
              <w:t>0.27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3.90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5.06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left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Betaproteobacteria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19.2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1.09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2.07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0.69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Chlorobi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Chloroflexi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Chrysiogenetes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left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Cyanobacteria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0.29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Deferribacteres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left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Deinococcus-Thermus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Deltaproteobacteria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b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8C0BBF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C0BBF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8C0BBF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0.22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0.58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1F6E76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F6E76">
              <w:rPr>
                <w:rFonts w:ascii="Times New Roman" w:hAnsi="Times New Roman" w:cs="Times New Roman"/>
                <w:b/>
                <w:sz w:val="18"/>
                <w:szCs w:val="18"/>
              </w:rPr>
              <w:t>0.19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</w:tr>
      <w:tr w:rsidR="005B3DA4" w:rsidRPr="007E2280" w:rsidTr="009607A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left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Epsilonproteobacteria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b/>
                <w:sz w:val="18"/>
                <w:szCs w:val="18"/>
              </w:rPr>
              <w:t>0.2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27469D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469D">
              <w:rPr>
                <w:rFonts w:ascii="Times New Roman" w:hAnsi="Times New Roman" w:cs="Times New Roman"/>
                <w:b/>
                <w:sz w:val="18"/>
                <w:szCs w:val="18"/>
              </w:rPr>
              <w:t>0.32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1.49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Firmicutes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b/>
                <w:sz w:val="18"/>
                <w:szCs w:val="18"/>
              </w:rPr>
              <w:t>4.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A0010C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010C">
              <w:rPr>
                <w:rFonts w:ascii="Times New Roman" w:hAnsi="Times New Roman" w:cs="Times New Roman"/>
                <w:b/>
                <w:sz w:val="18"/>
                <w:szCs w:val="18"/>
              </w:rPr>
              <w:t>0.36</w:t>
            </w:r>
          </w:p>
        </w:tc>
      </w:tr>
      <w:tr w:rsidR="005B3DA4" w:rsidRPr="007E2280" w:rsidTr="009607A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Fornicata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Fusobacteria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Gammaproteobacteria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12.1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b/>
                <w:sz w:val="18"/>
                <w:szCs w:val="18"/>
              </w:rPr>
              <w:t>9.86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1.03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27469D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469D">
              <w:rPr>
                <w:rFonts w:ascii="Times New Roman" w:hAnsi="Times New Roman" w:cs="Times New Roman"/>
                <w:b/>
                <w:sz w:val="18"/>
                <w:szCs w:val="18"/>
              </w:rPr>
              <w:t>3.91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27469D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469D">
              <w:rPr>
                <w:rFonts w:ascii="Times New Roman" w:hAnsi="Times New Roman" w:cs="Times New Roman"/>
                <w:b/>
                <w:sz w:val="18"/>
                <w:szCs w:val="18"/>
              </w:rPr>
              <w:t>8.28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4.75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6219FD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219FD">
              <w:rPr>
                <w:rFonts w:ascii="Times New Roman" w:hAnsi="Times New Roman" w:cs="Times New Roman"/>
                <w:b/>
                <w:sz w:val="18"/>
                <w:szCs w:val="18"/>
              </w:rPr>
              <w:t>14.1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6219FD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219FD">
              <w:rPr>
                <w:rFonts w:ascii="Times New Roman" w:hAnsi="Times New Roman" w:cs="Times New Roman"/>
                <w:b/>
                <w:sz w:val="18"/>
                <w:szCs w:val="18"/>
              </w:rPr>
              <w:t>50.6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FF16D7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F16D7">
              <w:rPr>
                <w:rFonts w:ascii="Times New Roman" w:hAnsi="Times New Roman" w:cs="Times New Roman"/>
                <w:b/>
                <w:sz w:val="18"/>
                <w:szCs w:val="18"/>
              </w:rPr>
              <w:t>2.64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70A2D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0A2D">
              <w:rPr>
                <w:rFonts w:ascii="Times New Roman" w:hAnsi="Times New Roman" w:cs="Times New Roman"/>
                <w:b/>
                <w:sz w:val="18"/>
                <w:szCs w:val="18"/>
              </w:rPr>
              <w:t>22.4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A0010C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010C">
              <w:rPr>
                <w:rFonts w:ascii="Times New Roman" w:hAnsi="Times New Roman" w:cs="Times New Roman"/>
                <w:b/>
                <w:sz w:val="18"/>
                <w:szCs w:val="18"/>
              </w:rPr>
              <w:t>14.0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Nitrospirae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D853F1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D853F1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53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left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Planctomycetes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0.26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Spirochaetes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</w:tr>
      <w:tr w:rsidR="005B3DA4" w:rsidRPr="007E2280" w:rsidTr="009607A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Thermobaculum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Thermotogae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single" w:sz="8" w:space="0" w:color="000000" w:themeColor="text1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Verrucomicrobia</w:t>
            </w:r>
            <w:proofErr w:type="spellEnd"/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0.17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0.82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0.18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8" w:space="0" w:color="000000" w:themeColor="text1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Crenarchaeota</w:t>
            </w:r>
            <w:proofErr w:type="spellEnd"/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single" w:sz="8" w:space="0" w:color="000000" w:themeColor="text1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Euryarchaeota</w:t>
            </w:r>
            <w:proofErr w:type="spellEnd"/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8" w:space="0" w:color="000000" w:themeColor="text1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Alveolata</w:t>
            </w:r>
            <w:proofErr w:type="spellEnd"/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0.18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Euglenozoa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Opistokonta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Rhodophyta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nil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Stramenopiles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B3DA4" w:rsidRPr="007E2280" w:rsidTr="009607A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il"/>
              <w:bottom w:val="single" w:sz="8" w:space="0" w:color="000000" w:themeColor="text1"/>
            </w:tcBorders>
          </w:tcPr>
          <w:p w:rsidR="005B3DA4" w:rsidRPr="00754EE3" w:rsidRDefault="005B3DA4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Viridiplantae</w:t>
            </w:r>
            <w:proofErr w:type="spellEnd"/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b/>
                <w:sz w:val="18"/>
                <w:szCs w:val="18"/>
              </w:rPr>
              <w:t>3.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0.35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5B3DA4" w:rsidRPr="007E2280" w:rsidRDefault="005B3DA4" w:rsidP="009607A3">
            <w:pPr>
              <w:pStyle w:val="WW-Default"/>
              <w:spacing w:line="1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5B3DA4" w:rsidRDefault="005B3DA4" w:rsidP="005B3DA4">
      <w:pPr>
        <w:pStyle w:val="NoSpacing"/>
      </w:pPr>
    </w:p>
    <w:p w:rsidR="005B3DA4" w:rsidRPr="007E2280" w:rsidRDefault="005B3DA4" w:rsidP="005B3DA4">
      <w:pPr>
        <w:pStyle w:val="NoSpacing"/>
      </w:pPr>
      <w:r w:rsidRPr="006C0D9B">
        <w:rPr>
          <w:rFonts w:ascii="Times New Roman" w:hAnsi="Times New Roman" w:cs="Times New Roman"/>
          <w:sz w:val="24"/>
          <w:szCs w:val="24"/>
        </w:rPr>
        <w:lastRenderedPageBreak/>
        <w:t xml:space="preserve">The values shown for each taxon are the average number of matches from all samples to marker genes for a process expressed per 100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Mbp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metagenomic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sequence. </w:t>
      </w:r>
      <w:proofErr w:type="gramStart"/>
      <w:r w:rsidRPr="006C0D9B">
        <w:rPr>
          <w:rFonts w:ascii="Times New Roman" w:hAnsi="Times New Roman" w:cs="Times New Roman"/>
          <w:sz w:val="24"/>
          <w:szCs w:val="24"/>
        </w:rPr>
        <w:t>Counts from the taxonomic group with the greatest contribution to each process is</w:t>
      </w:r>
      <w:proofErr w:type="gramEnd"/>
      <w:r w:rsidRPr="006C0D9B">
        <w:rPr>
          <w:rFonts w:ascii="Times New Roman" w:hAnsi="Times New Roman" w:cs="Times New Roman"/>
          <w:sz w:val="24"/>
          <w:szCs w:val="24"/>
        </w:rPr>
        <w:t xml:space="preserve"> shown in bold. Genes used as markers for each process are the same as </w:t>
      </w:r>
      <w:r>
        <w:rPr>
          <w:rFonts w:ascii="Times New Roman" w:hAnsi="Times New Roman" w:cs="Times New Roman"/>
          <w:sz w:val="24"/>
          <w:szCs w:val="24"/>
        </w:rPr>
        <w:t>described</w:t>
      </w:r>
      <w:r w:rsidRPr="003D439F">
        <w:rPr>
          <w:rFonts w:ascii="Times New Roman" w:hAnsi="Times New Roman" w:cs="Times New Roman"/>
          <w:sz w:val="24"/>
          <w:szCs w:val="24"/>
        </w:rPr>
        <w:t xml:space="preserve"> in Figure 4.</w:t>
      </w:r>
    </w:p>
    <w:sectPr w:rsidR="005B3DA4" w:rsidRPr="007E2280" w:rsidSect="0031042D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charset w:val="80"/>
    <w:family w:val="swiss"/>
    <w:pitch w:val="variable"/>
    <w:sig w:usb0="802002AF" w:usb1="2BDFFCFB" w:usb2="00800016" w:usb3="00000000" w:csb0="001A0000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F44FE"/>
    <w:rsid w:val="000F4902"/>
    <w:rsid w:val="001234AC"/>
    <w:rsid w:val="001C5CAE"/>
    <w:rsid w:val="001C5D74"/>
    <w:rsid w:val="001F44FE"/>
    <w:rsid w:val="001F6E76"/>
    <w:rsid w:val="002235D6"/>
    <w:rsid w:val="00264CC2"/>
    <w:rsid w:val="0027469D"/>
    <w:rsid w:val="0031042D"/>
    <w:rsid w:val="0039185B"/>
    <w:rsid w:val="00394F83"/>
    <w:rsid w:val="004B1688"/>
    <w:rsid w:val="00586B20"/>
    <w:rsid w:val="005B3DA4"/>
    <w:rsid w:val="006219FD"/>
    <w:rsid w:val="00675652"/>
    <w:rsid w:val="00754EE3"/>
    <w:rsid w:val="00770A2D"/>
    <w:rsid w:val="007E2280"/>
    <w:rsid w:val="008630B4"/>
    <w:rsid w:val="00864D4F"/>
    <w:rsid w:val="008C0BBF"/>
    <w:rsid w:val="009113F1"/>
    <w:rsid w:val="00A0010C"/>
    <w:rsid w:val="00B97532"/>
    <w:rsid w:val="00C80A57"/>
    <w:rsid w:val="00CA7799"/>
    <w:rsid w:val="00D07DAF"/>
    <w:rsid w:val="00D47286"/>
    <w:rsid w:val="00D76E5C"/>
    <w:rsid w:val="00D853F1"/>
    <w:rsid w:val="00DB3106"/>
    <w:rsid w:val="00E85D6F"/>
    <w:rsid w:val="00F471BA"/>
    <w:rsid w:val="00FD062F"/>
    <w:rsid w:val="00FF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44FE"/>
    <w:pPr>
      <w:tabs>
        <w:tab w:val="left" w:pos="720"/>
      </w:tabs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1F44F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1F44FE"/>
    <w:pPr>
      <w:spacing w:after="120"/>
    </w:pPr>
  </w:style>
  <w:style w:type="paragraph" w:styleId="List">
    <w:name w:val="List"/>
    <w:basedOn w:val="Textbody"/>
    <w:rsid w:val="001F44FE"/>
    <w:rPr>
      <w:rFonts w:cs="Lohit Hindi"/>
    </w:rPr>
  </w:style>
  <w:style w:type="paragraph" w:styleId="Caption">
    <w:name w:val="caption"/>
    <w:basedOn w:val="Normal"/>
    <w:rsid w:val="001F44F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1F44FE"/>
    <w:pPr>
      <w:suppressLineNumbers/>
    </w:pPr>
    <w:rPr>
      <w:rFonts w:cs="Lohit Hindi"/>
    </w:rPr>
  </w:style>
  <w:style w:type="paragraph" w:customStyle="1" w:styleId="WW-Default">
    <w:name w:val="WW-Default"/>
    <w:rsid w:val="001F44FE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table" w:customStyle="1" w:styleId="LightShading-Accent11">
    <w:name w:val="Light Shading - Accent 11"/>
    <w:basedOn w:val="TableNormal"/>
    <w:uiPriority w:val="60"/>
    <w:rsid w:val="009113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113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9113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9113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9113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113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07DA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AF"/>
    <w:rPr>
      <w:rFonts w:ascii="Tahoma" w:eastAsia="Times New Roman" w:hAnsi="Tahoma" w:cs="Calibri"/>
      <w:sz w:val="16"/>
      <w:szCs w:val="16"/>
      <w:lang w:val="en-AU" w:eastAsia="ar-SA"/>
    </w:rPr>
  </w:style>
  <w:style w:type="paragraph" w:styleId="NoSpacing">
    <w:name w:val="No Spacing"/>
    <w:uiPriority w:val="1"/>
    <w:qFormat/>
    <w:rsid w:val="005B3DA4"/>
    <w:pPr>
      <w:tabs>
        <w:tab w:val="left" w:pos="720"/>
      </w:tabs>
      <w:suppressAutoHyphens/>
      <w:spacing w:after="0" w:line="240" w:lineRule="auto"/>
    </w:pPr>
    <w:rPr>
      <w:rFonts w:ascii="Calibri" w:eastAsia="Times New Roman" w:hAnsi="Calibri" w:cs="Calibri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User</cp:lastModifiedBy>
  <cp:revision>3</cp:revision>
  <dcterms:created xsi:type="dcterms:W3CDTF">2012-12-21T17:27:00Z</dcterms:created>
  <dcterms:modified xsi:type="dcterms:W3CDTF">2012-12-21T17:29:00Z</dcterms:modified>
</cp:coreProperties>
</file>