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1150"/>
        <w:gridCol w:w="1800"/>
        <w:gridCol w:w="4320"/>
        <w:gridCol w:w="3960"/>
        <w:gridCol w:w="1800"/>
      </w:tblGrid>
      <w:tr w:rsidR="00EB65D0" w:rsidRPr="002E3AA0" w:rsidTr="00712470">
        <w:trPr>
          <w:trHeight w:val="40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71247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712470">
              <w:rPr>
                <w:rFonts w:ascii="Times New Roman" w:hAnsi="Times New Roman" w:cs="Times New Roman"/>
                <w:sz w:val="20"/>
                <w:szCs w:val="20"/>
              </w:rPr>
              <w:t xml:space="preserve"> (%d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hysiological fea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ures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and notes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712470">
        <w:trPr>
          <w:cantSplit/>
          <w:trHeight w:val="1502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71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87664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</w:t>
            </w:r>
            <w:r w:rsidR="00106725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="006921A8">
              <w:rPr>
                <w:rFonts w:ascii="Times New Roman" w:hAnsi="Times New Roman" w:cs="Times New Roman"/>
                <w:iCs/>
                <w:sz w:val="20"/>
                <w:szCs w:val="20"/>
              </w:rPr>
              <w:t>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r w:rsidR="00405ED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B57B6" w:rsidRDefault="006B57B6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64D">
              <w:rPr>
                <w:rFonts w:ascii="Times New Roman" w:hAnsi="Times New Roman" w:cs="Times New Roman"/>
                <w:sz w:val="20"/>
                <w:szCs w:val="20"/>
              </w:rPr>
              <w:t>environments, particularly mats and anaerobic sediments. Organic Lake 16s distribution suggests anaerobic metabolism</w:t>
            </w:r>
          </w:p>
          <w:p w:rsidR="00106725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106725" w:rsidRPr="002E3AA0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6B57B6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E6aC02: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Sørensen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., 2005</w:t>
            </w:r>
          </w:p>
        </w:tc>
      </w:tr>
      <w:tr w:rsidR="006921A8" w:rsidRPr="002E3AA0" w:rsidTr="00712470">
        <w:trPr>
          <w:cantSplit/>
          <w:trHeight w:val="683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100+ environmental clones including marine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26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5475CC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5475CC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3E27AB" w:rsidRDefault="006921A8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 w:rsidR="003E27AB"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aerobes, capable of 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878" w:rsidRPr="00280878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  <w:proofErr w:type="spell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or organic acids.</w:t>
            </w:r>
          </w:p>
          <w:p w:rsidR="003E61A6" w:rsidRPr="002E3AA0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unclassified chloroplast</w:t>
            </w:r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F91847" w:rsidRPr="002E3AA0" w:rsidRDefault="00F91847" w:rsidP="004965D6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2062B8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 (3.0)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77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 (0.2)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 (0.06)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346A7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Photosynthetic, possibl</w:t>
            </w:r>
            <w:r w:rsidR="00AF7B49">
              <w:rPr>
                <w:rFonts w:ascii="Times New Roman" w:hAnsi="Times New Roman"/>
                <w:sz w:val="20"/>
                <w:szCs w:val="20"/>
              </w:rPr>
              <w:t xml:space="preserve">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 w:rsidR="00AF7B49"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Metazoa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Hexpoda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330B35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</w:t>
            </w:r>
            <w:r w:rsidR="00346A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359D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359D" w:rsidRPr="002E3AA0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3AA" w:rsidRPr="002E3AA0" w:rsidTr="00712470">
        <w:trPr>
          <w:trHeight w:val="26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D133AA" w:rsidRP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D538C"/>
    <w:rsid w:val="000E01D1"/>
    <w:rsid w:val="00106725"/>
    <w:rsid w:val="00140BC4"/>
    <w:rsid w:val="00164D4E"/>
    <w:rsid w:val="00173338"/>
    <w:rsid w:val="00186147"/>
    <w:rsid w:val="001D25B9"/>
    <w:rsid w:val="00213922"/>
    <w:rsid w:val="00226BD6"/>
    <w:rsid w:val="00247439"/>
    <w:rsid w:val="00256338"/>
    <w:rsid w:val="002714C6"/>
    <w:rsid w:val="00280878"/>
    <w:rsid w:val="00293842"/>
    <w:rsid w:val="002E3AA0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28F5"/>
    <w:rsid w:val="0059601F"/>
    <w:rsid w:val="005B3A12"/>
    <w:rsid w:val="005C4523"/>
    <w:rsid w:val="005F25EB"/>
    <w:rsid w:val="005F6101"/>
    <w:rsid w:val="00620791"/>
    <w:rsid w:val="006921A8"/>
    <w:rsid w:val="006B57B6"/>
    <w:rsid w:val="006D6A64"/>
    <w:rsid w:val="00712470"/>
    <w:rsid w:val="007C2A6B"/>
    <w:rsid w:val="007D79E5"/>
    <w:rsid w:val="00834C97"/>
    <w:rsid w:val="00835AD3"/>
    <w:rsid w:val="0087664D"/>
    <w:rsid w:val="008A2C6B"/>
    <w:rsid w:val="00960E5E"/>
    <w:rsid w:val="00971815"/>
    <w:rsid w:val="0097359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5700C"/>
    <w:rsid w:val="00BB5E7B"/>
    <w:rsid w:val="00BD42E2"/>
    <w:rsid w:val="00BD4BF3"/>
    <w:rsid w:val="00BE5891"/>
    <w:rsid w:val="00BF4ED3"/>
    <w:rsid w:val="00C01D53"/>
    <w:rsid w:val="00C0634C"/>
    <w:rsid w:val="00CE4B74"/>
    <w:rsid w:val="00CF57ED"/>
    <w:rsid w:val="00D133AA"/>
    <w:rsid w:val="00D148B7"/>
    <w:rsid w:val="00D32589"/>
    <w:rsid w:val="00D43EEE"/>
    <w:rsid w:val="00D65FE8"/>
    <w:rsid w:val="00D91178"/>
    <w:rsid w:val="00DC6266"/>
    <w:rsid w:val="00DF3BF6"/>
    <w:rsid w:val="00E575F9"/>
    <w:rsid w:val="00E578E7"/>
    <w:rsid w:val="00EB65D0"/>
    <w:rsid w:val="00EC1338"/>
    <w:rsid w:val="00EC3B29"/>
    <w:rsid w:val="00ED6424"/>
    <w:rsid w:val="00F5121B"/>
    <w:rsid w:val="00F56A97"/>
    <w:rsid w:val="00F91847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53</cp:revision>
  <dcterms:created xsi:type="dcterms:W3CDTF">2012-05-16T05:56:00Z</dcterms:created>
  <dcterms:modified xsi:type="dcterms:W3CDTF">2012-10-02T06:29:00Z</dcterms:modified>
</cp:coreProperties>
</file>