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Quote-to-Order — Cost per Opportunity</w:t>
      </w:r>
    </w:p>
    <w:p>
      <w:pPr>
        <w:spacing w:after="40"/>
      </w:pPr>
      <w:r>
        <w:rPr>
          <w:color w:val="595959"/>
          <w:sz w:val="26"/>
          <w:szCs w:val="26"/>
        </w:rPr>
        <w:t xml:space="preserve">Cost model, rates and measured runs</w:t>
      </w:r>
    </w:p>
    <w:p>
      <w:pPr>
        <w:pBdr>
          <w:bottom w:val="single" w:color="E60000" w:sz="18"/>
        </w:pBdr>
        <w:spacing w:after="200"/>
      </w:pPr>
      <w:r>
        <w:rPr>
          <w:sz w:val="2"/>
          <w:szCs w:val="2"/>
        </w:rPr>
        <w:t xml:space="preserve"/>
      </w:r>
    </w:p>
    <w:p>
      <w:pPr>
        <w:spacing w:after="240"/>
      </w:pPr>
      <w:r>
        <w:rPr>
          <w:i/>
          <w:iCs/>
          <w:color w:val="808080"/>
          <w:sz w:val="18"/>
          <w:szCs w:val="18"/>
        </w:rPr>
        <w:t xml:space="preserve">Region: europe-west1 (Belgium)  |  Model: Gemini 2.5 Pro  |  Cloud Run: 2 vCPU / 4 GiB, instance-based billing</w:t>
      </w:r>
    </w:p>
    <w:p>
      <w:pPr>
        <w:pStyle w:val="Heading1"/>
        <w:spacing w:after="120" w:before="240"/>
      </w:pPr>
      <w:r>
        <w:t xml:space="preserve">1. Scope and method</w:t>
      </w:r>
    </w:p>
    <w:p>
      <w:pPr>
        <w:spacing w:after="120" w:line="276"/>
      </w:pPr>
      <w:r>
        <w:rPr>
          <w:sz w:val="21"/>
          <w:szCs w:val="21"/>
        </w:rPr>
        <w:t xml:space="preserve">This report establishes the cloud cost of the Quote-to-Order solution. Cost is presented in two parts, reflecting how the services are actually billed:</w:t>
      </w:r>
    </w:p>
    <w:p>
      <w:pPr>
        <w:pStyle w:val="ListParagraph"/>
        <w:numPr>
          <w:ilvl w:val="0"/>
          <w:numId w:val="1"/>
        </w:numPr>
        <w:spacing w:after="80"/>
      </w:pPr>
      <w:r>
        <w:rPr>
          <w:sz w:val="20"/>
          <w:szCs w:val="20"/>
        </w:rPr>
        <w:t xml:space="preserve">Variable cost per opportunity — Gemini model tokens and BigQuery queries. These are consumed only when an opportunity is processed, and are measured directly by the application on each run.</w:t>
      </w:r>
    </w:p>
    <w:p>
      <w:pPr>
        <w:pStyle w:val="ListParagraph"/>
        <w:numPr>
          <w:ilvl w:val="0"/>
          <w:numId w:val="1"/>
        </w:numPr>
        <w:spacing w:after="120"/>
      </w:pPr>
      <w:r>
        <w:rPr>
          <w:sz w:val="20"/>
          <w:szCs w:val="20"/>
        </w:rPr>
        <w:t xml:space="preserve">Fixed platform cost per month — Cloud Run. Both services use instance-based billing (CPU always allocated), so the container is billed for its lifetime rather than per request. This is a standing cost independent of how many opportunities are processed.</w:t>
      </w:r>
    </w:p>
    <w:p>
      <w:pPr>
        <w:spacing w:after="120" w:line="276"/>
      </w:pPr>
      <w:r>
        <w:rPr>
          <w:sz w:val="21"/>
          <w:szCs w:val="21"/>
        </w:rPr>
        <w:t xml:space="preserve">Three representative opportunities were measured to give a range, since cost varies with the size of the opportunity (number of product lines and volume of documentation). An average is given at the end.</w:t>
      </w:r>
    </w:p>
    <w:p>
      <w:pPr>
        <w:pStyle w:val="Heading1"/>
        <w:spacing w:after="120" w:before="240"/>
      </w:pPr>
      <w:r>
        <w:t xml:space="preserve">2. Rates applied</w:t>
      </w:r>
    </w:p>
    <w:p>
      <w:pPr>
        <w:spacing w:after="120" w:line="276"/>
      </w:pPr>
      <w:r>
        <w:rPr>
          <w:sz w:val="21"/>
          <w:szCs w:val="21"/>
        </w:rPr>
        <w:t xml:space="preserve">All rates are published list prices for europe-west1, in USD.</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900"/>
        <w:gridCol w:w="2600"/>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Service</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Unit rate</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Source</w:t>
            </w:r>
          </w:p>
        </w:tc>
      </w:tr>
      <w:tr>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2.5 Pro — input (prompt ≤ 200k tokens)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$1.25 per 1M tokens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hyperlink w:history="1" r:id="rIdxa1_7jbyuz-h1sklvcjsb">
              <w:r>
                <w:rPr>
                  <w:rStyle w:val="Hyperlink"/>
                  <w:sz w:val="16"/>
                  <w:szCs w:val="16"/>
                </w:rPr>
                <w:t xml:space="preserve">Gemini API pricing</w:t>
              </w:r>
            </w:hyperlink>
          </w:p>
        </w:tc>
      </w:tr>
      <w:tr>
        <w:tc>
          <w:tcPr>
            <w:tcW w:type="dxa" w:w="3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2.5 Pro — output (prompt ≤ 200k tokens)</w:t>
            </w:r>
          </w:p>
        </w:tc>
        <w:tc>
          <w:tcPr>
            <w:tcW w:type="dxa" w:w="2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$10.00 per 1M tokens</w:t>
            </w: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hyperlink w:history="1" r:id="rIdhuayawkkoag73mvwy9tta">
              <w:r>
                <w:rPr>
                  <w:rStyle w:val="Hyperlink"/>
                  <w:sz w:val="16"/>
                  <w:szCs w:val="16"/>
                </w:rPr>
                <w:t xml:space="preserve">Gemini API pricing</w:t>
              </w:r>
            </w:hyperlink>
          </w:p>
        </w:tc>
      </w:tr>
      <w:tr>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2.5 Pro — input (prompt &gt; 200k tokens)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$2.50 per 1M tokens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hyperlink w:history="1" r:id="rIdycompiv0pbqpmbvtpq3cb">
              <w:r>
                <w:rPr>
                  <w:rStyle w:val="Hyperlink"/>
                  <w:sz w:val="16"/>
                  <w:szCs w:val="16"/>
                </w:rPr>
                <w:t xml:space="preserve">Gemini API pricing</w:t>
              </w:r>
            </w:hyperlink>
          </w:p>
        </w:tc>
      </w:tr>
      <w:tr>
        <w:tc>
          <w:tcPr>
            <w:tcW w:type="dxa" w:w="3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2.5 Pro — output (prompt &gt; 200k tokens)</w:t>
            </w:r>
          </w:p>
        </w:tc>
        <w:tc>
          <w:tcPr>
            <w:tcW w:type="dxa" w:w="2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$15.00 per 1M tokens</w:t>
            </w: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hyperlink w:history="1" r:id="rIdg2hxl24knx0xux2evke8t">
              <w:r>
                <w:rPr>
                  <w:rStyle w:val="Hyperlink"/>
                  <w:sz w:val="16"/>
                  <w:szCs w:val="16"/>
                </w:rPr>
                <w:t xml:space="preserve">Gemini API pricing</w:t>
              </w:r>
            </w:hyperlink>
          </w:p>
        </w:tc>
      </w:tr>
      <w:tr>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Cloud Run — CPU (instance-based)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$0.000018 per vCPU-second</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hyperlink w:history="1" r:id="rIddb-h9jbeultitqcb5gd2h">
              <w:r>
                <w:rPr>
                  <w:rStyle w:val="Hyperlink"/>
                  <w:sz w:val="16"/>
                  <w:szCs w:val="16"/>
                </w:rPr>
                <w:t xml:space="preserve">Cloud Run pricing</w:t>
              </w:r>
            </w:hyperlink>
          </w:p>
        </w:tc>
      </w:tr>
      <w:tr>
        <w:tc>
          <w:tcPr>
            <w:tcW w:type="dxa" w:w="3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Cloud Run — memory (instance-based)</w:t>
            </w:r>
          </w:p>
        </w:tc>
        <w:tc>
          <w:tcPr>
            <w:tcW w:type="dxa" w:w="2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$0.000002 per GiB-second</w:t>
            </w: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hyperlink w:history="1" r:id="rIdzjeqg0tol3fd5ab12h6jb">
              <w:r>
                <w:rPr>
                  <w:rStyle w:val="Hyperlink"/>
                  <w:sz w:val="16"/>
                  <w:szCs w:val="16"/>
                </w:rPr>
                <w:t xml:space="preserve">Cloud Run pricing</w:t>
              </w:r>
            </w:hyperlink>
          </w:p>
        </w:tc>
      </w:tr>
      <w:tr>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queries (on-demand)</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$7.50 per TiB scanned</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hyperlink w:history="1" r:id="rIdvzrx3e2alcr6wwc-i7jpj">
              <w:r>
                <w:rPr>
                  <w:rStyle w:val="Hyperlink"/>
                  <w:sz w:val="16"/>
                  <w:szCs w:val="16"/>
                </w:rPr>
                <w:t xml:space="preserve">BigQuery pricing</w:t>
              </w:r>
            </w:hyperlink>
          </w:p>
        </w:tc>
      </w:tr>
      <w:tr>
        <w:tc>
          <w:tcPr>
            <w:tcW w:type="dxa" w:w="3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BigQuery — minimum per query</w:t>
            </w:r>
          </w:p>
        </w:tc>
        <w:tc>
          <w:tcPr>
            <w:tcW w:type="dxa" w:w="29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10 MB billed per table referenced</w:t>
            </w: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hyperlink w:history="1" r:id="rIdo1udgbk4ppqb0u2tsit_z">
              <w:r>
                <w:rPr>
                  <w:rStyle w:val="Hyperlink"/>
                  <w:sz w:val="16"/>
                  <w:szCs w:val="16"/>
                </w:rPr>
                <w:t xml:space="preserve">BigQuery pricing</w:t>
              </w:r>
            </w:hyperlink>
          </w:p>
        </w:tc>
      </w:tr>
      <w:tr>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batch load (writes)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Free (shared slot pool)</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hyperlink w:history="1" r:id="rIdwmiaifg8n1aw0vdw1bdww">
              <w:r>
                <w:rPr>
                  <w:rStyle w:val="Hyperlink"/>
                  <w:sz w:val="16"/>
                  <w:szCs w:val="16"/>
                </w:rPr>
                <w:t xml:space="preserve">BigQuery pricing</w:t>
              </w:r>
            </w:hyperlink>
          </w:p>
        </w:tc>
      </w:tr>
    </w:tbl>
    <w:p>
      <w:pPr>
        <w:spacing w:after="120" w:line="276"/>
      </w:pPr>
      <w:r>
        <w:rPr>
          <w:sz w:val="21"/>
          <w:szCs w:val="21"/>
        </w:rPr>
        <w:t xml:space="preserve"/>
      </w:r>
    </w:p>
    <w:p>
      <w:pPr>
        <w:spacing w:after="120" w:line="276"/>
      </w:pPr>
      <w:r>
        <w:rPr>
          <w:i/>
          <w:iCs/>
          <w:sz w:val="18"/>
          <w:szCs w:val="18"/>
        </w:rPr>
        <w:t xml:space="preserve">Free tiers are not applied in the per-opportunity figures below, so each run shows its full marginal cost. In practice the first 1 TiB of BigQuery queries per month, and the Cloud Run monthly CPU and memory allowances, are free.</w:t>
      </w:r>
    </w:p>
    <w:p>
      <w:r>
        <w:br w:type="page"/>
      </w:r>
    </w:p>
    <w:p>
      <w:pPr>
        <w:pStyle w:val="Heading1"/>
        <w:spacing w:after="120" w:before="240"/>
      </w:pPr>
      <w:r>
        <w:t xml:space="preserve">3. Measured runs</w:t>
      </w:r>
    </w:p>
    <w:p>
      <w:pPr>
        <w:spacing w:after="120" w:line="276"/>
      </w:pPr>
      <w:r>
        <w:rPr>
          <w:sz w:val="21"/>
          <w:szCs w:val="21"/>
        </w:rPr>
        <w:t xml:space="preserve">Each table records one opportunity. Measured values are captured automatically by the application; cost is measured value × the unit rate above.</w:t>
      </w:r>
    </w:p>
    <w:p>
      <w:pPr>
        <w:pStyle w:val="Heading2"/>
        <w:spacing w:after="120" w:before="240"/>
      </w:pPr>
      <w:r>
        <w:t xml:space="preserve">3.1 Opportunity 1 — OPP0007063044</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3400"/>
        <w:gridCol w:w="1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Service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Measured</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Calculation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Cost (USD)</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 input tokens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145,372</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0.181715</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 output tokens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1,542</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0.015420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queries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 queries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MB billed ÷ 1 TiB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BigQuery — writes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2 rows (~0.64 KB)</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batch load — not charged</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Cloud Storage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immaterial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TOTAL variable cost</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0.197135</w:t>
            </w:r>
          </w:p>
        </w:tc>
      </w:tr>
    </w:tbl>
    <w:p>
      <w:pPr>
        <w:spacing w:after="120" w:line="276"/>
      </w:pPr>
      <w:r>
        <w:rPr>
          <w:sz w:val="21"/>
          <w:szCs w:val="21"/>
        </w:rPr>
        <w:t xml:space="preserve"/>
      </w:r>
    </w:p>
    <w:p>
      <w:pPr>
        <w:pStyle w:val="Heading2"/>
        <w:spacing w:after="120" w:before="240"/>
      </w:pPr>
      <w:r>
        <w:t xml:space="preserve">3.2 Opportunity 2 — OPP0006828068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3400"/>
        <w:gridCol w:w="1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Service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Measured</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Calculation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Cost (USD)</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 input tokens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62,451</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0.078064</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 output tokens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4,250</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0.042500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queries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 queries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MB billed ÷ 1 TiB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BigQuery — writes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11 rows (~3.32 KB)</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batch load — not charged</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Cloud Storage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immaterial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TOTAL variable cost</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0.120564</w:t>
            </w:r>
          </w:p>
        </w:tc>
      </w:tr>
    </w:tbl>
    <w:p>
      <w:pPr>
        <w:spacing w:after="120" w:line="276"/>
      </w:pPr>
      <w:r>
        <w:rPr>
          <w:sz w:val="21"/>
          <w:szCs w:val="21"/>
        </w:rPr>
        <w:t xml:space="preserve"/>
      </w:r>
    </w:p>
    <w:p>
      <w:pPr>
        <w:pStyle w:val="Heading2"/>
        <w:spacing w:after="120" w:before="240"/>
      </w:pPr>
      <w:r>
        <w:t xml:space="preserve">3.3 Opportunity 3 — OPP0006991522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3400"/>
        <w:gridCol w:w="1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Service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Measured</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Calculation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Cost (USD)</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 input tokens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66,307</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0.082884</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 output tokens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2,715</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tokens ÷ 1,000,000 × rate</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0.027150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queries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 queries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MB billed ÷ 1 TiB × rate</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BigQuery — writes</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5 rows (~1.8 KB)</w:t>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batch load — not charged</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Cloud Storage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immaterial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TOTAL variable cost</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0.110034</w:t>
            </w:r>
          </w:p>
        </w:tc>
      </w:tr>
    </w:tbl>
    <w:p>
      <w:pPr>
        <w:spacing w:after="120" w:line="276"/>
      </w:pPr>
      <w:r>
        <w:rPr>
          <w:sz w:val="21"/>
          <w:szCs w:val="21"/>
        </w:rPr>
        <w:t xml:space="preserve"/>
      </w:r>
    </w:p>
    <w:p>
      <w:pPr>
        <w:pStyle w:val="Heading1"/>
        <w:spacing w:after="120" w:before="240"/>
      </w:pPr>
      <w:r>
        <w:t xml:space="preserve">4. Average variable cost per opportunity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1500"/>
        <w:gridCol w:w="1500"/>
        <w:gridCol w:w="1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Service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Opp 1</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Opp 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Opp 3</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Average</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 of total</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Gemini — input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0.181715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0.078064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0.082884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0.114221</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80.1%</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Gemini — output</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0.015420</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0.042500</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0.027150</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0.028357</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19.9%</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BigQuery — queries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0.000000</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TOTAL variable per opportunity</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0.197135</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0.120564</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0.110034</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0.142578</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100%</w:t>
            </w:r>
          </w:p>
        </w:tc>
      </w:tr>
    </w:tbl>
    <w:p>
      <w:pPr>
        <w:spacing w:after="120" w:line="276"/>
      </w:pPr>
      <w:r>
        <w:rPr>
          <w:sz w:val="21"/>
          <w:szCs w:val="21"/>
        </w:rPr>
        <w:t xml:space="preserve"/>
      </w:r>
    </w:p>
    <w:p>
      <w:pPr>
        <w:pStyle w:val="Heading1"/>
        <w:spacing w:after="120" w:before="240"/>
      </w:pPr>
      <w:r>
        <w:t xml:space="preserve">5. Fixed platform cost — Cloud Run</w:t>
      </w:r>
    </w:p>
    <w:p>
      <w:pPr>
        <w:spacing w:after="120" w:line="276"/>
      </w:pPr>
      <w:r>
        <w:rPr>
          <w:sz w:val="21"/>
          <w:szCs w:val="21"/>
        </w:rPr>
        <w:t xml:space="preserve">Both the frontend and backend services are configured with 2 vCPU and 4 GiB and use instance-based billing (CPU always allocated). Under this model Cloud Run charges for the time an instance exists, not per request — there is no per-request charge. Cost therefore depends on how long instances stay alive, not on the number of opportunities processed.</w:t>
      </w:r>
    </w:p>
    <w:p>
      <w:pPr>
        <w:spacing w:after="120" w:line="276"/>
      </w:pPr>
      <w:r>
        <w:rPr>
          <w:sz w:val="21"/>
          <w:szCs w:val="21"/>
        </w:rPr>
        <w:t xml:space="preserve">Hourly rate per running instance: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00"/>
        <w:gridCol w:w="20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Component</w:t>
            </w:r>
          </w:p>
        </w:tc>
        <w:tc>
          <w:tcPr>
            <w:tcW w:type="dxa" w:w="3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Calculation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Cost per hour (USD)</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CPU</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2 vCPU × $0.000018 × 3,600 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0.1296</w:t>
            </w:r>
          </w:p>
        </w:tc>
      </w:tr>
      <w:tr>
        <w:tc>
          <w:tcPr>
            <w:tcW w:type="dxa" w:w="30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Memory</w:t>
            </w:r>
          </w:p>
        </w:tc>
        <w:tc>
          <w:tcPr>
            <w:tcW w:type="dxa" w:w="38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4 GiB × $0.000002 × 3,600 s</w:t>
            </w:r>
          </w:p>
        </w:tc>
        <w:tc>
          <w:tcPr>
            <w:tcW w:type="dxa" w:w="20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0.0288</w:t>
            </w:r>
          </w:p>
        </w:tc>
      </w:tr>
      <w:t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Per instance-hour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0.1584</w:t>
            </w:r>
          </w:p>
        </w:tc>
      </w:tr>
    </w:tbl>
    <w:p>
      <w:pPr>
        <w:spacing w:after="120" w:line="276"/>
      </w:pPr>
      <w:r>
        <w:rPr>
          <w:sz w:val="21"/>
          <w:szCs w:val="21"/>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1600"/>
        <w:gridCol w:w="1600"/>
        <w:gridCol w:w="1600"/>
      </w:tblGrid>
      <w:tr>
        <w:trPr>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Scenario</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Instance-hours per month</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Backend (USD)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Frontend (USD)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Total (USD)</w:t>
            </w:r>
          </w:p>
        </w:tc>
      </w:tr>
      <w:t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One instance always on (both services)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730</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115.63</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115.63</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231.26</w:t>
            </w:r>
          </w:p>
        </w:tc>
      </w:tr>
      <w:tr>
        <w:tc>
          <w:tcPr>
            <w:tcW w:type="dxa" w:w="3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Business hours only (approx. 180 h)</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180</w:t>
            </w:r>
          </w:p>
        </w:tc>
        <w:tc>
          <w:tcPr>
            <w:tcW w:type="dxa" w:w="1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28.51</w:t>
            </w:r>
          </w:p>
        </w:tc>
        <w:tc>
          <w:tcPr>
            <w:tcW w:type="dxa" w:w="1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28.51</w:t>
            </w:r>
          </w:p>
        </w:tc>
        <w:tc>
          <w:tcPr>
            <w:tcW w:type="dxa" w:w="1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57.02</w:t>
            </w:r>
          </w:p>
        </w:tc>
      </w:tr>
      <w:t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Scale-to-zero (billed only while active)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usage-dependent (~0.067 hr/opportunity, both services)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≈$0.0053/opportunity</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≈$0.0053/opportunity</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≈$0.0106/opportunity</w:t>
            </w:r>
          </w:p>
        </w:tc>
      </w:tr>
    </w:tbl>
    <w:p>
      <w:pPr>
        <w:spacing w:after="120" w:line="276"/>
      </w:pPr>
      <w:r>
        <w:rPr>
          <w:sz w:val="21"/>
          <w:szCs w:val="21"/>
        </w:rPr>
        <w:t xml:space="preserve"/>
      </w:r>
    </w:p>
    <w:p>
      <w:pPr>
        <w:spacing w:after="120" w:line="276"/>
      </w:pPr>
      <w:r>
        <w:rPr>
          <w:i/>
          <w:iCs/>
          <w:sz w:val="18"/>
          <w:szCs w:val="18"/>
        </w:rPr>
        <w:t xml:space="preserve">Note: min-instances = 0, max-instances = 20 confirmed on both services, so the applicable row is “Scale-to-zero.” The “always on” and “business hours” rows above are shown only as reference points for what a standing-instance deployment would cost, not the current configuration.</w:t>
      </w:r>
    </w:p>
    <w:p>
      <w:pPr>
        <w:pStyle w:val="Heading1"/>
        <w:spacing w:after="120" w:before="240"/>
      </w:pPr>
      <w:r>
        <w:t xml:space="preserve">6. Volume projection</w:t>
      </w:r>
    </w:p>
    <w:p>
      <w:pPr>
        <w:spacing w:after="120" w:line="276"/>
      </w:pPr>
      <w:r>
        <w:rPr>
          <w:sz w:val="21"/>
          <w:szCs w:val="21"/>
        </w:rPr>
        <w:t xml:space="preserve">Total monthly cost = fixed Cloud Run cost + (variable cost per opportunity × volume), before free-tier allowances.</w:t>
      </w:r>
    </w:p>
    <w:p>
      <w:pPr>
        <w:spacing w:after="120" w:line="276"/>
      </w:pPr>
      <w:r>
        <w:rPr>
          <w:i/>
          <w:iCs/>
          <w:sz w:val="18"/>
          <w:szCs w:val="18"/>
        </w:rPr>
        <w:t xml:space="preserve">Confirmed: min-instances = 0, max-instances = 20 on both services. Under this setting there is no standing monthly fee — Cloud Run only bills for the seconds an instance is actually processing a request. The Fixed Cloud Run column below is therefore $0.00; the Cloud Run cost instead appears inside the variable cost per opportunity, estimated from the average measured run duration (121 s across backend + frontend) ≈ $0.0106/opportunity. This is an upper-bound estimate: it assumes opportunities are processed one at a time with no overlap. If multiple opportunities share a warm instance (concurrency is 80), actual Cloud Run cost would be lower. Cold-start latency on the first request after idling is not included.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400"/>
        <w:gridCol w:w="18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Opportunities per month</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Variable cost (USD)</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Fixed Cloud Run (USD)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b/>
                <w:bCs/>
                <w:sz w:val="18"/>
                <w:szCs w:val="18"/>
              </w:rPr>
              <w:t xml:space="preserve">Total (USD)</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100</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15.32</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15.32</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500</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76.61</w:t>
            </w:r>
          </w:p>
        </w:tc>
        <w:tc>
          <w:tcPr>
            <w:tcW w:type="dxa" w:w="2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76.61</w:t>
            </w:r>
          </w:p>
        </w:tc>
      </w:tr>
      <w:t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1,000</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153.23</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0.00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7"/>
                <w:szCs w:val="17"/>
              </w:rPr>
              <w:t xml:space="preserve">153.23</w:t>
            </w:r>
          </w:p>
        </w:tc>
      </w:tr>
      <w:tr>
        <w:tc>
          <w:tcPr>
            <w:tcW w:type="dxa" w:w="26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5,000</w:t>
            </w:r>
          </w:p>
        </w:tc>
        <w:tc>
          <w:tcPr>
            <w:tcW w:type="dxa" w:w="22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766.13</w:t>
            </w:r>
          </w:p>
        </w:tc>
        <w:tc>
          <w:tcPr>
            <w:tcW w:type="dxa" w:w="24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0.00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80"/>
              <w:bottom w:type="dxa" w:w="50"/>
              <w:right w:type="dxa" w:w="80"/>
            </w:tcMar>
          </w:tcPr>
          <w:p>
            <w:r>
              <w:rPr>
                <w:sz w:val="17"/>
                <w:szCs w:val="17"/>
              </w:rPr>
              <w:t xml:space="preserve">766.13</w:t>
            </w:r>
          </w:p>
        </w:tc>
      </w:tr>
    </w:tbl>
    <w:p>
      <w:pPr>
        <w:spacing w:after="120" w:line="276"/>
      </w:pPr>
      <w:r>
        <w:rPr>
          <w:sz w:val="21"/>
          <w:szCs w:val="21"/>
        </w:rPr>
        <w:t xml:space="preserve"/>
      </w:r>
    </w:p>
    <w:p>
      <w:pPr>
        <w:pStyle w:val="Heading1"/>
        <w:spacing w:after="120" w:before="240"/>
      </w:pPr>
      <w:r>
        <w:t xml:space="preserve">7. Notes and assumptions</w:t>
      </w:r>
    </w:p>
    <w:p>
      <w:pPr>
        <w:pStyle w:val="ListParagraph"/>
        <w:numPr>
          <w:ilvl w:val="0"/>
          <w:numId w:val="1"/>
        </w:numPr>
        <w:spacing w:after="80" w:line="264"/>
      </w:pPr>
      <w:r>
        <w:rPr>
          <w:sz w:val="20"/>
          <w:szCs w:val="20"/>
        </w:rPr>
        <w:t xml:space="preserve">Rates are published list prices; any negotiated Vodafone discount would reduce these figures.</w:t>
      </w:r>
    </w:p>
    <w:p>
      <w:pPr>
        <w:pStyle w:val="ListParagraph"/>
        <w:numPr>
          <w:ilvl w:val="0"/>
          <w:numId w:val="1"/>
        </w:numPr>
        <w:spacing w:after="80" w:line="264"/>
      </w:pPr>
      <w:r>
        <w:rPr>
          <w:sz w:val="20"/>
          <w:szCs w:val="20"/>
        </w:rPr>
        <w:t xml:space="preserve">Cloud Run uses instance-based billing (CPU always allocated), so it is billed for instance lifetime and not per request. It is therefore reported as a fixed monthly platform cost rather than apportioned per opportunity. Container concurrency is 80, so a single instance can serve many opportunities at no additional cost.</w:t>
      </w:r>
    </w:p>
    <w:p>
      <w:pPr>
        <w:pStyle w:val="ListParagraph"/>
        <w:numPr>
          <w:ilvl w:val="0"/>
          <w:numId w:val="1"/>
        </w:numPr>
        <w:spacing w:after="80" w:line="264"/>
      </w:pPr>
      <w:r>
        <w:rPr>
          <w:sz w:val="20"/>
          <w:szCs w:val="20"/>
        </w:rPr>
        <w:t xml:space="preserve">BigQuery bills a minimum of 10 MB per table referenced per query. The Product Code Navigator issues one lookup per product line, so billed volume is driven by the number of queries rather than the data actually scanned.</w:t>
      </w:r>
    </w:p>
    <w:p>
      <w:pPr>
        <w:pStyle w:val="ListParagraph"/>
        <w:numPr>
          <w:ilvl w:val="0"/>
          <w:numId w:val="1"/>
        </w:numPr>
        <w:spacing w:after="80" w:line="264"/>
      </w:pPr>
      <w:r>
        <w:rPr>
          <w:sz w:val="20"/>
          <w:szCs w:val="20"/>
        </w:rPr>
        <w:t xml:space="preserve">BigQuery writes (sales order and rows) use batch loading and are not charged.</w:t>
      </w:r>
    </w:p>
    <w:p>
      <w:pPr>
        <w:pStyle w:val="ListParagraph"/>
        <w:numPr>
          <w:ilvl w:val="0"/>
          <w:numId w:val="1"/>
        </w:numPr>
        <w:spacing w:after="80" w:line="264"/>
      </w:pPr>
      <w:r>
        <w:rPr>
          <w:sz w:val="20"/>
          <w:szCs w:val="20"/>
        </w:rPr>
        <w:t xml:space="preserve">Cloud Storage usage (documents read, application logs written) is immaterial at this volume and is shown as zero.</w:t>
      </w:r>
    </w:p>
    <w:p>
      <w:pPr>
        <w:pStyle w:val="ListParagraph"/>
        <w:numPr>
          <w:ilvl w:val="0"/>
          <w:numId w:val="1"/>
        </w:numPr>
        <w:spacing w:after="80" w:line="264"/>
      </w:pPr>
      <w:r>
        <w:rPr>
          <w:sz w:val="20"/>
          <w:szCs w:val="20"/>
        </w:rPr>
        <w:t xml:space="preserve">Gemini rates switch to the higher tier automatically for prompts above 200,000 tokens; the tier applied is recorded on each run.</w:t>
      </w:r>
    </w:p>
    <w:p>
      <w:pPr>
        <w:pStyle w:val="Heading1"/>
        <w:spacing w:after="120" w:before="240"/>
      </w:pPr>
      <w:r>
        <w:t xml:space="preserve">8. Sources</w:t>
      </w:r>
    </w:p>
    <w:p>
      <w:pPr>
        <w:spacing w:after="80"/>
      </w:pPr>
      <w:r>
        <w:rPr>
          <w:sz w:val="20"/>
          <w:szCs w:val="20"/>
        </w:rPr>
        <w:t xml:space="preserve">Google Cloud — BigQuery pricing: </w:t>
      </w:r>
      <w:hyperlink w:history="1" r:id="rIdmtj3a_qxqhcshp4sypjlo">
        <w:r>
          <w:rPr>
            <w:rStyle w:val="Hyperlink"/>
            <w:sz w:val="18"/>
            <w:szCs w:val="18"/>
          </w:rPr>
          <w:t xml:space="preserve">https://cloud.google.com/bigquery/pricing</w:t>
        </w:r>
      </w:hyperlink>
    </w:p>
    <w:p>
      <w:pPr>
        <w:spacing w:after="80"/>
      </w:pPr>
      <w:r>
        <w:rPr>
          <w:sz w:val="20"/>
          <w:szCs w:val="20"/>
        </w:rPr>
        <w:t xml:space="preserve">Google — Gemini API pricing: </w:t>
      </w:r>
      <w:hyperlink w:history="1" r:id="rIdtxhzhzc035puafuwtms4r">
        <w:r>
          <w:rPr>
            <w:rStyle w:val="Hyperlink"/>
            <w:sz w:val="18"/>
            <w:szCs w:val="18"/>
          </w:rPr>
          <w:t xml:space="preserve">https://ai.google.dev/gemini-api/docs/pricing</w:t>
        </w:r>
      </w:hyperlink>
    </w:p>
    <w:p>
      <w:pPr>
        <w:spacing w:after="80"/>
      </w:pPr>
      <w:r>
        <w:rPr>
          <w:sz w:val="20"/>
          <w:szCs w:val="20"/>
        </w:rPr>
        <w:t xml:space="preserve">Google Cloud — Cloud Run pricing: </w:t>
      </w:r>
      <w:hyperlink w:history="1" r:id="rIdcp7ttsbwe7fvr5byijlcj">
        <w:r>
          <w:rPr>
            <w:rStyle w:val="Hyperlink"/>
            <w:sz w:val="18"/>
            <w:szCs w:val="18"/>
          </w:rPr>
          <w:t xml:space="preserve">https://cloud.google.com/run/pricing</w:t>
        </w:r>
      </w:hyperlink>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Quote-to-Order  |  Cost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a1_7jbyuz-h1sklvcjsb" Type="http://schemas.openxmlformats.org/officeDocument/2006/relationships/hyperlink" Target="https://ai.google.dev/gemini-api/docs/pricing" TargetMode="External"/><Relationship Id="rIdhuayawkkoag73mvwy9tta" Type="http://schemas.openxmlformats.org/officeDocument/2006/relationships/hyperlink" Target="https://ai.google.dev/gemini-api/docs/pricing" TargetMode="External"/><Relationship Id="rIdycompiv0pbqpmbvtpq3cb" Type="http://schemas.openxmlformats.org/officeDocument/2006/relationships/hyperlink" Target="https://ai.google.dev/gemini-api/docs/pricing" TargetMode="External"/><Relationship Id="rIdg2hxl24knx0xux2evke8t" Type="http://schemas.openxmlformats.org/officeDocument/2006/relationships/hyperlink" Target="https://ai.google.dev/gemini-api/docs/pricing" TargetMode="External"/><Relationship Id="rIddb-h9jbeultitqcb5gd2h" Type="http://schemas.openxmlformats.org/officeDocument/2006/relationships/hyperlink" Target="https://cloud.google.com/run/pricing" TargetMode="External"/><Relationship Id="rIdzjeqg0tol3fd5ab12h6jb" Type="http://schemas.openxmlformats.org/officeDocument/2006/relationships/hyperlink" Target="https://cloud.google.com/run/pricing" TargetMode="External"/><Relationship Id="rIdvzrx3e2alcr6wwc-i7jpj" Type="http://schemas.openxmlformats.org/officeDocument/2006/relationships/hyperlink" Target="https://cloud.google.com/bigquery/pricing" TargetMode="External"/><Relationship Id="rIdo1udgbk4ppqb0u2tsit_z" Type="http://schemas.openxmlformats.org/officeDocument/2006/relationships/hyperlink" Target="https://cloud.google.com/bigquery/pricing" TargetMode="External"/><Relationship Id="rIdwmiaifg8n1aw0vdw1bdww" Type="http://schemas.openxmlformats.org/officeDocument/2006/relationships/hyperlink" Target="https://cloud.google.com/bigquery/pricing" TargetMode="External"/><Relationship Id="rIdmtj3a_qxqhcshp4sypjlo" Type="http://schemas.openxmlformats.org/officeDocument/2006/relationships/hyperlink" Target="https://cloud.google.com/bigquery/pricing" TargetMode="External"/><Relationship Id="rIdtxhzhzc035puafuwtms4r" Type="http://schemas.openxmlformats.org/officeDocument/2006/relationships/hyperlink" Target="https://ai.google.dev/gemini-api/docs/pricing" TargetMode="External"/><Relationship Id="rIdcp7ttsbwe7fvr5byijlcj" Type="http://schemas.openxmlformats.org/officeDocument/2006/relationships/hyperlink" Target="https://cloud.google.com/run/pricin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Quote-to-Order Cost per Opportunity</dc:title>
  <dc:creator>Vodafone</dc:creator>
  <cp:lastModifiedBy>Un-named</cp:lastModifiedBy>
  <cp:revision>1</cp:revision>
  <dcterms:created xsi:type="dcterms:W3CDTF">2026-09-09T09:57:46.115Z</dcterms:created>
  <dcterms:modified xsi:type="dcterms:W3CDTF">2026-09-09T09:57:46.115Z</dcterms:modified>
</cp:coreProperties>
</file>

<file path=docProps/custom.xml><?xml version="1.0" encoding="utf-8"?>
<Properties xmlns="http://schemas.openxmlformats.org/officeDocument/2006/custom-properties" xmlns:vt="http://schemas.openxmlformats.org/officeDocument/2006/docPropsVTypes"/>
</file>