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60695" w14:textId="77777777" w:rsidR="00464847" w:rsidRDefault="00464847" w:rsidP="00464847">
      <w:pPr>
        <w:pStyle w:val="Heading1"/>
      </w:pPr>
      <w:r>
        <w:t>Our Services</w:t>
      </w:r>
    </w:p>
    <w:p w14:paraId="43F75274" w14:textId="3E4B3A4F" w:rsidR="00464847" w:rsidRDefault="00464847" w:rsidP="00F053BE">
      <w:pPr>
        <w:pStyle w:val="NormalWeb"/>
        <w:jc w:val="both"/>
      </w:pPr>
      <w:r>
        <w:t>We are an independent regulatory and compliance consultancy serving licensed corporations, investment managers</w:t>
      </w:r>
      <w:r>
        <w:t xml:space="preserve"> </w:t>
      </w:r>
      <w:r>
        <w:t>and financial intermediaries across Hong Kong. Drawing on deep, hands-on experience with the Securities and Futures Commission ("SFC"), the Insurance Authority ("IA") and the Money Lenders Ordinance regime, we support our clients from initial licensing through to day-to-day operational compliance, so that they can focus on growing their business with confidence.</w:t>
      </w:r>
    </w:p>
    <w:p w14:paraId="0222FB32" w14:textId="77777777" w:rsidR="00464847" w:rsidRDefault="00464847" w:rsidP="00F053BE">
      <w:pPr>
        <w:pStyle w:val="NormalWeb"/>
        <w:jc w:val="both"/>
      </w:pPr>
      <w:r>
        <w:t>Our services fall into three core areas:</w:t>
      </w:r>
    </w:p>
    <w:p w14:paraId="130B527B" w14:textId="77777777" w:rsidR="00464847" w:rsidRDefault="00464847" w:rsidP="00F053BE">
      <w:pPr>
        <w:pStyle w:val="Heading2"/>
        <w:jc w:val="both"/>
      </w:pPr>
      <w:r>
        <w:t>1. Licensing</w:t>
      </w:r>
    </w:p>
    <w:p w14:paraId="3467FDB2" w14:textId="77777777" w:rsidR="00464847" w:rsidRDefault="00464847" w:rsidP="00F053BE">
      <w:pPr>
        <w:pStyle w:val="NormalWeb"/>
        <w:jc w:val="both"/>
      </w:pPr>
      <w:r>
        <w:t>Navigating Hong Kong's licensing regimes requires precision, foresight and close engagement with the relevant regulators. We guide clients through the full application lifecycle — from initial eligibility assessment and documentation preparation, to regulator liaison and post-approval set-up — so that applications are well-prepared, complete and positioned for a smooth approval process.</w:t>
      </w:r>
    </w:p>
    <w:p w14:paraId="147C6B4F" w14:textId="57160E8D" w:rsidR="00464847" w:rsidRDefault="00464847" w:rsidP="00F053BE">
      <w:pPr>
        <w:numPr>
          <w:ilvl w:val="0"/>
          <w:numId w:val="1"/>
        </w:numPr>
        <w:spacing w:before="100" w:beforeAutospacing="1" w:after="100" w:afterAutospacing="1" w:line="240" w:lineRule="auto"/>
        <w:jc w:val="both"/>
      </w:pPr>
      <w:r>
        <w:rPr>
          <w:rStyle w:val="Strong"/>
        </w:rPr>
        <w:t>SFC Licence Application</w:t>
      </w:r>
      <w:r>
        <w:t xml:space="preserve"> — End-to-end support for corporations seeking to conduct one or more regulated activities under the Securities and Futures Ordinance. Our services cover business plan and internal control document preparation, responsible officer and licensed representative applications, fit-and-proper assessments, and coordination with the SFC throughout the review process.</w:t>
      </w:r>
    </w:p>
    <w:p w14:paraId="042D80C8" w14:textId="77777777" w:rsidR="00464847" w:rsidRDefault="00464847" w:rsidP="00F053BE">
      <w:pPr>
        <w:numPr>
          <w:ilvl w:val="0"/>
          <w:numId w:val="1"/>
        </w:numPr>
        <w:spacing w:before="100" w:beforeAutospacing="1" w:after="100" w:afterAutospacing="1" w:line="240" w:lineRule="auto"/>
        <w:jc w:val="both"/>
      </w:pPr>
      <w:r>
        <w:rPr>
          <w:rStyle w:val="Strong"/>
        </w:rPr>
        <w:t>Insurance Broker Licence Application</w:t>
      </w:r>
      <w:r>
        <w:t xml:space="preserve"> — Assistance with licence applications for insurance broker companies and technical representatives under the Insurance Ordinance, including preparation of internal governance and compliance documentation required by the Insurance Authority.</w:t>
      </w:r>
    </w:p>
    <w:p w14:paraId="60B22C48" w14:textId="77777777" w:rsidR="00464847" w:rsidRDefault="00464847" w:rsidP="00F053BE">
      <w:pPr>
        <w:numPr>
          <w:ilvl w:val="0"/>
          <w:numId w:val="1"/>
        </w:numPr>
        <w:spacing w:before="100" w:beforeAutospacing="1" w:after="100" w:afterAutospacing="1" w:line="240" w:lineRule="auto"/>
        <w:jc w:val="both"/>
      </w:pPr>
      <w:r>
        <w:rPr>
          <w:rStyle w:val="Strong"/>
        </w:rPr>
        <w:t>Money Lender Licence Application</w:t>
      </w:r>
      <w:r>
        <w:t xml:space="preserve"> — Support with licence applications under the Money Lenders Ordinance, including preparation of supporting documentation and liaison with the Companies Registry and Money Lenders Licensing Court.</w:t>
      </w:r>
    </w:p>
    <w:p w14:paraId="2E59A5C4" w14:textId="77777777" w:rsidR="00464847" w:rsidRDefault="00464847" w:rsidP="00F053BE">
      <w:pPr>
        <w:pStyle w:val="Heading2"/>
        <w:jc w:val="both"/>
      </w:pPr>
      <w:r>
        <w:t>2. Investment Fund Formation</w:t>
      </w:r>
    </w:p>
    <w:p w14:paraId="4039215A" w14:textId="4E53925B" w:rsidR="00464847" w:rsidRDefault="00464847" w:rsidP="00F053BE">
      <w:pPr>
        <w:pStyle w:val="NormalWeb"/>
        <w:jc w:val="both"/>
      </w:pPr>
      <w:r>
        <w:t xml:space="preserve">We provide independent, practical guidance to fund </w:t>
      </w:r>
      <w:r>
        <w:t>managers</w:t>
      </w:r>
      <w:r>
        <w:t xml:space="preserve"> establishing new investment fund structures, acting as the coordinating point of contact among the various professional parties involved in a fund launch.</w:t>
      </w:r>
    </w:p>
    <w:p w14:paraId="6AC148AB" w14:textId="77777777" w:rsidR="00464847" w:rsidRDefault="00464847" w:rsidP="00F053BE">
      <w:pPr>
        <w:numPr>
          <w:ilvl w:val="0"/>
          <w:numId w:val="2"/>
        </w:numPr>
        <w:spacing w:before="100" w:beforeAutospacing="1" w:after="100" w:afterAutospacing="1" w:line="240" w:lineRule="auto"/>
        <w:jc w:val="both"/>
      </w:pPr>
      <w:r>
        <w:rPr>
          <w:rStyle w:val="Strong"/>
        </w:rPr>
        <w:t>Cross-Party Coordination</w:t>
      </w:r>
      <w:r>
        <w:t xml:space="preserve"> — We work closely with lawyers, fund administrators, custodians, auditors and brokers to keep the fund formation process on track, ensuring that each party's deliverables are aligned and that timelines are met.</w:t>
      </w:r>
    </w:p>
    <w:p w14:paraId="140DB332" w14:textId="77777777" w:rsidR="00464847" w:rsidRDefault="00464847" w:rsidP="00F053BE">
      <w:pPr>
        <w:numPr>
          <w:ilvl w:val="0"/>
          <w:numId w:val="2"/>
        </w:numPr>
        <w:spacing w:before="100" w:beforeAutospacing="1" w:after="100" w:afterAutospacing="1" w:line="240" w:lineRule="auto"/>
        <w:jc w:val="both"/>
      </w:pPr>
      <w:r>
        <w:rPr>
          <w:rStyle w:val="Strong"/>
        </w:rPr>
        <w:t>Document Advisory and Review</w:t>
      </w:r>
      <w:r>
        <w:t xml:space="preserve"> — We advise on, and review, key fund constitutional and offering documents to help ensure consistency, commercial soundness and regulatory alignment before finalisation.</w:t>
      </w:r>
    </w:p>
    <w:p w14:paraId="6CA04E4B" w14:textId="77777777" w:rsidR="00464847" w:rsidRDefault="00464847" w:rsidP="00F053BE">
      <w:pPr>
        <w:numPr>
          <w:ilvl w:val="0"/>
          <w:numId w:val="2"/>
        </w:numPr>
        <w:spacing w:before="100" w:beforeAutospacing="1" w:after="100" w:afterAutospacing="1" w:line="240" w:lineRule="auto"/>
        <w:jc w:val="both"/>
      </w:pPr>
      <w:r>
        <w:rPr>
          <w:rStyle w:val="Strong"/>
        </w:rPr>
        <w:lastRenderedPageBreak/>
        <w:t>Fund Structuring</w:t>
      </w:r>
      <w:r>
        <w:t xml:space="preserve"> — We advise on the selection and establishment of fund vehicles suited to the sponsor's strategy and investor base, including: </w:t>
      </w:r>
    </w:p>
    <w:p w14:paraId="5CE877E0" w14:textId="77777777" w:rsidR="00464847" w:rsidRDefault="00464847" w:rsidP="00F053BE">
      <w:pPr>
        <w:numPr>
          <w:ilvl w:val="1"/>
          <w:numId w:val="2"/>
        </w:numPr>
        <w:spacing w:before="100" w:beforeAutospacing="1" w:after="100" w:afterAutospacing="1" w:line="240" w:lineRule="auto"/>
        <w:jc w:val="both"/>
      </w:pPr>
      <w:r>
        <w:t>Cayman Islands-domiciled Segregated Portfolio Companies (SPCs)</w:t>
      </w:r>
    </w:p>
    <w:p w14:paraId="5D4BA41D" w14:textId="77777777" w:rsidR="00464847" w:rsidRDefault="00464847" w:rsidP="00F053BE">
      <w:pPr>
        <w:numPr>
          <w:ilvl w:val="1"/>
          <w:numId w:val="2"/>
        </w:numPr>
        <w:spacing w:before="100" w:beforeAutospacing="1" w:after="100" w:afterAutospacing="1" w:line="240" w:lineRule="auto"/>
        <w:jc w:val="both"/>
      </w:pPr>
      <w:r>
        <w:t>British Virgin Islands Special Purpose Vehicles (SPVs)</w:t>
      </w:r>
    </w:p>
    <w:p w14:paraId="39E3E146" w14:textId="77777777" w:rsidR="00464847" w:rsidRDefault="00464847" w:rsidP="00F053BE">
      <w:pPr>
        <w:numPr>
          <w:ilvl w:val="1"/>
          <w:numId w:val="2"/>
        </w:numPr>
        <w:spacing w:before="100" w:beforeAutospacing="1" w:after="100" w:afterAutospacing="1" w:line="240" w:lineRule="auto"/>
        <w:jc w:val="both"/>
      </w:pPr>
      <w:r>
        <w:t>Hong Kong Limited Partnership Fund (LPF) structures</w:t>
      </w:r>
    </w:p>
    <w:p w14:paraId="7646141E" w14:textId="77777777" w:rsidR="00464847" w:rsidRDefault="00464847" w:rsidP="00F053BE">
      <w:pPr>
        <w:pStyle w:val="Heading2"/>
        <w:jc w:val="both"/>
      </w:pPr>
      <w:r>
        <w:t>3. Ongoing Support</w:t>
      </w:r>
    </w:p>
    <w:p w14:paraId="797EACFE" w14:textId="77777777" w:rsidR="00464847" w:rsidRDefault="00464847" w:rsidP="00F053BE">
      <w:pPr>
        <w:pStyle w:val="NormalWeb"/>
        <w:jc w:val="both"/>
      </w:pPr>
      <w:r>
        <w:t>Regulatory compliance does not end once a licence is granted — it is an ongoing commitment. We provide continuity of support to licensed corporations so that compliance obligations are met consistently, day in and day out.</w:t>
      </w:r>
    </w:p>
    <w:p w14:paraId="0BBF9446" w14:textId="77777777" w:rsidR="00464847" w:rsidRDefault="00464847" w:rsidP="00F053BE">
      <w:pPr>
        <w:numPr>
          <w:ilvl w:val="0"/>
          <w:numId w:val="3"/>
        </w:numPr>
        <w:spacing w:before="100" w:beforeAutospacing="1" w:after="100" w:afterAutospacing="1" w:line="240" w:lineRule="auto"/>
        <w:jc w:val="both"/>
      </w:pPr>
      <w:r>
        <w:rPr>
          <w:rStyle w:val="Strong"/>
        </w:rPr>
        <w:t>Ongoing Compliance Services for SFC Licensed Corporations</w:t>
      </w:r>
      <w:r>
        <w:t xml:space="preserve"> — Acting as an extension of your compliance function, we provide continuous regulatory support across client onboarding, KYC/CDD, risk profiling and product suitability, trade monitoring and record-keeping, helping ensure your firm remains aligned with SFC requirements as regulations and business needs evolve.</w:t>
      </w:r>
    </w:p>
    <w:p w14:paraId="54F7820E" w14:textId="7F17951C" w:rsidR="00EB0DE2" w:rsidRPr="004C4BDD" w:rsidRDefault="00464847" w:rsidP="00F053BE">
      <w:pPr>
        <w:numPr>
          <w:ilvl w:val="0"/>
          <w:numId w:val="3"/>
        </w:numPr>
        <w:spacing w:before="100" w:beforeAutospacing="1" w:after="100" w:afterAutospacing="1" w:line="240" w:lineRule="auto"/>
        <w:jc w:val="both"/>
        <w:rPr>
          <w:rFonts w:hint="eastAsia"/>
        </w:rPr>
      </w:pPr>
      <w:r>
        <w:rPr>
          <w:rStyle w:val="Strong"/>
        </w:rPr>
        <w:t>Acquisition and Sale of Licensed Entities</w:t>
      </w:r>
      <w:r>
        <w:t xml:space="preserve"> — We act as an intermediary between buyers and sellers of licensed corporations, streamlining the transaction from initial negotiation through to regulatory notification and completion, so that ownership and management changes proceed efficiently and in good order.</w:t>
      </w:r>
    </w:p>
    <w:sectPr w:rsidR="00EB0DE2" w:rsidRPr="004C4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1106F7"/>
    <w:multiLevelType w:val="multilevel"/>
    <w:tmpl w:val="B4DA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570B6"/>
    <w:multiLevelType w:val="multilevel"/>
    <w:tmpl w:val="66B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8254D"/>
    <w:multiLevelType w:val="multilevel"/>
    <w:tmpl w:val="6E5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146481">
    <w:abstractNumId w:val="1"/>
  </w:num>
  <w:num w:numId="2" w16cid:durableId="1313293816">
    <w:abstractNumId w:val="0"/>
  </w:num>
  <w:num w:numId="3" w16cid:durableId="5782225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02"/>
    <w:rsid w:val="0008501B"/>
    <w:rsid w:val="00235A5A"/>
    <w:rsid w:val="004120F4"/>
    <w:rsid w:val="00464847"/>
    <w:rsid w:val="00474F2F"/>
    <w:rsid w:val="004C4BDD"/>
    <w:rsid w:val="00754702"/>
    <w:rsid w:val="00C344F8"/>
    <w:rsid w:val="00C72D00"/>
    <w:rsid w:val="00D35721"/>
    <w:rsid w:val="00EB0DE2"/>
    <w:rsid w:val="00F053BE"/>
    <w:rsid w:val="00F3609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78AC"/>
  <w15:chartTrackingRefBased/>
  <w15:docId w15:val="{725B5878-DACF-0445-9C91-D6CDB059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4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4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4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4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702"/>
    <w:rPr>
      <w:rFonts w:eastAsiaTheme="majorEastAsia" w:cstheme="majorBidi"/>
      <w:color w:val="272727" w:themeColor="text1" w:themeTint="D8"/>
    </w:rPr>
  </w:style>
  <w:style w:type="paragraph" w:styleId="Title">
    <w:name w:val="Title"/>
    <w:basedOn w:val="Normal"/>
    <w:next w:val="Normal"/>
    <w:link w:val="TitleChar"/>
    <w:uiPriority w:val="10"/>
    <w:qFormat/>
    <w:rsid w:val="00754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702"/>
    <w:pPr>
      <w:spacing w:before="160"/>
      <w:jc w:val="center"/>
    </w:pPr>
    <w:rPr>
      <w:i/>
      <w:iCs/>
      <w:color w:val="404040" w:themeColor="text1" w:themeTint="BF"/>
    </w:rPr>
  </w:style>
  <w:style w:type="character" w:customStyle="1" w:styleId="QuoteChar">
    <w:name w:val="Quote Char"/>
    <w:basedOn w:val="DefaultParagraphFont"/>
    <w:link w:val="Quote"/>
    <w:uiPriority w:val="29"/>
    <w:rsid w:val="00754702"/>
    <w:rPr>
      <w:i/>
      <w:iCs/>
      <w:color w:val="404040" w:themeColor="text1" w:themeTint="BF"/>
    </w:rPr>
  </w:style>
  <w:style w:type="paragraph" w:styleId="ListParagraph">
    <w:name w:val="List Paragraph"/>
    <w:basedOn w:val="Normal"/>
    <w:uiPriority w:val="34"/>
    <w:qFormat/>
    <w:rsid w:val="00754702"/>
    <w:pPr>
      <w:ind w:left="720"/>
      <w:contextualSpacing/>
    </w:pPr>
  </w:style>
  <w:style w:type="character" w:styleId="IntenseEmphasis">
    <w:name w:val="Intense Emphasis"/>
    <w:basedOn w:val="DefaultParagraphFont"/>
    <w:uiPriority w:val="21"/>
    <w:qFormat/>
    <w:rsid w:val="00754702"/>
    <w:rPr>
      <w:i/>
      <w:iCs/>
      <w:color w:val="2F5496" w:themeColor="accent1" w:themeShade="BF"/>
    </w:rPr>
  </w:style>
  <w:style w:type="paragraph" w:styleId="IntenseQuote">
    <w:name w:val="Intense Quote"/>
    <w:basedOn w:val="Normal"/>
    <w:next w:val="Normal"/>
    <w:link w:val="IntenseQuoteChar"/>
    <w:uiPriority w:val="30"/>
    <w:qFormat/>
    <w:rsid w:val="00754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702"/>
    <w:rPr>
      <w:i/>
      <w:iCs/>
      <w:color w:val="2F5496" w:themeColor="accent1" w:themeShade="BF"/>
    </w:rPr>
  </w:style>
  <w:style w:type="character" w:styleId="IntenseReference">
    <w:name w:val="Intense Reference"/>
    <w:basedOn w:val="DefaultParagraphFont"/>
    <w:uiPriority w:val="32"/>
    <w:qFormat/>
    <w:rsid w:val="00754702"/>
    <w:rPr>
      <w:b/>
      <w:bCs/>
      <w:smallCaps/>
      <w:color w:val="2F5496" w:themeColor="accent1" w:themeShade="BF"/>
      <w:spacing w:val="5"/>
    </w:rPr>
  </w:style>
  <w:style w:type="paragraph" w:styleId="NormalWeb">
    <w:name w:val="Normal (Web)"/>
    <w:basedOn w:val="Normal"/>
    <w:uiPriority w:val="99"/>
    <w:semiHidden/>
    <w:unhideWhenUsed/>
    <w:rsid w:val="004648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4847"/>
    <w:rPr>
      <w:b/>
      <w:bCs/>
    </w:rPr>
  </w:style>
  <w:style w:type="character" w:styleId="Emphasis">
    <w:name w:val="Emphasis"/>
    <w:basedOn w:val="DefaultParagraphFont"/>
    <w:uiPriority w:val="20"/>
    <w:qFormat/>
    <w:rsid w:val="004648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WRH</dc:creator>
  <cp:keywords/>
  <dc:description/>
  <cp:lastModifiedBy>WRH</cp:lastModifiedBy>
  <cp:revision>3</cp:revision>
  <dcterms:created xsi:type="dcterms:W3CDTF">2026-08-21T06:19:00Z</dcterms:created>
  <dcterms:modified xsi:type="dcterms:W3CDTF">2026-08-21T07:45:00Z</dcterms:modified>
</cp:coreProperties>
</file>