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540" w:before="160" w:line="360" w:lineRule="auto"/>
        <w:ind w:left="720" w:firstLine="0"/>
        <w:rPr>
          <w:rFonts w:ascii="Calibri" w:cs="Calibri" w:eastAsia="Calibri" w:hAnsi="Calibri"/>
          <w:color w:val="2b2b2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b2b2b"/>
          <w:sz w:val="24"/>
          <w:szCs w:val="24"/>
          <w:rtl w:val="0"/>
        </w:rPr>
        <w:t xml:space="preserve">Crowdfunding Analysis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540" w:before="16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b2b2b"/>
          <w:sz w:val="24"/>
          <w:szCs w:val="24"/>
          <w:rtl w:val="0"/>
        </w:rPr>
        <w:t xml:space="preserve">Given the provided data, what are three conclusions that we can draw about crowdfunding campaigns?</w:t>
      </w:r>
    </w:p>
    <w:p w:rsidR="00000000" w:rsidDel="00000000" w:rsidP="00000000" w:rsidRDefault="00000000" w:rsidRPr="00000000" w14:paraId="00000003">
      <w:pPr>
        <w:spacing w:after="540" w:before="160" w:line="360" w:lineRule="auto"/>
        <w:ind w:left="720" w:firstLine="0"/>
        <w:rPr>
          <w:rFonts w:ascii="Calibri" w:cs="Calibri" w:eastAsia="Calibri" w:hAnsi="Calibri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160" w:line="360" w:lineRule="auto"/>
        <w:ind w:left="720" w:hanging="360"/>
        <w:rPr>
          <w:rFonts w:ascii="Calibri" w:cs="Calibri" w:eastAsia="Calibri" w:hAnsi="Calibri"/>
          <w:color w:val="2b2b2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b2b2b"/>
          <w:sz w:val="24"/>
          <w:szCs w:val="24"/>
          <w:rtl w:val="0"/>
        </w:rPr>
        <w:t xml:space="preserve">Theater/plays have the highest investment and take up more than 30% of the total investment amongst all the categories.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color w:val="2b2b2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b2b2b"/>
          <w:sz w:val="24"/>
          <w:szCs w:val="24"/>
          <w:rtl w:val="0"/>
        </w:rPr>
        <w:t xml:space="preserve">The highest successful outcomes happened in July and followed by a decrease trend of successful rate for the rest of the years.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540" w:before="0" w:beforeAutospacing="0" w:line="360" w:lineRule="auto"/>
        <w:ind w:left="720" w:hanging="360"/>
        <w:rPr>
          <w:rFonts w:ascii="Calibri" w:cs="Calibri" w:eastAsia="Calibri" w:hAnsi="Calibri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b2b2b"/>
          <w:sz w:val="24"/>
          <w:szCs w:val="24"/>
          <w:rtl w:val="0"/>
        </w:rPr>
        <w:t xml:space="preserve">???</w:t>
      </w:r>
    </w:p>
    <w:p w:rsidR="00000000" w:rsidDel="00000000" w:rsidP="00000000" w:rsidRDefault="00000000" w:rsidRPr="00000000" w14:paraId="00000007">
      <w:pPr>
        <w:spacing w:after="540" w:before="160" w:line="360" w:lineRule="auto"/>
        <w:rPr>
          <w:rFonts w:ascii="Calibri" w:cs="Calibri" w:eastAsia="Calibri" w:hAnsi="Calibri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540" w:before="16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b2b2b"/>
          <w:sz w:val="24"/>
          <w:szCs w:val="24"/>
          <w:rtl w:val="0"/>
        </w:rPr>
        <w:t xml:space="preserve">What are some limitations of this dataset?</w:t>
      </w:r>
    </w:p>
    <w:p w:rsidR="00000000" w:rsidDel="00000000" w:rsidP="00000000" w:rsidRDefault="00000000" w:rsidRPr="00000000" w14:paraId="00000009">
      <w:pPr>
        <w:spacing w:after="540" w:before="160" w:line="360" w:lineRule="auto"/>
        <w:ind w:left="720" w:firstLine="0"/>
        <w:rPr>
          <w:rFonts w:ascii="Calibri" w:cs="Calibri" w:eastAsia="Calibri" w:hAnsi="Calibri"/>
          <w:color w:val="2b2b2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b2b2b"/>
          <w:sz w:val="24"/>
          <w:szCs w:val="24"/>
          <w:rtl w:val="0"/>
        </w:rPr>
        <w:t xml:space="preserve">The time frame is different amongst different projects while some of the outcomes are generated within two days and some are within months.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380" w:before="16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b2b2b"/>
          <w:sz w:val="24"/>
          <w:szCs w:val="24"/>
          <w:rtl w:val="0"/>
        </w:rPr>
        <w:t xml:space="preserve">What are some other possible tables and/or graphs that we could create, and what additional value would they provide?</w:t>
      </w:r>
    </w:p>
    <w:p w:rsidR="00000000" w:rsidDel="00000000" w:rsidP="00000000" w:rsidRDefault="00000000" w:rsidRPr="00000000" w14:paraId="0000000B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Backers count to parent/sub-category is also an interesting graph to look at in identifying the attractiveness of certain projects.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b2b2b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