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lineRule="auto"/>
        <w:jc w:val="center"/>
      </w:pPr>
      <w:r>
        <w:rPr>
          <w:rFonts w:ascii="Times New Roman" w:cs="Times New Roman" w:eastAsia="Times New Roman" w:hAnsi="Times New Roman"/>
          <w:b/>
          <w:bCs/>
          <w:sz w:val="24"/>
          <w:szCs w:val="24"/>
        </w:rPr>
        <w:t xml:space="preserve">Engineering selectivity into melittin, a nonselective peptide, as a cancer therapeutic</w:t>
      </w:r>
    </w:p>
    <w:p>
      <w:pPr>
        <w:spacing w:line="480" w:lineRule="auto"/>
        <w:jc w:val="center"/>
      </w:pPr>
      <w:r>
        <w:rPr>
          <w:rFonts w:ascii="Times New Roman" w:cs="Times New Roman" w:eastAsia="Times New Roman" w:hAnsi="Times New Roman"/>
          <w:sz w:val="24"/>
          <w:szCs w:val="24"/>
        </w:rPr>
        <w:t xml:space="preserve">Sheridan Metzger · Oct 5, 2026</w:t>
      </w:r>
    </w:p>
    <w:p>
      <w:pPr>
        <w:keepNext/>
        <w:spacing w:before="240" w:line="480" w:lineRule="auto"/>
      </w:pPr>
      <w:r>
        <w:rPr>
          <w:rFonts w:ascii="Times New Roman" w:cs="Times New Roman" w:eastAsia="Times New Roman" w:hAnsi="Times New Roman"/>
          <w:b/>
          <w:bCs/>
          <w:sz w:val="24"/>
          <w:szCs w:val="24"/>
        </w:rPr>
        <w:t xml:space="preserve">Abstract</w:t>
      </w:r>
    </w:p>
    <w:p>
      <w:pPr>
        <w:spacing w:line="480" w:lineRule="auto"/>
      </w:pPr>
      <w:r>
        <w:rPr>
          <w:rFonts w:ascii="Times New Roman" w:cs="Times New Roman" w:eastAsia="Times New Roman" w:hAnsi="Times New Roman"/>
          <w:sz w:val="24"/>
          <w:szCs w:val="24"/>
        </w:rPr>
        <w:t xml:space="preserve">Melittin is the main peptide in honeybee venom. It kills cells by physically disrupting the phospholipid bilayer, so it works no matter what metabolic state the cell is in, whether the cell has efflux pumps, or whether its apoptotic pathways are blocked. It also works whether or not the cell is cancerous, and that is the problem. Native melittin damages red blood cells at lower concentrations than it needs to kill tumor cells, which gives it a selectivity index below 1 and has kept it out of systemic use. This review looks into three ways researchers have tried to fix that: changing the peptide sequence, aiming the peptide at receptors that tumor cells overexpress, and packaging it inside a nanocarrier. The question asked of each one is what it costs in potency, and the cost varies a lot. Replacing tryptophan 19 cut hemolysis about thirteenfold while only costing about threefold in anticancer activity, which flipped the selectivity index above 1. Conditional activation and receptor targeting avoid the trade entirely by killing through a route that does not require lysis. Nanocarriers reduce how much peptide reaches circulating blood cells, but protection by itself does not make the peptide selective. The approaches that work best all do the same thing, which is take advantage of the fact that cancer cells can be killed in more than one way and red blood cells cannot. All of this evidence is preclinical, hemolysis is still the dose-limiting toxicity, and delivery is still unresolved. Combining conditional activation with sub-lytic receptor targeting has not been tried, and it is the most promising direction left.</w:t>
      </w:r>
    </w:p>
    <w:p>
      <w:pPr>
        <w:keepNext/>
        <w:spacing w:before="240" w:line="480" w:lineRule="auto"/>
      </w:pPr>
      <w:r>
        <w:rPr>
          <w:rFonts w:ascii="Times New Roman" w:cs="Times New Roman" w:eastAsia="Times New Roman" w:hAnsi="Times New Roman"/>
          <w:b/>
          <w:bCs/>
          <w:sz w:val="24"/>
          <w:szCs w:val="24"/>
        </w:rPr>
        <w:t xml:space="preserve">Introduction</w:t>
      </w:r>
    </w:p>
    <w:p>
      <w:pPr>
        <w:spacing w:line="480" w:lineRule="auto"/>
      </w:pPr>
      <w:r>
        <w:rPr>
          <w:rFonts w:ascii="Times New Roman" w:cs="Times New Roman" w:eastAsia="Times New Roman" w:hAnsi="Times New Roman"/>
          <w:sz w:val="24"/>
          <w:szCs w:val="24"/>
        </w:rPr>
        <w:t xml:space="preserve">Melittin kills almost anything with a phospholipid membrane. That is why it works as an anticancer agent and also why it cannot be given systemically. It is the main peptide component of honeybee (</w:t>
      </w:r>
      <w:r>
        <w:rPr>
          <w:rFonts w:ascii="Times New Roman" w:cs="Times New Roman" w:eastAsia="Times New Roman" w:hAnsi="Times New Roman"/>
          <w:i/>
          <w:iCs/>
          <w:sz w:val="24"/>
          <w:szCs w:val="24"/>
        </w:rPr>
        <w:t xml:space="preserve">Apis mellifera</w:t>
      </w:r>
      <w:r>
        <w:rPr>
          <w:rFonts w:ascii="Times New Roman" w:cs="Times New Roman" w:eastAsia="Times New Roman" w:hAnsi="Times New Roman"/>
          <w:sz w:val="24"/>
          <w:szCs w:val="24"/>
        </w:rPr>
        <w:t xml:space="preserve">) venom, it is only 26 amino acids long, and it is cytotoxic across a wide range of preclinical cancer models. A large body of cell culture and animal work backs up its activity as a regulator of cancer cell proliferation.</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None of that work has solved the problem that defines the field, which is that melittin recognizes a bilayer and not a tumor.</w:t>
      </w:r>
    </w:p>
    <w:p>
      <w:pPr>
        <w:spacing w:line="480" w:lineRule="auto"/>
      </w:pPr>
      <w:r>
        <w:rPr>
          <w:rFonts w:ascii="Times New Roman" w:cs="Times New Roman" w:eastAsia="Times New Roman" w:hAnsi="Times New Roman"/>
          <w:sz w:val="24"/>
          <w:szCs w:val="24"/>
        </w:rPr>
        <w:t xml:space="preserve">The structure behind this behavior is well characterized. Ramirez et al. solved the solution structure of recombinant melittin by NMR and found a long helical molecule made of an N-terminal and a C-terminal α-helix joined in the middle by a noncanonical 3₁₀-helix.</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The useful finding here is what the bend in the middle of the peptide actually is. Rather than an unstructured hinge between two rigid helices, it is itself a helical element, and that middle segment does not show up in the older X-ray structure of tetrameric melittin or in the NMR structure solved in methanol, so the single peptide takes a shape the tetramer does not. The result is an amphipathic molecule with its hydrophobic and charged faces separated along the helix, which is what lets it slot into a bilayer and break it apart. It is also the structure that any attempt at engineering selectivity has to change.</w:t>
      </w:r>
    </w:p>
    <w:p>
      <w:pPr>
        <w:spacing w:line="480" w:lineRule="auto"/>
      </w:pPr>
      <w:r>
        <w:rPr>
          <w:rFonts w:ascii="Times New Roman" w:cs="Times New Roman" w:eastAsia="Times New Roman" w:hAnsi="Times New Roman"/>
          <w:sz w:val="24"/>
          <w:szCs w:val="24"/>
        </w:rPr>
        <w:t xml:space="preserve">The clearest demonstration of how potent melittin is comes from outside cancer research. Socarras et al. tested whole bee venom as well as purified melittin against </w:t>
      </w:r>
      <w:r>
        <w:rPr>
          <w:rFonts w:ascii="Times New Roman" w:cs="Times New Roman" w:eastAsia="Times New Roman" w:hAnsi="Times New Roman"/>
          <w:i/>
          <w:iCs/>
          <w:sz w:val="24"/>
          <w:szCs w:val="24"/>
        </w:rPr>
        <w:t xml:space="preserve">Borrelia burgdorferi</w:t>
      </w:r>
      <w:r>
        <w:rPr>
          <w:rFonts w:ascii="Times New Roman" w:cs="Times New Roman" w:eastAsia="Times New Roman" w:hAnsi="Times New Roman"/>
          <w:sz w:val="24"/>
          <w:szCs w:val="24"/>
        </w:rPr>
        <w:t xml:space="preserve">, the spirochete that causes Lyme disease, using viability dyes, direct cell counts, biofilm assays, and atomic force microscopy.</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Melittin disrupted the bacterial membrane, which caused the cell contents to leak out and the cell to lose the metabolic function it needed to survive. What makes this study useful here is the comparison the authors set up. </w:t>
      </w:r>
      <w:r>
        <w:rPr>
          <w:rFonts w:ascii="Times New Roman" w:cs="Times New Roman" w:eastAsia="Times New Roman" w:hAnsi="Times New Roman"/>
          <w:i/>
          <w:iCs/>
          <w:sz w:val="24"/>
          <w:szCs w:val="24"/>
        </w:rPr>
        <w:t xml:space="preserve">B. burgdorferi</w:t>
      </w:r>
      <w:r>
        <w:rPr>
          <w:rFonts w:ascii="Times New Roman" w:cs="Times New Roman" w:eastAsia="Times New Roman" w:hAnsi="Times New Roman"/>
          <w:sz w:val="24"/>
          <w:szCs w:val="24"/>
        </w:rPr>
        <w:t xml:space="preserve"> survives not only as a spirochete but also as round bodies, stationary-phase persisters, and attached biofilms, and these alternative forms are thought to be why patients relapse after standard treatment. The authors compared melittin against doxycycline, cefoperazone, and daptomycin, three antibiotics picked because other work had reported them active against </w:t>
      </w:r>
      <w:r>
        <w:rPr>
          <w:rFonts w:ascii="Times New Roman" w:cs="Times New Roman" w:eastAsia="Times New Roman" w:hAnsi="Times New Roman"/>
          <w:i/>
          <w:iCs/>
          <w:sz w:val="24"/>
          <w:szCs w:val="24"/>
        </w:rPr>
        <w:t xml:space="preserve">Borrelia</w:t>
      </w:r>
      <w:r>
        <w:rPr>
          <w:rFonts w:ascii="Times New Roman" w:cs="Times New Roman" w:eastAsia="Times New Roman" w:hAnsi="Times New Roman"/>
          <w:sz w:val="24"/>
          <w:szCs w:val="24"/>
        </w:rPr>
        <w:t xml:space="preserve"> persisters. Those antibiotics had limited effect on the attached biofilm form whether they were given alone or in combination. Bee venom and melittin significantly reduced the number and viability of every form tested, including the biofilms.</w:t>
      </w:r>
    </w:p>
    <w:p>
      <w:pPr>
        <w:spacing w:line="480" w:lineRule="auto"/>
      </w:pPr>
      <w:r>
        <w:rPr>
          <w:rFonts w:ascii="Times New Roman" w:cs="Times New Roman" w:eastAsia="Times New Roman" w:hAnsi="Times New Roman"/>
          <w:sz w:val="24"/>
          <w:szCs w:val="24"/>
        </w:rPr>
        <w:t xml:space="preserve">It is worth being specific about where that strength comes from. Conventional antibiotics fail against persisters and biofilms because those states shut down the metabolic processes the antibiotics rely on. Melittin does not rely on any metabolic process, so it does not care what state the cell is in, and a dormant cell has a membrane just like an active one does. The problem is that the same indifference gives it no reason to spare a liver cell or a red blood cell. Socarras et al. said as much, concluding that in vivo testing as well as a safe and effective delivery method were still open questions. Those are the same two obstacles holding melittin back in cancer research.</w:t>
      </w:r>
    </w:p>
    <w:p>
      <w:pPr>
        <w:spacing w:line="480" w:lineRule="auto"/>
      </w:pPr>
      <w:r>
        <w:rPr>
          <w:rFonts w:ascii="Times New Roman" w:cs="Times New Roman" w:eastAsia="Times New Roman" w:hAnsi="Times New Roman"/>
          <w:sz w:val="24"/>
          <w:szCs w:val="24"/>
        </w:rPr>
        <w:t xml:space="preserve">This review asks how melittin's ability to disrupt cancer cell membranes could be harnessed as a potential cancer treatment while minimizing damage to healthy cells. The literature has answered with three broad approaches: changing the peptide sequence, aiming the peptide at receptors that tumor cells overexpress, and packaging it in a nanocarrier. The argument here is that these should be judged by what they cost rather than by whether they improve selectivity, because nearly all of them improve selectivity to some degree. Selectivity and potency do trade against each other, but the rate of that trade varies enormously. Changing a single amino acid can cut hemolysis thirteenfold while only costing threefold in anticancer activity, while a carrier can reduce exposure without making the peptide prefer a tumor cell at all. The approaches that succeed are the ones that find a way to kill cancer cells that healthy cells are not vulnerable to, rather than the ones that simply make the peptide weaker.</w:t>
      </w:r>
    </w:p>
    <w:p>
      <w:pPr>
        <w:keepNext/>
        <w:spacing w:before="240" w:line="480" w:lineRule="auto"/>
      </w:pPr>
      <w:r>
        <w:rPr>
          <w:rFonts w:ascii="Times New Roman" w:cs="Times New Roman" w:eastAsia="Times New Roman" w:hAnsi="Times New Roman"/>
          <w:b/>
          <w:bCs/>
          <w:sz w:val="24"/>
          <w:szCs w:val="24"/>
        </w:rPr>
        <w:t xml:space="preserve">Mechanism and the selectivity problem</w:t>
      </w:r>
    </w:p>
    <w:p>
      <w:pPr>
        <w:spacing w:line="480" w:lineRule="auto"/>
      </w:pPr>
      <w:r>
        <w:rPr>
          <w:rFonts w:ascii="Times New Roman" w:cs="Times New Roman" w:eastAsia="Times New Roman" w:hAnsi="Times New Roman"/>
          <w:sz w:val="24"/>
          <w:szCs w:val="24"/>
        </w:rPr>
        <w:t xml:space="preserve">Anyone trying to engineer selectivity into melittin has to work with a structure that evolved to destroy membranes indiscriminately, and the difficulty comes from the fact that the structure responsible for potency and the structure responsible for toxicity are mostly the same structure. The amphipathic helix Ramirez et al. described inserts into any bilayer with the right physical properties, and the charge distribution that drives that insertion is the same in a tumor cell membrane as it is in a red blood cell membrane.</w:t>
      </w:r>
      <w:r>
        <w:rPr>
          <w:rFonts w:ascii="Times New Roman" w:cs="Times New Roman" w:eastAsia="Times New Roman" w:hAnsi="Times New Roman"/>
          <w:sz w:val="24"/>
          <w:szCs w:val="24"/>
          <w:vertAlign w:val="superscript"/>
        </w:rPr>
        <w:t xml:space="preserve">2</w:t>
      </w:r>
    </w:p>
    <w:p>
      <w:pPr>
        <w:spacing w:line="480" w:lineRule="auto"/>
      </w:pPr>
      <w:r>
        <w:rPr>
          <w:rFonts w:ascii="Times New Roman" w:cs="Times New Roman" w:eastAsia="Times New Roman" w:hAnsi="Times New Roman"/>
          <w:sz w:val="24"/>
          <w:szCs w:val="24"/>
        </w:rPr>
        <w:t xml:space="preserve">The speed of the process makes it worse. Soliman et al. tested melittin on AGS gastric carcinoma cells as well as the COLO205 and HCT-15 colorectal lines, focusing on short exposure times that earlier work had mostly skipped over.</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Killing was dose dependent, with complete cell death at the highest dose of 20 µg/mL by four hours. Membrane damage showed up within seconds as swelling, breakage, and blebbing, and intracellular material could be seen leaving the cells by about one minute. The effect was the same across all three lines, which tells us melittin ruptures the membrane physically rather than going through a pathway that one tumor type might happen to lack.</w:t>
      </w:r>
    </w:p>
    <w:p>
      <w:pPr>
        <w:spacing w:line="480" w:lineRule="auto"/>
      </w:pPr>
      <w:r>
        <w:rPr>
          <w:rFonts w:ascii="Times New Roman" w:cs="Times New Roman" w:eastAsia="Times New Roman" w:hAnsi="Times New Roman"/>
          <w:sz w:val="24"/>
          <w:szCs w:val="24"/>
        </w:rPr>
        <w:t xml:space="preserve">That speed cuts both ways. An agent that acts within seconds gives no time for differential uptake to develop, and it gives a targeting group very little time to work before off-target lysis has already happened. The same mechanism that lets melittin get past the efflux pumps and apoptotic blocks that defeat conventional chemotherapy is what makes it toxic to healthy tissue.</w:t>
      </w:r>
    </w:p>
    <w:p>
      <w:pPr>
        <w:spacing w:before="240" w:line="480" w:lineRule="auto"/>
        <w:jc w:val="center"/>
      </w:pPr>
      <w:r>
        <w:rPr>
          <w:rFonts w:ascii="Times New Roman" w:cs="Times New Roman" w:eastAsia="Times New Roman" w:hAnsi="Times New Roman"/>
          <w:b/>
          <w:bCs/>
          <w:sz w:val="24"/>
          <w:szCs w:val="24"/>
        </w:rPr>
        <w:t xml:space="preserve">[FIGURE 1 to be inserted]</w:t>
      </w:r>
    </w:p>
    <w:p>
      <w:pPr>
        <w:spacing w:line="480" w:lineRule="auto"/>
      </w:pPr>
      <w:r>
        <w:rPr>
          <w:rFonts w:ascii="Times New Roman" w:cs="Times New Roman" w:eastAsia="Times New Roman" w:hAnsi="Times New Roman"/>
          <w:i/>
          <w:iCs/>
          <w:sz w:val="24"/>
          <w:szCs w:val="24"/>
        </w:rPr>
        <w:t xml:space="preserve">Figure 1. Primary sequence and helical structure of melittin. The peptide is 26 amino acids long and folds into an N-terminal and a C-terminal α-helix joined by a short 3₁₀-helix, which gives it one hydrophobic face and one positively charged face (an amphipathic helix). The hydrophobic face drives insertion into the lipid bilayer and the positively charged C-terminal region drives the first interaction with the membrane surface. Tryptophan 19, marked here, sits at the boundary between the lipid and the water and anchors the peptide at that interface. It has been tied to melittin's hemolytic activity, which is what makes it the target of the substitution experiment discussed below.</w:t>
      </w:r>
    </w:p>
    <w:p>
      <w:pPr>
        <w:keepNext/>
        <w:spacing w:before="240" w:line="480" w:lineRule="auto"/>
      </w:pPr>
      <w:r>
        <w:rPr>
          <w:rFonts w:ascii="Times New Roman" w:cs="Times New Roman" w:eastAsia="Times New Roman" w:hAnsi="Times New Roman"/>
          <w:b/>
          <w:bCs/>
          <w:sz w:val="24"/>
          <w:szCs w:val="24"/>
        </w:rPr>
        <w:t xml:space="preserve">Strategy one: changing the peptide sequence</w:t>
      </w:r>
    </w:p>
    <w:p>
      <w:pPr>
        <w:spacing w:line="480" w:lineRule="auto"/>
      </w:pPr>
      <w:r>
        <w:rPr>
          <w:rFonts w:ascii="Times New Roman" w:cs="Times New Roman" w:eastAsia="Times New Roman" w:hAnsi="Times New Roman"/>
          <w:sz w:val="24"/>
          <w:szCs w:val="24"/>
        </w:rPr>
        <w:t xml:space="preserve">The most direct approach is to modify melittin itself. The cleverest version of this is the enzyme-induced gain of function (EIGF) strategy from Li et al., which turns the usual logic of targeting around.</w:t>
      </w:r>
      <w:r>
        <w:rPr>
          <w:rFonts w:ascii="Times New Roman" w:cs="Times New Roman" w:eastAsia="Times New Roman" w:hAnsi="Times New Roman"/>
          <w:sz w:val="24"/>
          <w:szCs w:val="24"/>
          <w:vertAlign w:val="superscript"/>
        </w:rPr>
        <w:t xml:space="preserve">5</w:t>
      </w:r>
      <w:r>
        <w:rPr>
          <w:rFonts w:ascii="Times New Roman" w:cs="Times New Roman" w:eastAsia="Times New Roman" w:hAnsi="Times New Roman"/>
          <w:sz w:val="24"/>
          <w:szCs w:val="24"/>
        </w:rPr>
        <w:t xml:space="preserve"> Instead of attaching a homing signal to an active peptide, the authors disabled the peptide and set it up so the tumor would switch it back on. Adding a phosphate group to threonine 23 of a melittin analogue (MelA2) disrupted the helix and abolished its ability to lyse membranes, and the phosphorylated form, MelA2-P, also lost its cytotoxicity toward normal mammalian cells. Alkaline phosphatase is more active in cancer cells than in normal cells, so the phosphate gets removed preferentially near a tumor, which restores pore formation and kills the cancer cells selectively. Selectivity here is a property of where the molecule gets switched on rather than a property of the molecule itself.</w:t>
      </w:r>
    </w:p>
    <w:p>
      <w:pPr>
        <w:spacing w:line="480" w:lineRule="auto"/>
      </w:pPr>
      <w:r>
        <w:rPr>
          <w:rFonts w:ascii="Times New Roman" w:cs="Times New Roman" w:eastAsia="Times New Roman" w:hAnsi="Times New Roman"/>
          <w:sz w:val="24"/>
          <w:szCs w:val="24"/>
        </w:rPr>
        <w:t xml:space="preserve">Conditional activation gets around the structural problem Ramirez identified. Substituting an amino acid directly in the helix runs straight into it, and the most informative attempt is also the one with the clearest numbers. Lv et al. replaced tryptophan 19, the residue that anchors melittin at the lipid-water interface and that earlier work had tied to hemolysis, with DapAMCA, a diaminopropanoic acid carrying a coumarin-based (AMCA) fluorophore.</w:t>
      </w:r>
      <w:r>
        <w:rPr>
          <w:rFonts w:ascii="Times New Roman" w:cs="Times New Roman" w:eastAsia="Times New Roman" w:hAnsi="Times New Roman"/>
          <w:sz w:val="24"/>
          <w:szCs w:val="24"/>
          <w:vertAlign w:val="superscript"/>
        </w:rPr>
        <w:t xml:space="preserve">6</w:t>
      </w:r>
      <w:r>
        <w:rPr>
          <w:rFonts w:ascii="Times New Roman" w:cs="Times New Roman" w:eastAsia="Times New Roman" w:hAnsi="Times New Roman"/>
          <w:sz w:val="24"/>
          <w:szCs w:val="24"/>
        </w:rPr>
        <w:t xml:space="preserve"> They called the result MEL</w:t>
      </w:r>
      <w:r>
        <w:rPr>
          <w:rFonts w:ascii="Times New Roman" w:cs="Times New Roman" w:eastAsia="Times New Roman" w:hAnsi="Times New Roman"/>
          <w:sz w:val="24"/>
          <w:szCs w:val="24"/>
          <w:vertAlign w:val="superscript"/>
        </w:rPr>
        <w:t xml:space="preserve">FL</w:t>
      </w:r>
      <w:r>
        <w:rPr>
          <w:rFonts w:ascii="Times New Roman" w:cs="Times New Roman" w:eastAsia="Times New Roman" w:hAnsi="Times New Roman"/>
          <w:sz w:val="24"/>
          <w:szCs w:val="24"/>
        </w:rPr>
        <w:t xml:space="preserve">. The substitution changed how the peptide interacts with the membrane. MEL</w:t>
      </w:r>
      <w:r>
        <w:rPr>
          <w:rFonts w:ascii="Times New Roman" w:cs="Times New Roman" w:eastAsia="Times New Roman" w:hAnsi="Times New Roman"/>
          <w:sz w:val="24"/>
          <w:szCs w:val="24"/>
          <w:vertAlign w:val="superscript"/>
        </w:rPr>
        <w:t xml:space="preserve">FL</w:t>
      </w:r>
      <w:r>
        <w:rPr>
          <w:rFonts w:ascii="Times New Roman" w:cs="Times New Roman" w:eastAsia="Times New Roman" w:hAnsi="Times New Roman"/>
          <w:sz w:val="24"/>
          <w:szCs w:val="24"/>
        </w:rPr>
        <w:t xml:space="preserve"> still inserted into bilayers but no longer broke them open efficiently.</w:t>
      </w:r>
    </w:p>
    <w:p>
      <w:pPr>
        <w:spacing w:line="480" w:lineRule="auto"/>
      </w:pPr>
      <w:r>
        <w:rPr>
          <w:rFonts w:ascii="Times New Roman" w:cs="Times New Roman" w:eastAsia="Times New Roman" w:hAnsi="Times New Roman"/>
          <w:sz w:val="24"/>
          <w:szCs w:val="24"/>
        </w:rPr>
        <w:t xml:space="preserve">The functional results separate cleanly. Half-maximal lysis of rabbit red blood cells took 3 µg/mL of native melittin but 40 µg/mL of MEL</w:t>
      </w:r>
      <w:r>
        <w:rPr>
          <w:rFonts w:ascii="Times New Roman" w:cs="Times New Roman" w:eastAsia="Times New Roman" w:hAnsi="Times New Roman"/>
          <w:sz w:val="24"/>
          <w:szCs w:val="24"/>
          <w:vertAlign w:val="superscript"/>
        </w:rPr>
        <w:t xml:space="preserve">FL</w:t>
      </w:r>
      <w:r>
        <w:rPr>
          <w:rFonts w:ascii="Times New Roman" w:cs="Times New Roman" w:eastAsia="Times New Roman" w:hAnsi="Times New Roman"/>
          <w:sz w:val="24"/>
          <w:szCs w:val="24"/>
        </w:rPr>
        <w:t xml:space="preserve">, which is a thirteenfold drop in toxicity to healthy cells. Cytotoxicity toward MCF-7 breast cancer cells went from 10 µg/mL to 28 µg/mL, which is roughly threefold. MEL</w:t>
      </w:r>
      <w:r>
        <w:rPr>
          <w:rFonts w:ascii="Times New Roman" w:cs="Times New Roman" w:eastAsia="Times New Roman" w:hAnsi="Times New Roman"/>
          <w:sz w:val="24"/>
          <w:szCs w:val="24"/>
          <w:vertAlign w:val="superscript"/>
        </w:rPr>
        <w:t xml:space="preserve">FL</w:t>
      </w:r>
      <w:r>
        <w:rPr>
          <w:rFonts w:ascii="Times New Roman" w:cs="Times New Roman" w:eastAsia="Times New Roman" w:hAnsi="Times New Roman"/>
          <w:sz w:val="24"/>
          <w:szCs w:val="24"/>
        </w:rPr>
        <w:t xml:space="preserve"> is a weaker agent overall, but it lost much more of its ability to harm red blood cells than its ability to kill tumor cells. The selectivity index (the ratio of the hemolytic concentration to the anticancer concentration) puts a number on this. Native melittin scores 0.30, which is below 1 and means it destroys red blood cells at lower doses than it needs to kill cancer cells. MEL</w:t>
      </w:r>
      <w:r>
        <w:rPr>
          <w:rFonts w:ascii="Times New Roman" w:cs="Times New Roman" w:eastAsia="Times New Roman" w:hAnsi="Times New Roman"/>
          <w:sz w:val="24"/>
          <w:szCs w:val="24"/>
          <w:vertAlign w:val="superscript"/>
        </w:rPr>
        <w:t xml:space="preserve">FL</w:t>
      </w:r>
      <w:r>
        <w:rPr>
          <w:rFonts w:ascii="Times New Roman" w:cs="Times New Roman" w:eastAsia="Times New Roman" w:hAnsi="Times New Roman"/>
          <w:sz w:val="24"/>
          <w:szCs w:val="24"/>
        </w:rPr>
        <w:t xml:space="preserve"> scores 1.44, which reverses that order, and the Hepa 1-6 liver line showed the same reversal from 0.47 to 1.76.</w:t>
      </w:r>
    </w:p>
    <w:p>
      <w:pPr>
        <w:spacing w:line="480" w:lineRule="auto"/>
      </w:pPr>
      <w:r>
        <w:rPr>
          <w:rFonts w:ascii="Times New Roman" w:cs="Times New Roman" w:eastAsia="Times New Roman" w:hAnsi="Times New Roman"/>
          <w:sz w:val="24"/>
          <w:szCs w:val="24"/>
        </w:rPr>
        <w:t xml:space="preserve">Why the reversal happens is the most useful finding in the paper, and it sets up an argument that comes back later in this review. Flow cytometry showed that MEL</w:t>
      </w:r>
      <w:r>
        <w:rPr>
          <w:rFonts w:ascii="Times New Roman" w:cs="Times New Roman" w:eastAsia="Times New Roman" w:hAnsi="Times New Roman"/>
          <w:sz w:val="24"/>
          <w:szCs w:val="24"/>
          <w:vertAlign w:val="superscript"/>
        </w:rPr>
        <w:t xml:space="preserve">FL</w:t>
      </w:r>
      <w:r>
        <w:rPr>
          <w:rFonts w:ascii="Times New Roman" w:cs="Times New Roman" w:eastAsia="Times New Roman" w:hAnsi="Times New Roman"/>
          <w:sz w:val="24"/>
          <w:szCs w:val="24"/>
        </w:rPr>
        <w:t xml:space="preserve"> induced apoptosis in both cancer lines at about the same rate as native melittin, while apoptosis in normal endothelial cells dropped from roughly 28 percent to 10 percent. Time-lapse imaging showed the same split, with cancer cells swelling and blistering under MEL</w:t>
      </w:r>
      <w:r>
        <w:rPr>
          <w:rFonts w:ascii="Times New Roman" w:cs="Times New Roman" w:eastAsia="Times New Roman" w:hAnsi="Times New Roman"/>
          <w:sz w:val="24"/>
          <w:szCs w:val="24"/>
          <w:vertAlign w:val="superscript"/>
        </w:rPr>
        <w:t xml:space="preserve">FL</w:t>
      </w:r>
      <w:r>
        <w:rPr>
          <w:rFonts w:ascii="Times New Roman" w:cs="Times New Roman" w:eastAsia="Times New Roman" w:hAnsi="Times New Roman"/>
          <w:sz w:val="24"/>
          <w:szCs w:val="24"/>
        </w:rPr>
        <w:t xml:space="preserve"> while the endothelial cells looked unchanged even at three times the native melittin dose. The analogue lost lysis and kept the ability to kill from the inside. A red blood cell has no nucleus and no mitochondria, so it can only be killed by rupture, while a nucleated cancer cell can be killed by rupture or by apoptosis. A peptide that gives up the first route and keeps the second spares the cell type that was only ever vulnerable to the first one.</w:t>
      </w:r>
    </w:p>
    <w:p>
      <w:pPr>
        <w:spacing w:line="480" w:lineRule="auto"/>
      </w:pPr>
      <w:r>
        <w:rPr>
          <w:rFonts w:ascii="Times New Roman" w:cs="Times New Roman" w:eastAsia="Times New Roman" w:hAnsi="Times New Roman"/>
          <w:sz w:val="24"/>
          <w:szCs w:val="24"/>
        </w:rPr>
        <w:t xml:space="preserve">This result is a good reason not to assume that selectivity and potency trade one for one. They do trade, but the rate is a variable rather than a constant, and here it ran strongly in the right direction.</w:t>
      </w:r>
    </w:p>
    <w:p>
      <w:pPr>
        <w:spacing w:line="480" w:lineRule="auto"/>
      </w:pPr>
      <w:r>
        <w:rPr>
          <w:rFonts w:ascii="Times New Roman" w:cs="Times New Roman" w:eastAsia="Times New Roman" w:hAnsi="Times New Roman"/>
          <w:sz w:val="24"/>
          <w:szCs w:val="24"/>
        </w:rPr>
        <w:t xml:space="preserve">A third sequence modification has a different goal. Hamdi et al. inserted a WXXW motif into a flexible region of melittin and produced a peptide they called M3, which keeps its membrane activity as well as binding doxorubicin reversibly.</w:t>
      </w:r>
      <w:r>
        <w:rPr>
          <w:rFonts w:ascii="Times New Roman" w:cs="Times New Roman" w:eastAsia="Times New Roman" w:hAnsi="Times New Roman"/>
          <w:sz w:val="24"/>
          <w:szCs w:val="24"/>
          <w:vertAlign w:val="superscript"/>
        </w:rPr>
        <w:t xml:space="preserve">7</w:t>
      </w:r>
      <w:r>
        <w:rPr>
          <w:rFonts w:ascii="Times New Roman" w:cs="Times New Roman" w:eastAsia="Times New Roman" w:hAnsi="Times New Roman"/>
          <w:sz w:val="24"/>
          <w:szCs w:val="24"/>
        </w:rPr>
        <w:t xml:space="preserve"> The idea takes advantage of melittin's main structural asset, which is that because it breaks through the membrane physically, it gets past the efflux pumps that normally expel cytotoxic drugs, and it can carry a partner drug through with it. The authors characterized M3 using liposome leakage assays, fluorescence quenching, microscale thermophoresis, molecular dynamics, calcein AM efflux assays, and cytotoxicity studies in several cancer cell lines, and their simulations point to the WXXW motif as where doxorubicin first binds. The peptide is doing two jobs at once here, breaching the membrane and delivering a payload to cells that have already beaten first-line chemotherapy. Whether this helps with selectivity is a separate question, since nothing in the design keeps M3 away from healthy cells.</w:t>
      </w:r>
    </w:p>
    <w:p>
      <w:pPr>
        <w:keepNext/>
        <w:spacing w:before="240" w:line="480" w:lineRule="auto"/>
      </w:pPr>
      <w:r>
        <w:rPr>
          <w:rFonts w:ascii="Times New Roman" w:cs="Times New Roman" w:eastAsia="Times New Roman" w:hAnsi="Times New Roman"/>
          <w:b/>
          <w:bCs/>
          <w:sz w:val="24"/>
          <w:szCs w:val="24"/>
        </w:rPr>
        <w:t xml:space="preserve">Strategy two: receptor targeting and combination therapy</w:t>
      </w:r>
    </w:p>
    <w:p>
      <w:pPr>
        <w:spacing w:line="480" w:lineRule="auto"/>
      </w:pPr>
      <w:r>
        <w:rPr>
          <w:rFonts w:ascii="Times New Roman" w:cs="Times New Roman" w:eastAsia="Times New Roman" w:hAnsi="Times New Roman"/>
          <w:sz w:val="24"/>
          <w:szCs w:val="24"/>
        </w:rPr>
        <w:t xml:space="preserve">The second approach moves furthest from the idea that melittin's value is in lysis. Duffy et al. tested honeybee venom and melittin against HER2-enriched and triple-negative breast cancer in mice and found that both reduced ligand-induced phosphorylation of EGFR and HER2 at the cell membrane, which blocks the activation step and changes the downstream signaling.</w:t>
      </w:r>
      <w:r>
        <w:rPr>
          <w:rFonts w:ascii="Times New Roman" w:cs="Times New Roman" w:eastAsia="Times New Roman" w:hAnsi="Times New Roman"/>
          <w:sz w:val="24"/>
          <w:szCs w:val="24"/>
          <w:vertAlign w:val="superscript"/>
        </w:rPr>
        <w:t xml:space="preserve">8</w:t>
      </w:r>
      <w:r>
        <w:rPr>
          <w:rFonts w:ascii="Times New Roman" w:cs="Times New Roman" w:eastAsia="Times New Roman" w:hAnsi="Times New Roman"/>
          <w:sz w:val="24"/>
          <w:szCs w:val="24"/>
        </w:rPr>
        <w:t xml:space="preserve"> Their mutational work identified the positively charged C-terminal region as the part of the peptide responsible for the membrane interaction behind this. Melittin was selectively cytotoxic toward lines overexpressing EGFR and HER2, and adding an RGD motif improved targeting of malignant cells while keeping toxicity to normal cells low. Melittin appears to have a second mechanism.</w:t>
      </w:r>
    </w:p>
    <w:p>
      <w:pPr>
        <w:spacing w:line="480" w:lineRule="auto"/>
      </w:pPr>
      <w:r>
        <w:rPr>
          <w:rFonts w:ascii="Times New Roman" w:cs="Times New Roman" w:eastAsia="Times New Roman" w:hAnsi="Times New Roman"/>
          <w:sz w:val="24"/>
          <w:szCs w:val="24"/>
        </w:rPr>
        <w:t xml:space="preserve">Zhong et al. provided the biophysical evidence that this second mechanism is real and not incidental.</w:t>
      </w:r>
      <w:r>
        <w:rPr>
          <w:rFonts w:ascii="Times New Roman" w:cs="Times New Roman" w:eastAsia="Times New Roman" w:hAnsi="Times New Roman"/>
          <w:sz w:val="24"/>
          <w:szCs w:val="24"/>
          <w:vertAlign w:val="superscript"/>
        </w:rPr>
        <w:t xml:space="preserve">9</w:t>
      </w:r>
      <w:r>
        <w:rPr>
          <w:rFonts w:ascii="Times New Roman" w:cs="Times New Roman" w:eastAsia="Times New Roman" w:hAnsi="Times New Roman"/>
          <w:sz w:val="24"/>
          <w:szCs w:val="24"/>
        </w:rPr>
        <w:t xml:space="preserve"> They used an isothermal shift assay together with a cellular thermal shift assay, bio-layer interferometry, and AlphaFold3 structural modeling, and showed that melittin increased the thermal stability of EGFR, which is the signature of direct target engagement. Interferometry gave a dissociation constant of 18.6 nM. Proteomic and phosphoproteomic analysis showed that this binding suppressed EGFR phosphorylation and weakened the downstream ERK and STAT3 signaling, which induced autophagy-dependent apoptosis. An EGFR-knockdown PC9 line confirmed the dependency, since the antitumor effects got much weaker once the target was gone. The authors also ran a PC9 xenograft model and report minimal toxicity toward normal bronchial epithelial cells. They describe melittin as a peptide-based EGFR inhibitor.</w:t>
      </w:r>
    </w:p>
    <w:p>
      <w:pPr>
        <w:spacing w:line="480" w:lineRule="auto"/>
      </w:pPr>
      <w:r>
        <w:rPr>
          <w:rFonts w:ascii="Times New Roman" w:cs="Times New Roman" w:eastAsia="Times New Roman" w:hAnsi="Times New Roman"/>
          <w:sz w:val="24"/>
          <w:szCs w:val="24"/>
        </w:rPr>
        <w:t xml:space="preserve">This reframing has immediate therapeutic consequences. Ibrahim et al. combined melittin with erlotinib, an established EGFR tyrosine kinase inhibitor, in A549 NSCLC cells.</w:t>
      </w:r>
      <w:r>
        <w:rPr>
          <w:rFonts w:ascii="Times New Roman" w:cs="Times New Roman" w:eastAsia="Times New Roman" w:hAnsi="Times New Roman"/>
          <w:sz w:val="24"/>
          <w:szCs w:val="24"/>
          <w:vertAlign w:val="superscript"/>
        </w:rPr>
        <w:t xml:space="preserve">10</w:t>
      </w:r>
      <w:r>
        <w:rPr>
          <w:rFonts w:ascii="Times New Roman" w:cs="Times New Roman" w:eastAsia="Times New Roman" w:hAnsi="Times New Roman"/>
          <w:sz w:val="24"/>
          <w:szCs w:val="24"/>
        </w:rPr>
        <w:t xml:space="preserve"> The combination reduced viability and migration more than either agent did alone and increased apoptosis, although melittin at 50 µM had no noticeable effect on migration by itself. In silico docking predicted binding to JAK2 and JAK3 with downstream inactivation of STAT3 as additional contributors. Two independent groups landing on STAT3 signaling is suggestive, but Ibrahim's mechanistic claims rest on computational docking and still need experimental confirmation.</w:t>
      </w:r>
    </w:p>
    <w:p>
      <w:pPr>
        <w:spacing w:line="480" w:lineRule="auto"/>
      </w:pPr>
      <w:r>
        <w:rPr>
          <w:rFonts w:ascii="Times New Roman" w:cs="Times New Roman" w:eastAsia="Times New Roman" w:hAnsi="Times New Roman"/>
          <w:sz w:val="24"/>
          <w:szCs w:val="24"/>
        </w:rPr>
        <w:t xml:space="preserve">Synergy is a selectivity strategy in its own right, and an underused one. If melittin and erlotinib potentiate each other, both can be given at lower doses, and melittin's dose-limiting hemolysis is a function of concentration. Lowering the dose does indirectly what sequence engineering and encapsulation try to do directly, and it does not cost anything in potency.</w:t>
      </w:r>
    </w:p>
    <w:p>
      <w:pPr>
        <w:keepNext/>
        <w:spacing w:before="240" w:line="480" w:lineRule="auto"/>
      </w:pPr>
      <w:r>
        <w:rPr>
          <w:rFonts w:ascii="Times New Roman" w:cs="Times New Roman" w:eastAsia="Times New Roman" w:hAnsi="Times New Roman"/>
          <w:b/>
          <w:bCs/>
          <w:sz w:val="24"/>
          <w:szCs w:val="24"/>
        </w:rPr>
        <w:t xml:space="preserve">Strategy three: nanocarrier delivery</w:t>
      </w:r>
    </w:p>
    <w:p>
      <w:pPr>
        <w:spacing w:line="480" w:lineRule="auto"/>
      </w:pPr>
      <w:r>
        <w:rPr>
          <w:rFonts w:ascii="Times New Roman" w:cs="Times New Roman" w:eastAsia="Times New Roman" w:hAnsi="Times New Roman"/>
          <w:sz w:val="24"/>
          <w:szCs w:val="24"/>
        </w:rPr>
        <w:t xml:space="preserve">The third approach leaves the chemistry of the peptide alone and controls where it goes instead. If melittin is hard to make selective, it can at least be kept away from healthy tissue until it reaches the tumor. Soman et al. did the foundational work here, loading melittin into the outer lipid layer of molecularly targeted perfluorocarbon nanoparticles and delivering it to tumor cells in mice.</w:t>
      </w:r>
      <w:r>
        <w:rPr>
          <w:rFonts w:ascii="Times New Roman" w:cs="Times New Roman" w:eastAsia="Times New Roman" w:hAnsi="Times New Roman"/>
          <w:sz w:val="24"/>
          <w:szCs w:val="24"/>
          <w:vertAlign w:val="superscript"/>
        </w:rPr>
        <w:t xml:space="preserve">11</w:t>
      </w:r>
      <w:r>
        <w:rPr>
          <w:rFonts w:ascii="Times New Roman" w:cs="Times New Roman" w:eastAsia="Times New Roman" w:hAnsi="Times New Roman"/>
          <w:sz w:val="24"/>
          <w:szCs w:val="24"/>
        </w:rPr>
        <w:t xml:space="preserve"> Rather than being taken up whole, the particles engaged target cells by hemifusion, which transfers melittin straight into the cell membrane. Loading the peptide this way produced a sevenfold reduction in hemolytic potency compared with free melittin, melittin built up in the tumors, and tumor growth fell considerably with no apparent signs of toxicity. Precancerous dysplastic lesions regressed as well. One mechanistic detail here is easy to miss and matters a lot. The authors report that hemifusion did not disrupt the surface membrane of the target cell but still triggered apoptosis. The nanoparticle kept a non-lytic route to cell death open, which is the same pattern that explains the sequence engineering results above.</w:t>
      </w:r>
    </w:p>
    <w:p>
      <w:pPr>
        <w:spacing w:line="480" w:lineRule="auto"/>
      </w:pPr>
      <w:r>
        <w:rPr>
          <w:rFonts w:ascii="Times New Roman" w:cs="Times New Roman" w:eastAsia="Times New Roman" w:hAnsi="Times New Roman"/>
          <w:sz w:val="24"/>
          <w:szCs w:val="24"/>
        </w:rPr>
        <w:t xml:space="preserve">Later work showed that protection and targeting are separate properties, and that getting the first one does not get you the second. Gonzalez-Horta et al. took on melittin's antiselectivity, meaning its tendency to lyse red blood cells as readily as bacteria, by building a stable, high-payload poly(lactic-co-glycolic acid) (PLGA) nanoparticle carrying melittin in its tetrameric form. Melittin forms a tetramer when it is concentrated and in salt, and the authors used sodium chloride as the stabilizing agent to hold that structure together.</w:t>
      </w:r>
      <w:r>
        <w:rPr>
          <w:rFonts w:ascii="Times New Roman" w:cs="Times New Roman" w:eastAsia="Times New Roman" w:hAnsi="Times New Roman"/>
          <w:sz w:val="24"/>
          <w:szCs w:val="24"/>
          <w:vertAlign w:val="superscript"/>
        </w:rPr>
        <w:t xml:space="preserve">12</w:t>
      </w:r>
      <w:r>
        <w:rPr>
          <w:rFonts w:ascii="Times New Roman" w:cs="Times New Roman" w:eastAsia="Times New Roman" w:hAnsi="Times New Roman"/>
          <w:sz w:val="24"/>
          <w:szCs w:val="24"/>
        </w:rPr>
        <w:t xml:space="preserve"> As chemistry the formulation worked. Tetrameric melittin bound PLGA with 97 percent encapsulation efficiency and kept its lytic activity, causing leakage from two different liposome compositions. It was not selective, though. A carrier that shields the peptide in the bloodstream still releases it wherever it ends up.</w:t>
      </w:r>
    </w:p>
    <w:p>
      <w:pPr>
        <w:spacing w:line="480" w:lineRule="auto"/>
      </w:pPr>
      <w:r>
        <w:rPr>
          <w:rFonts w:ascii="Times New Roman" w:cs="Times New Roman" w:eastAsia="Times New Roman" w:hAnsi="Times New Roman"/>
          <w:sz w:val="24"/>
          <w:szCs w:val="24"/>
        </w:rPr>
        <w:t xml:space="preserve">A third approach deals with durability rather than targeting. Lv et al. replaced the natural L-amino acids of melittin with their D-enantiomers and formulated the result as polymeric nanoparticles.</w:t>
      </w:r>
      <w:r>
        <w:rPr>
          <w:rFonts w:ascii="Times New Roman" w:cs="Times New Roman" w:eastAsia="Times New Roman" w:hAnsi="Times New Roman"/>
          <w:sz w:val="24"/>
          <w:szCs w:val="24"/>
          <w:vertAlign w:val="superscript"/>
        </w:rPr>
        <w:t xml:space="preserve">13</w:t>
      </w:r>
      <w:r>
        <w:rPr>
          <w:rFonts w:ascii="Times New Roman" w:cs="Times New Roman" w:eastAsia="Times New Roman" w:hAnsi="Times New Roman"/>
          <w:sz w:val="24"/>
          <w:szCs w:val="24"/>
        </w:rPr>
        <w:t xml:space="preserve"> The D-peptide resists enzymatic degradation and provokes less of an adaptive immune response, and the polymer encapsulation let the authors give higher peptide doses in mice, with better tumor suppression reported in triple-negative breast cancer models. The gain here is in the therapeutic window rather than in telling cell types apart. Nothing about the D-form makes the peptide prefer a tumor cell, so a melittin that circulates longer without becoming more selective widens the window for off-target hemolysis at the same time as it widens the window for treatment. Whether that is a net benefit depends entirely on the carrier keeping the peptide away from red blood cells.</w:t>
      </w:r>
    </w:p>
    <w:p>
      <w:pPr>
        <w:keepNext/>
        <w:spacing w:before="240" w:line="480" w:lineRule="auto"/>
      </w:pPr>
      <w:r>
        <w:rPr>
          <w:rFonts w:ascii="Times New Roman" w:cs="Times New Roman" w:eastAsia="Times New Roman" w:hAnsi="Times New Roman"/>
          <w:b/>
          <w:bCs/>
          <w:sz w:val="24"/>
          <w:szCs w:val="24"/>
        </w:rPr>
        <w:t xml:space="preserve">Synthesis and limitations</w:t>
      </w:r>
    </w:p>
    <w:p>
      <w:pPr>
        <w:spacing w:line="480" w:lineRule="auto"/>
      </w:pPr>
      <w:r>
        <w:rPr>
          <w:rFonts w:ascii="Times New Roman" w:cs="Times New Roman" w:eastAsia="Times New Roman" w:hAnsi="Times New Roman"/>
          <w:sz w:val="24"/>
          <w:szCs w:val="24"/>
        </w:rPr>
        <w:t xml:space="preserve">The three approaches can now be compared on the terms set out at the start, which is what each one costs rather than whether it works at all. Sequence engineering gave the best trade in the literature reviewed here, cutting hemolysis thirteenfold against a threefold cut in anticancer potency, which was enough to flip the selectivity index from 0.30 to 1.44.</w:t>
      </w:r>
      <w:r>
        <w:rPr>
          <w:rFonts w:ascii="Times New Roman" w:cs="Times New Roman" w:eastAsia="Times New Roman" w:hAnsi="Times New Roman"/>
          <w:sz w:val="24"/>
          <w:szCs w:val="24"/>
          <w:vertAlign w:val="superscript"/>
        </w:rPr>
        <w:t xml:space="preserve">6</w:t>
      </w:r>
      <w:r>
        <w:rPr>
          <w:rFonts w:ascii="Times New Roman" w:cs="Times New Roman" w:eastAsia="Times New Roman" w:hAnsi="Times New Roman"/>
          <w:sz w:val="24"/>
          <w:szCs w:val="24"/>
        </w:rPr>
        <w:t xml:space="preserve"> Conditional activation avoids the trade by withholding activity until a tumor-associated enzyme restores it.</w:t>
      </w:r>
      <w:r>
        <w:rPr>
          <w:rFonts w:ascii="Times New Roman" w:cs="Times New Roman" w:eastAsia="Times New Roman" w:hAnsi="Times New Roman"/>
          <w:sz w:val="24"/>
          <w:szCs w:val="24"/>
          <w:vertAlign w:val="superscript"/>
        </w:rPr>
        <w:t xml:space="preserve">5</w:t>
      </w:r>
      <w:r>
        <w:rPr>
          <w:rFonts w:ascii="Times New Roman" w:cs="Times New Roman" w:eastAsia="Times New Roman" w:hAnsi="Times New Roman"/>
          <w:sz w:val="24"/>
          <w:szCs w:val="24"/>
        </w:rPr>
        <w:t xml:space="preserve"> Receptor-directed approaches also avoid it, but only by giving up lysis as the primary mechanism.</w:t>
      </w:r>
      <w:r>
        <w:rPr>
          <w:rFonts w:ascii="Times New Roman" w:cs="Times New Roman" w:eastAsia="Times New Roman" w:hAnsi="Times New Roman"/>
          <w:sz w:val="24"/>
          <w:szCs w:val="24"/>
          <w:vertAlign w:val="superscript"/>
        </w:rPr>
        <w:t xml:space="preserve">8,9</w:t>
      </w:r>
      <w:r>
        <w:rPr>
          <w:rFonts w:ascii="Times New Roman" w:cs="Times New Roman" w:eastAsia="Times New Roman" w:hAnsi="Times New Roman"/>
          <w:sz w:val="24"/>
          <w:szCs w:val="24"/>
        </w:rPr>
        <w:t xml:space="preserve"> Nanocarriers reduce how much peptide reaches circulating cells and raise the dose that can be tolerated, but protection on its own confers no selectivity, and a carrier that preserves lytic activity preserves it indiscriminately.</w:t>
      </w:r>
      <w:r>
        <w:rPr>
          <w:rFonts w:ascii="Times New Roman" w:cs="Times New Roman" w:eastAsia="Times New Roman" w:hAnsi="Times New Roman"/>
          <w:sz w:val="24"/>
          <w:szCs w:val="24"/>
          <w:vertAlign w:val="superscript"/>
        </w:rPr>
        <w:t xml:space="preserve">11,12,13</w:t>
      </w:r>
    </w:p>
    <w:p>
      <w:pPr>
        <w:spacing w:line="480" w:lineRule="auto"/>
      </w:pPr>
      <w:r>
        <w:rPr>
          <w:rFonts w:ascii="Times New Roman" w:cs="Times New Roman" w:eastAsia="Times New Roman" w:hAnsi="Times New Roman"/>
          <w:sz w:val="24"/>
          <w:szCs w:val="24"/>
        </w:rPr>
        <w:t xml:space="preserve">One principle links the most successful results across all three approaches. MEL</w:t>
      </w:r>
      <w:r>
        <w:rPr>
          <w:rFonts w:ascii="Times New Roman" w:cs="Times New Roman" w:eastAsia="Times New Roman" w:hAnsi="Times New Roman"/>
          <w:sz w:val="24"/>
          <w:szCs w:val="24"/>
          <w:vertAlign w:val="superscript"/>
        </w:rPr>
        <w:t xml:space="preserve">FL</w:t>
      </w:r>
      <w:r>
        <w:rPr>
          <w:rFonts w:ascii="Times New Roman" w:cs="Times New Roman" w:eastAsia="Times New Roman" w:hAnsi="Times New Roman"/>
          <w:sz w:val="24"/>
          <w:szCs w:val="24"/>
        </w:rPr>
        <w:t xml:space="preserve"> gained selectivity because it lost membrane rupture and kept apoptosis induction, and red blood cells have no nucleus or mitochondria, so rupture is the only thing they are vulnerable to.</w:t>
      </w:r>
      <w:r>
        <w:rPr>
          <w:rFonts w:ascii="Times New Roman" w:cs="Times New Roman" w:eastAsia="Times New Roman" w:hAnsi="Times New Roman"/>
          <w:sz w:val="24"/>
          <w:szCs w:val="24"/>
          <w:vertAlign w:val="superscript"/>
        </w:rPr>
        <w:t xml:space="preserve">6</w:t>
      </w:r>
      <w:r>
        <w:rPr>
          <w:rFonts w:ascii="Times New Roman" w:cs="Times New Roman" w:eastAsia="Times New Roman" w:hAnsi="Times New Roman"/>
          <w:sz w:val="24"/>
          <w:szCs w:val="24"/>
        </w:rPr>
        <w:t xml:space="preserve"> Soman's nanoparticles killed by triggering apoptosis through hemifusion without disrupting the target cell surface at all.</w:t>
      </w:r>
      <w:r>
        <w:rPr>
          <w:rFonts w:ascii="Times New Roman" w:cs="Times New Roman" w:eastAsia="Times New Roman" w:hAnsi="Times New Roman"/>
          <w:sz w:val="24"/>
          <w:szCs w:val="24"/>
          <w:vertAlign w:val="superscript"/>
        </w:rPr>
        <w:t xml:space="preserve">11</w:t>
      </w:r>
      <w:r>
        <w:rPr>
          <w:rFonts w:ascii="Times New Roman" w:cs="Times New Roman" w:eastAsia="Times New Roman" w:hAnsi="Times New Roman"/>
          <w:sz w:val="24"/>
          <w:szCs w:val="24"/>
        </w:rPr>
        <w:t xml:space="preserve"> Duffy and Zhong describe a third non-lytic mechanism, which is interference with EGFR and HER2 signaling.</w:t>
      </w:r>
      <w:r>
        <w:rPr>
          <w:rFonts w:ascii="Times New Roman" w:cs="Times New Roman" w:eastAsia="Times New Roman" w:hAnsi="Times New Roman"/>
          <w:sz w:val="24"/>
          <w:szCs w:val="24"/>
          <w:vertAlign w:val="superscript"/>
        </w:rPr>
        <w:t xml:space="preserve">8,9</w:t>
      </w:r>
      <w:r>
        <w:rPr>
          <w:rFonts w:ascii="Times New Roman" w:cs="Times New Roman" w:eastAsia="Times New Roman" w:hAnsi="Times New Roman"/>
          <w:sz w:val="24"/>
          <w:szCs w:val="24"/>
        </w:rPr>
        <w:t xml:space="preserve"> All three take advantage of a vulnerability that dividing tumor cells have and healthy cells either lack or depend on less. Melittin's lytic activity has long been treated as the therapeutic asset that needs to be aimed more carefully, and it increasingly looks like the liability that needs to be engineered out while something else is preserved.</w:t>
      </w:r>
    </w:p>
    <w:p>
      <w:pPr>
        <w:spacing w:line="480" w:lineRule="auto"/>
      </w:pPr>
      <w:r>
        <w:rPr>
          <w:rFonts w:ascii="Times New Roman" w:cs="Times New Roman" w:eastAsia="Times New Roman" w:hAnsi="Times New Roman"/>
          <w:sz w:val="24"/>
          <w:szCs w:val="24"/>
        </w:rPr>
        <w:t xml:space="preserve">Several limitations constrain how far this evidence can be taken. Everything reviewed here is preclinical, limited to cell culture and mouse models, with no human trials establishing a therapeutic window in patients. Selectivity shown in vitro is a weak proxy for selectivity in a living animal, where melittin meets serum proteins, red blood cells, and endothelium before it gets anywhere near a tumor. Hemolysis is still the dose-limiting toxicity throughout, and none of these approaches has eliminated it. In vivo work does exist and is not all old, with mouse studies from Soman in 2009, Duffy in 2020, Lv in 2021, and Zhong in 2026, but none of it has produced a clinical trial.</w:t>
      </w:r>
      <w:r>
        <w:rPr>
          <w:rFonts w:ascii="Times New Roman" w:cs="Times New Roman" w:eastAsia="Times New Roman" w:hAnsi="Times New Roman"/>
          <w:sz w:val="24"/>
          <w:szCs w:val="24"/>
          <w:vertAlign w:val="superscript"/>
        </w:rPr>
        <w:t xml:space="preserve">8,9,11,13</w:t>
      </w:r>
      <w:r>
        <w:rPr>
          <w:rFonts w:ascii="Times New Roman" w:cs="Times New Roman" w:eastAsia="Times New Roman" w:hAnsi="Times New Roman"/>
          <w:sz w:val="24"/>
          <w:szCs w:val="24"/>
        </w:rPr>
        <w:t xml:space="preserve"> More than fifteen years have passed since the first targeted nanocarrier demonstration without translation, which says something in itself about how hard the problem is.</w:t>
      </w:r>
    </w:p>
    <w:p>
      <w:pPr>
        <w:spacing w:line="480" w:lineRule="auto"/>
      </w:pPr>
      <w:r>
        <w:rPr>
          <w:rFonts w:ascii="Times New Roman" w:cs="Times New Roman" w:eastAsia="Times New Roman" w:hAnsi="Times New Roman"/>
          <w:sz w:val="24"/>
          <w:szCs w:val="24"/>
        </w:rPr>
        <w:t xml:space="preserve">The strongest selectivity result comes with its own caveats. Lv's data come from two cancer lines, MCF-7 and Hepa 1-6, with no animal work, no pharmacokinetics, and no in vivo toxicity profile, so there is no way to know yet whether the reversal generalizes.</w:t>
      </w:r>
      <w:r>
        <w:rPr>
          <w:rFonts w:ascii="Times New Roman" w:cs="Times New Roman" w:eastAsia="Times New Roman" w:hAnsi="Times New Roman"/>
          <w:sz w:val="24"/>
          <w:szCs w:val="24"/>
          <w:vertAlign w:val="superscript"/>
        </w:rPr>
        <w:t xml:space="preserve">6</w:t>
      </w:r>
      <w:r>
        <w:rPr>
          <w:rFonts w:ascii="Times New Roman" w:cs="Times New Roman" w:eastAsia="Times New Roman" w:hAnsi="Times New Roman"/>
          <w:sz w:val="24"/>
          <w:szCs w:val="24"/>
        </w:rPr>
        <w:t xml:space="preserve"> The structural explanation for why MEL</w:t>
      </w:r>
      <w:r>
        <w:rPr>
          <w:rFonts w:ascii="Times New Roman" w:cs="Times New Roman" w:eastAsia="Times New Roman" w:hAnsi="Times New Roman"/>
          <w:sz w:val="24"/>
          <w:szCs w:val="24"/>
          <w:vertAlign w:val="superscript"/>
        </w:rPr>
        <w:t xml:space="preserve">FL</w:t>
      </w:r>
      <w:r>
        <w:rPr>
          <w:rFonts w:ascii="Times New Roman" w:cs="Times New Roman" w:eastAsia="Times New Roman" w:hAnsi="Times New Roman"/>
          <w:sz w:val="24"/>
          <w:szCs w:val="24"/>
        </w:rPr>
        <w:t xml:space="preserve"> loses lytic efficiency rests mostly on molecular dynamics simulation, and the peptide's oligomeric state was never measured experimentally. The finding that MEL</w:t>
      </w:r>
      <w:r>
        <w:rPr>
          <w:rFonts w:ascii="Times New Roman" w:cs="Times New Roman" w:eastAsia="Times New Roman" w:hAnsi="Times New Roman"/>
          <w:sz w:val="24"/>
          <w:szCs w:val="24"/>
          <w:vertAlign w:val="superscript"/>
        </w:rPr>
        <w:t xml:space="preserve">FL</w:t>
      </w:r>
      <w:r>
        <w:rPr>
          <w:rFonts w:ascii="Times New Roman" w:cs="Times New Roman" w:eastAsia="Times New Roman" w:hAnsi="Times New Roman"/>
          <w:sz w:val="24"/>
          <w:szCs w:val="24"/>
        </w:rPr>
        <w:t xml:space="preserve"> accumulates in the nucleus and nucleolus is interesting but correlational, since the authors showed localization and not causation. Mechanistic claims across the field vary in strength the same way, from the direct biophysical target engagement Zhong demonstrates with thermal shift and interferometry down to the computational docking predictions Ibrahim reports.</w:t>
      </w:r>
    </w:p>
    <w:p>
      <w:pPr>
        <w:keepNext/>
        <w:spacing w:before="240" w:line="480" w:lineRule="auto"/>
      </w:pPr>
      <w:r>
        <w:rPr>
          <w:rFonts w:ascii="Times New Roman" w:cs="Times New Roman" w:eastAsia="Times New Roman" w:hAnsi="Times New Roman"/>
          <w:b/>
          <w:bCs/>
          <w:sz w:val="24"/>
          <w:szCs w:val="24"/>
        </w:rPr>
        <w:t xml:space="preserve">Future directions</w:t>
      </w:r>
    </w:p>
    <w:p>
      <w:pPr>
        <w:spacing w:line="480" w:lineRule="auto"/>
      </w:pPr>
      <w:r>
        <w:rPr>
          <w:rFonts w:ascii="Times New Roman" w:cs="Times New Roman" w:eastAsia="Times New Roman" w:hAnsi="Times New Roman"/>
          <w:sz w:val="24"/>
          <w:szCs w:val="24"/>
        </w:rPr>
        <w:t xml:space="preserve">The most promising direction is a combination that none of these studies has tried. Li's enzyme-induced activation keeps melittin inert until a tumor-associated enzyme switches it on, and Duffy and Zhong established that melittin interferes with EGFR without needing to lyse anything. A construct that is both conditionally activated and receptor-directed would require two independent conditions to be met before it becomes cytotoxic instead of one, and because it would work below the lytic threshold it might avoid the potency penalty that has limited every selectivity strategy reviewed here. Testing whether those two mechanisms turn out to be additive or interfering is the obvious next experiment, and it has not been run.</w:t>
      </w:r>
    </w:p>
    <w:p>
      <w:pPr>
        <w:keepNext/>
        <w:spacing w:before="240" w:line="480" w:lineRule="auto"/>
      </w:pPr>
      <w:r>
        <w:rPr>
          <w:rFonts w:ascii="Times New Roman" w:cs="Times New Roman" w:eastAsia="Times New Roman" w:hAnsi="Times New Roman"/>
          <w:b/>
          <w:bCs/>
          <w:sz w:val="24"/>
          <w:szCs w:val="24"/>
        </w:rPr>
        <w:t xml:space="preserve">References</w:t>
      </w:r>
    </w:p>
    <w:p>
      <w:pPr>
        <w:spacing w:line="480" w:lineRule="auto"/>
        <w:ind w:left="720" w:hanging="720"/>
      </w:pPr>
      <w:r>
        <w:rPr>
          <w:rFonts w:ascii="Times New Roman" w:cs="Times New Roman" w:eastAsia="Times New Roman" w:hAnsi="Times New Roman"/>
          <w:sz w:val="24"/>
          <w:szCs w:val="24"/>
        </w:rPr>
        <w:t xml:space="preserve">1. Haque S, Hussain A, Joshi H, et al. Melittin: a possible regulator of cancer proliferation in preclinical cell culture and animal models. </w:t>
      </w:r>
      <w:r>
        <w:rPr>
          <w:rFonts w:ascii="Times New Roman" w:cs="Times New Roman" w:eastAsia="Times New Roman" w:hAnsi="Times New Roman"/>
          <w:i/>
          <w:iCs/>
          <w:sz w:val="24"/>
          <w:szCs w:val="24"/>
        </w:rPr>
        <w:t xml:space="preserve">J Cancer Res Clin Oncol</w:t>
      </w:r>
      <w:r>
        <w:rPr>
          <w:rFonts w:ascii="Times New Roman" w:cs="Times New Roman" w:eastAsia="Times New Roman" w:hAnsi="Times New Roman"/>
          <w:sz w:val="24"/>
          <w:szCs w:val="24"/>
        </w:rPr>
        <w:t xml:space="preserve">. 2023;149(19):17709-17726. doi:10.1007/s00432-023-05458-8</w:t>
      </w:r>
    </w:p>
    <w:p>
      <w:pPr>
        <w:spacing w:line="480" w:lineRule="auto"/>
        <w:ind w:left="720" w:hanging="720"/>
      </w:pPr>
      <w:r>
        <w:rPr>
          <w:rFonts w:ascii="Times New Roman" w:cs="Times New Roman" w:eastAsia="Times New Roman" w:hAnsi="Times New Roman"/>
          <w:sz w:val="24"/>
          <w:szCs w:val="24"/>
        </w:rPr>
        <w:t xml:space="preserve">2. Ramirez LS, Pande J, Shekhtman A. Helical structure of recombinant melittin. </w:t>
      </w:r>
      <w:r>
        <w:rPr>
          <w:rFonts w:ascii="Times New Roman" w:cs="Times New Roman" w:eastAsia="Times New Roman" w:hAnsi="Times New Roman"/>
          <w:i/>
          <w:iCs/>
          <w:sz w:val="24"/>
          <w:szCs w:val="24"/>
        </w:rPr>
        <w:t xml:space="preserve">J Phys Chem B</w:t>
      </w:r>
      <w:r>
        <w:rPr>
          <w:rFonts w:ascii="Times New Roman" w:cs="Times New Roman" w:eastAsia="Times New Roman" w:hAnsi="Times New Roman"/>
          <w:sz w:val="24"/>
          <w:szCs w:val="24"/>
        </w:rPr>
        <w:t xml:space="preserve">. 2019;123(2):356-368. doi:10.1021/acs.jpcb.8b08424</w:t>
      </w:r>
    </w:p>
    <w:p>
      <w:pPr>
        <w:spacing w:line="480" w:lineRule="auto"/>
        <w:ind w:left="720" w:hanging="720"/>
      </w:pPr>
      <w:r>
        <w:rPr>
          <w:rFonts w:ascii="Times New Roman" w:cs="Times New Roman" w:eastAsia="Times New Roman" w:hAnsi="Times New Roman"/>
          <w:sz w:val="24"/>
          <w:szCs w:val="24"/>
        </w:rPr>
        <w:t xml:space="preserve">3. Socarras KM, Theophilus PAS, Torres JP, Gupta K, Sapi E. Antimicrobial activity of bee venom and melittin against </w:t>
      </w:r>
      <w:r>
        <w:rPr>
          <w:rFonts w:ascii="Times New Roman" w:cs="Times New Roman" w:eastAsia="Times New Roman" w:hAnsi="Times New Roman"/>
          <w:i/>
          <w:iCs/>
          <w:sz w:val="24"/>
          <w:szCs w:val="24"/>
        </w:rPr>
        <w:t xml:space="preserve">Borrelia burgdorferi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Antibiotics (Basel)</w:t>
      </w:r>
      <w:r>
        <w:rPr>
          <w:rFonts w:ascii="Times New Roman" w:cs="Times New Roman" w:eastAsia="Times New Roman" w:hAnsi="Times New Roman"/>
          <w:sz w:val="24"/>
          <w:szCs w:val="24"/>
        </w:rPr>
        <w:t xml:space="preserve">. 2017;6(4):31. doi:10.3390/antibiotics6040031</w:t>
      </w:r>
    </w:p>
    <w:p>
      <w:pPr>
        <w:spacing w:line="480" w:lineRule="auto"/>
        <w:ind w:left="720" w:hanging="720"/>
      </w:pPr>
      <w:r>
        <w:rPr>
          <w:rFonts w:ascii="Times New Roman" w:cs="Times New Roman" w:eastAsia="Times New Roman" w:hAnsi="Times New Roman"/>
          <w:sz w:val="24"/>
          <w:szCs w:val="24"/>
        </w:rPr>
        <w:t xml:space="preserve">4. Soliman C, Eastwood S, Truong VK, Ramsland PA, Elbourne A. The membrane effects of melittin on gastric and colorectal cancer. </w:t>
      </w:r>
      <w:r>
        <w:rPr>
          <w:rFonts w:ascii="Times New Roman" w:cs="Times New Roman" w:eastAsia="Times New Roman" w:hAnsi="Times New Roman"/>
          <w:i/>
          <w:iCs/>
          <w:sz w:val="24"/>
          <w:szCs w:val="24"/>
        </w:rPr>
        <w:t xml:space="preserve">PLoS One</w:t>
      </w:r>
      <w:r>
        <w:rPr>
          <w:rFonts w:ascii="Times New Roman" w:cs="Times New Roman" w:eastAsia="Times New Roman" w:hAnsi="Times New Roman"/>
          <w:sz w:val="24"/>
          <w:szCs w:val="24"/>
        </w:rPr>
        <w:t xml:space="preserve">. 2019;14(10):e0224028. doi:10.1371/journal.pone.0224028</w:t>
      </w:r>
    </w:p>
    <w:p>
      <w:pPr>
        <w:spacing w:line="480" w:lineRule="auto"/>
        <w:ind w:left="720" w:hanging="720"/>
      </w:pPr>
      <w:r>
        <w:rPr>
          <w:rFonts w:ascii="Times New Roman" w:cs="Times New Roman" w:eastAsia="Times New Roman" w:hAnsi="Times New Roman"/>
          <w:sz w:val="24"/>
          <w:szCs w:val="24"/>
        </w:rPr>
        <w:t xml:space="preserve">5. Li QQ, Chen PG, Hu ZW, et al. Selective inhibition of cancer cells by enzyme-induced gain of function of phosphorylated melittin analogues. </w:t>
      </w:r>
      <w:r>
        <w:rPr>
          <w:rFonts w:ascii="Times New Roman" w:cs="Times New Roman" w:eastAsia="Times New Roman" w:hAnsi="Times New Roman"/>
          <w:i/>
          <w:iCs/>
          <w:sz w:val="24"/>
          <w:szCs w:val="24"/>
        </w:rPr>
        <w:t xml:space="preserve">Chem Sci</w:t>
      </w:r>
      <w:r>
        <w:rPr>
          <w:rFonts w:ascii="Times New Roman" w:cs="Times New Roman" w:eastAsia="Times New Roman" w:hAnsi="Times New Roman"/>
          <w:sz w:val="24"/>
          <w:szCs w:val="24"/>
        </w:rPr>
        <w:t xml:space="preserve">. 2017;8(11):7675-7681. doi:10.1039/c7sc03217j</w:t>
      </w:r>
    </w:p>
    <w:p>
      <w:pPr>
        <w:spacing w:line="480" w:lineRule="auto"/>
        <w:ind w:left="720" w:hanging="720"/>
      </w:pPr>
      <w:r>
        <w:rPr>
          <w:rFonts w:ascii="Times New Roman" w:cs="Times New Roman" w:eastAsia="Times New Roman" w:hAnsi="Times New Roman"/>
          <w:sz w:val="24"/>
          <w:szCs w:val="24"/>
        </w:rPr>
        <w:t xml:space="preserve">6. Lv Y, Chen X, Chen Z, et al. Melittin tryptophan substitution with a fluorescent amino acid reveals the structural basis of selective antitumor effect and subcellular localization in tumor cells. </w:t>
      </w:r>
      <w:r>
        <w:rPr>
          <w:rFonts w:ascii="Times New Roman" w:cs="Times New Roman" w:eastAsia="Times New Roman" w:hAnsi="Times New Roman"/>
          <w:i/>
          <w:iCs/>
          <w:sz w:val="24"/>
          <w:szCs w:val="24"/>
        </w:rPr>
        <w:t xml:space="preserve">Toxins (Basel)</w:t>
      </w:r>
      <w:r>
        <w:rPr>
          <w:rFonts w:ascii="Times New Roman" w:cs="Times New Roman" w:eastAsia="Times New Roman" w:hAnsi="Times New Roman"/>
          <w:sz w:val="24"/>
          <w:szCs w:val="24"/>
        </w:rPr>
        <w:t xml:space="preserve">. 2022;14(7):428. doi:10.3390/toxins14070428</w:t>
      </w:r>
    </w:p>
    <w:p>
      <w:pPr>
        <w:spacing w:line="480" w:lineRule="auto"/>
        <w:ind w:left="720" w:hanging="720"/>
      </w:pPr>
      <w:r>
        <w:rPr>
          <w:rFonts w:ascii="Times New Roman" w:cs="Times New Roman" w:eastAsia="Times New Roman" w:hAnsi="Times New Roman"/>
          <w:sz w:val="24"/>
          <w:szCs w:val="24"/>
        </w:rPr>
        <w:t xml:space="preserve">7. Hamdi NAM, Emam AM, Bryce RA, Demonacos C, Lu JR, Aojula HS. Engineered melittin delivers a drug-loaded 'chemo-sting' to overcome efflux-mediated multidrug resistance in cancer cells. </w:t>
      </w:r>
      <w:r>
        <w:rPr>
          <w:rFonts w:ascii="Times New Roman" w:cs="Times New Roman" w:eastAsia="Times New Roman" w:hAnsi="Times New Roman"/>
          <w:i/>
          <w:iCs/>
          <w:sz w:val="24"/>
          <w:szCs w:val="24"/>
        </w:rPr>
        <w:t xml:space="preserve">Pharmaceutics</w:t>
      </w:r>
      <w:r>
        <w:rPr>
          <w:rFonts w:ascii="Times New Roman" w:cs="Times New Roman" w:eastAsia="Times New Roman" w:hAnsi="Times New Roman"/>
          <w:sz w:val="24"/>
          <w:szCs w:val="24"/>
        </w:rPr>
        <w:t xml:space="preserve">. 2026;18(7):853. doi:10.3390/pharmaceutics18070853</w:t>
      </w:r>
    </w:p>
    <w:p>
      <w:pPr>
        <w:spacing w:line="480" w:lineRule="auto"/>
        <w:ind w:left="720" w:hanging="720"/>
      </w:pPr>
      <w:r>
        <w:rPr>
          <w:rFonts w:ascii="Times New Roman" w:cs="Times New Roman" w:eastAsia="Times New Roman" w:hAnsi="Times New Roman"/>
          <w:sz w:val="24"/>
          <w:szCs w:val="24"/>
        </w:rPr>
        <w:t xml:space="preserve">8. Duffy C, Sorolla A, Wang E, et al. Honeybee venom and melittin suppress growth factor receptor activation in HER2-enriched and triple-negative breast cancer. </w:t>
      </w:r>
      <w:r>
        <w:rPr>
          <w:rFonts w:ascii="Times New Roman" w:cs="Times New Roman" w:eastAsia="Times New Roman" w:hAnsi="Times New Roman"/>
          <w:i/>
          <w:iCs/>
          <w:sz w:val="24"/>
          <w:szCs w:val="24"/>
        </w:rPr>
        <w:t xml:space="preserve">NPJ Precis Oncol</w:t>
      </w:r>
      <w:r>
        <w:rPr>
          <w:rFonts w:ascii="Times New Roman" w:cs="Times New Roman" w:eastAsia="Times New Roman" w:hAnsi="Times New Roman"/>
          <w:sz w:val="24"/>
          <w:szCs w:val="24"/>
        </w:rPr>
        <w:t xml:space="preserve">. 2020;4:24. doi:10.1038/s41698-020-00129-0</w:t>
      </w:r>
    </w:p>
    <w:p>
      <w:pPr>
        <w:spacing w:line="480" w:lineRule="auto"/>
        <w:ind w:left="720" w:hanging="720"/>
      </w:pPr>
      <w:r>
        <w:rPr>
          <w:rFonts w:ascii="Times New Roman" w:cs="Times New Roman" w:eastAsia="Times New Roman" w:hAnsi="Times New Roman"/>
          <w:sz w:val="24"/>
          <w:szCs w:val="24"/>
        </w:rPr>
        <w:t xml:space="preserve">9. Zhong C, Gong J, Wei L, et al. Integrated isothermal shift assay and multi-omics identify melittin as a novel EGFR-targeting peptide to suppress NSCLC. </w:t>
      </w:r>
      <w:r>
        <w:rPr>
          <w:rFonts w:ascii="Times New Roman" w:cs="Times New Roman" w:eastAsia="Times New Roman" w:hAnsi="Times New Roman"/>
          <w:i/>
          <w:iCs/>
          <w:sz w:val="24"/>
          <w:szCs w:val="24"/>
        </w:rPr>
        <w:t xml:space="preserve">J Transl Med</w:t>
      </w:r>
      <w:r>
        <w:rPr>
          <w:rFonts w:ascii="Times New Roman" w:cs="Times New Roman" w:eastAsia="Times New Roman" w:hAnsi="Times New Roman"/>
          <w:sz w:val="24"/>
          <w:szCs w:val="24"/>
        </w:rPr>
        <w:t xml:space="preserve">. 2026;24(1):1058. doi:10.1186/s12967-026-08358-w</w:t>
      </w:r>
    </w:p>
    <w:p>
      <w:pPr>
        <w:spacing w:line="480" w:lineRule="auto"/>
        <w:ind w:left="720" w:hanging="720"/>
      </w:pPr>
      <w:r>
        <w:rPr>
          <w:rFonts w:ascii="Times New Roman" w:cs="Times New Roman" w:eastAsia="Times New Roman" w:hAnsi="Times New Roman"/>
          <w:sz w:val="24"/>
          <w:szCs w:val="24"/>
        </w:rPr>
        <w:t xml:space="preserve">10. Ibrahim HM, Alessa J, Khalil HB, Bekhet GA, Khalifa A. Synergistic anti-cancer activity of melittin and erlotinib in non-small cell lung cancer. </w:t>
      </w:r>
      <w:r>
        <w:rPr>
          <w:rFonts w:ascii="Times New Roman" w:cs="Times New Roman" w:eastAsia="Times New Roman" w:hAnsi="Times New Roman"/>
          <w:i/>
          <w:iCs/>
          <w:sz w:val="24"/>
          <w:szCs w:val="24"/>
        </w:rPr>
        <w:t xml:space="preserve">Int J Mol Sci</w:t>
      </w:r>
      <w:r>
        <w:rPr>
          <w:rFonts w:ascii="Times New Roman" w:cs="Times New Roman" w:eastAsia="Times New Roman" w:hAnsi="Times New Roman"/>
          <w:sz w:val="24"/>
          <w:szCs w:val="24"/>
        </w:rPr>
        <w:t xml:space="preserve">. 2025;26(7):2903. doi:10.3390/ijms26072903</w:t>
      </w:r>
    </w:p>
    <w:p>
      <w:pPr>
        <w:spacing w:line="480" w:lineRule="auto"/>
        <w:ind w:left="720" w:hanging="720"/>
      </w:pPr>
      <w:r>
        <w:rPr>
          <w:rFonts w:ascii="Times New Roman" w:cs="Times New Roman" w:eastAsia="Times New Roman" w:hAnsi="Times New Roman"/>
          <w:sz w:val="24"/>
          <w:szCs w:val="24"/>
        </w:rPr>
        <w:t xml:space="preserve">11. Soman NR, Baldwin SL, Hu G, et al. Molecularly targeted nanocarriers deliver the cytolytic peptide melittin specifically to tumor cells in mice, reducing tumor growth. </w:t>
      </w:r>
      <w:r>
        <w:rPr>
          <w:rFonts w:ascii="Times New Roman" w:cs="Times New Roman" w:eastAsia="Times New Roman" w:hAnsi="Times New Roman"/>
          <w:i/>
          <w:iCs/>
          <w:sz w:val="24"/>
          <w:szCs w:val="24"/>
        </w:rPr>
        <w:t xml:space="preserve">J Clin Invest</w:t>
      </w:r>
      <w:r>
        <w:rPr>
          <w:rFonts w:ascii="Times New Roman" w:cs="Times New Roman" w:eastAsia="Times New Roman" w:hAnsi="Times New Roman"/>
          <w:sz w:val="24"/>
          <w:szCs w:val="24"/>
        </w:rPr>
        <w:t xml:space="preserve">. 2009;119(9):2830-2842. doi:10.1172/JCI38842</w:t>
      </w:r>
    </w:p>
    <w:p>
      <w:pPr>
        <w:spacing w:line="480" w:lineRule="auto"/>
        <w:ind w:left="720" w:hanging="720"/>
      </w:pPr>
      <w:r>
        <w:rPr>
          <w:rFonts w:ascii="Times New Roman" w:cs="Times New Roman" w:eastAsia="Times New Roman" w:hAnsi="Times New Roman"/>
          <w:sz w:val="24"/>
          <w:szCs w:val="24"/>
        </w:rPr>
        <w:t xml:space="preserve">12. Gonzalez-Horta A, Matamoros-Acosta A, Chavez-Montes A, Castro-Rios R, Lara-Arias J. Biodegradable nanoparticles loaded with tetrameric melittin: preparation and membrane disruption evaluation. </w:t>
      </w:r>
      <w:r>
        <w:rPr>
          <w:rFonts w:ascii="Times New Roman" w:cs="Times New Roman" w:eastAsia="Times New Roman" w:hAnsi="Times New Roman"/>
          <w:i/>
          <w:iCs/>
          <w:sz w:val="24"/>
          <w:szCs w:val="24"/>
        </w:rPr>
        <w:t xml:space="preserve">Gen Physiol Biophys</w:t>
      </w:r>
      <w:r>
        <w:rPr>
          <w:rFonts w:ascii="Times New Roman" w:cs="Times New Roman" w:eastAsia="Times New Roman" w:hAnsi="Times New Roman"/>
          <w:sz w:val="24"/>
          <w:szCs w:val="24"/>
        </w:rPr>
        <w:t xml:space="preserve">. 2017;36(4):373-381. doi:10.4149/gpb_2017011</w:t>
      </w:r>
    </w:p>
    <w:p>
      <w:pPr>
        <w:spacing w:line="480" w:lineRule="auto"/>
        <w:ind w:left="720" w:hanging="720"/>
      </w:pPr>
      <w:r>
        <w:rPr>
          <w:rFonts w:ascii="Times New Roman" w:cs="Times New Roman" w:eastAsia="Times New Roman" w:hAnsi="Times New Roman"/>
          <w:sz w:val="24"/>
          <w:szCs w:val="24"/>
        </w:rPr>
        <w:t xml:space="preserve">13. Lv S, Sylvestre M, Song K, Pun SH. Development of D-melittin polymeric nanoparticles for anti-cancer treatment. </w:t>
      </w:r>
      <w:r>
        <w:rPr>
          <w:rFonts w:ascii="Times New Roman" w:cs="Times New Roman" w:eastAsia="Times New Roman" w:hAnsi="Times New Roman"/>
          <w:i/>
          <w:iCs/>
          <w:sz w:val="24"/>
          <w:szCs w:val="24"/>
        </w:rPr>
        <w:t xml:space="preserve">Biomaterials</w:t>
      </w:r>
      <w:r>
        <w:rPr>
          <w:rFonts w:ascii="Times New Roman" w:cs="Times New Roman" w:eastAsia="Times New Roman" w:hAnsi="Times New Roman"/>
          <w:sz w:val="24"/>
          <w:szCs w:val="24"/>
        </w:rPr>
        <w:t xml:space="preserve">. 2021;277:121076. doi:10.1016/j.biomaterials.2021.121076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selectivity into melittin, a nonselective peptide, as a cancer therapeutic</dc:title>
  <dc:creator>Sheridan Metzger</dc:creator>
  <cp:lastModifiedBy>Un-named</cp:lastModifiedBy>
  <cp:revision>1</cp:revision>
  <dcterms:created xsi:type="dcterms:W3CDTF">2026-10-12T15:19:18.364Z</dcterms:created>
  <dcterms:modified xsi:type="dcterms:W3CDTF">2026-10-12T15:19:18.375Z</dcterms:modified>
</cp:coreProperties>
</file>

<file path=docProps/custom.xml><?xml version="1.0" encoding="utf-8"?>
<Properties xmlns="http://schemas.openxmlformats.org/officeDocument/2006/custom-properties" xmlns:vt="http://schemas.openxmlformats.org/officeDocument/2006/docPropsVTypes"/>
</file>