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277C7" w:rsidRDefault="00EF015C" w14:paraId="207D8725" w14:textId="77777777">
      <w:pPr>
        <w:pStyle w:val="Heading1"/>
      </w:pPr>
      <w:r>
        <w:t>Global Product Safety Brief – Client Aurora Paints – EcoSafe Interior Wall Paint</w:t>
      </w:r>
    </w:p>
    <w:p w:rsidR="00F277C7" w:rsidRDefault="00EF015C" w14:paraId="0AB65935" w14:textId="77777777">
      <w:r>
        <w:t>Client: Aurora Paints</w:t>
      </w:r>
    </w:p>
    <w:p w:rsidR="00F277C7" w:rsidRDefault="00EF015C" w14:paraId="1088F3AA" w14:textId="77777777">
      <w:r>
        <w:t>Product family: EcoSafe Interior Wall Paint</w:t>
      </w:r>
    </w:p>
    <w:p w:rsidR="00F277C7" w:rsidRDefault="00EF015C" w14:paraId="70F87714" w14:textId="77777777">
      <w:r>
        <w:t>Product variant: EcoSafe Interior Wall Paint – Matte Finish</w:t>
      </w:r>
    </w:p>
    <w:p w:rsidR="00F277C7" w:rsidP="00507A11" w:rsidRDefault="00507A11" w14:paraId="06FD2E8F" w14:textId="256F0D8B">
      <w:r w:rsidRPr="00507A11">
        <w:t xml:space="preserve">For </w:t>
      </w:r>
      <w:proofErr w:type="spellStart"/>
      <w:r w:rsidRPr="00507A11">
        <w:t>EcoSafe</w:t>
      </w:r>
      <w:proofErr w:type="spellEnd"/>
      <w:r w:rsidRPr="00507A11">
        <w:t xml:space="preserve"> Interior Wall Paint sold in the EU, Aurora Paints sets an internal maximum VOC content of </w:t>
      </w:r>
      <w:r w:rsidRPr="00507A11">
        <w:rPr>
          <w:b/>
          <w:bCs/>
        </w:rPr>
        <w:t>30 g/L</w:t>
      </w:r>
      <w:r w:rsidRPr="00507A11">
        <w:t xml:space="preserve"> and describes the product as a </w:t>
      </w:r>
      <w:r w:rsidRPr="00507A11">
        <w:rPr>
          <w:b/>
          <w:bCs/>
        </w:rPr>
        <w:t>low-VOC interior wall paint</w:t>
      </w:r>
      <w:r w:rsidRPr="00507A11">
        <w:t>. This internal limit is used for routine quality control on the finished paint and should not be exceeded under normal production conditions.</w:t>
      </w:r>
    </w:p>
    <w:p w:rsidR="00AC3C42" w:rsidP="00AC3C42" w:rsidRDefault="00AC3C42" w14:paraId="5355DE1D" w14:textId="0C86E24A">
      <w:r w:rsidRPr="00AC3C42">
        <w:t xml:space="preserve">For </w:t>
      </w:r>
      <w:proofErr w:type="spellStart"/>
      <w:r w:rsidRPr="00AC3C42">
        <w:t>EcoSafe</w:t>
      </w:r>
      <w:proofErr w:type="spellEnd"/>
      <w:r w:rsidRPr="00AC3C42">
        <w:t xml:space="preserve"> Kitchen &amp; Bath in the EU, Aurora Paints sets an internal VOC limit of </w:t>
      </w:r>
      <w:r w:rsidRPr="00AC3C42">
        <w:rPr>
          <w:b/>
          <w:bCs/>
        </w:rPr>
        <w:t>32 g/L</w:t>
      </w:r>
      <w:r w:rsidRPr="00AC3C42">
        <w:t xml:space="preserve"> for typical residential projects, treating this as a conservative target compared with local regulatory thresholds.</w:t>
      </w:r>
    </w:p>
    <w:p w:rsidR="00F277C7" w:rsidRDefault="00EF015C" w14:paraId="2883E568" w14:textId="77777777">
      <w:r>
        <w:t>Under current EU decorative coatings regulations, interior wall paints for domestic use must comply with limits on hazardous substances such as lead and volatile organic compounds (VOCs). EcoSafe Interior Wall Paint is formulated so that, under normal manufacturing variation, both VOC and lead levels remain below the internal maximum values defined by Aurora Paints for the EU market.</w:t>
      </w:r>
    </w:p>
    <w:p w:rsidR="00F277C7" w:rsidRDefault="00EF015C" w14:paraId="67049A79" w14:textId="77777777">
      <w:r>
        <w:t>For children’s rooms, nurseries and healthcare environments, local guidance in some EU member states recommends additional ventilation during application and minimum drying times before re-occupying rooms, even for low-VOC paints. Aurora Paints treats these recommendations as good practice, especially in hospitals, clinics and childcare facilities.</w:t>
      </w:r>
    </w:p>
    <w:p w:rsidR="00F277C7" w:rsidRDefault="00EF015C" w14:paraId="3C12E259" w14:textId="71823CE0">
      <w:r w:rsidR="00EF015C">
        <w:rPr/>
        <w:t xml:space="preserve">In markets outside the EU (for </w:t>
      </w:r>
      <w:r w:rsidR="00EF015C">
        <w:rPr/>
        <w:t>example</w:t>
      </w:r>
      <w:r w:rsidR="00EF015C">
        <w:rPr/>
        <w:t xml:space="preserve"> the US and GCC countries), different </w:t>
      </w:r>
      <w:r w:rsidR="00EF015C">
        <w:rPr/>
        <w:t>maximum</w:t>
      </w:r>
      <w:r w:rsidR="00EF015C">
        <w:rPr/>
        <w:t xml:space="preserve"> limits may apply for heavy metals and VOCs. State-level rules in the US and individual country regulations in the GCC can introduce </w:t>
      </w:r>
      <w:r w:rsidR="00EF015C">
        <w:rPr/>
        <w:t>additional</w:t>
      </w:r>
      <w:r w:rsidR="00EF015C">
        <w:rPr/>
        <w:t xml:space="preserve"> complexity. Product managers at Aurora Paints must always consult the most recent local regulations and internal compliance notes before </w:t>
      </w:r>
      <w:r w:rsidR="00EF015C">
        <w:rPr/>
        <w:t>launch</w:t>
      </w:r>
      <w:r w:rsidR="00EF015C">
        <w:rPr/>
        <w:t xml:space="preserve">, </w:t>
      </w:r>
      <w:r w:rsidR="00EF015C">
        <w:rPr/>
        <w:t>relabelling</w:t>
      </w:r>
      <w:r w:rsidR="00EF015C">
        <w:rPr/>
        <w:t xml:space="preserve"> or formula changes.</w:t>
      </w:r>
    </w:p>
    <w:p w:rsidR="00F277C7" w:rsidRDefault="00EF015C" w14:paraId="594EB211" w14:textId="0DD90BEB"/>
    <w:p w:rsidR="00F277C7" w:rsidRDefault="00EF015C" w14:paraId="65A3034A" w14:textId="595EBAA9"/>
    <w:p w:rsidR="00F277C7" w:rsidRDefault="00EF015C" w14:paraId="42CC9C32" w14:textId="0CA3D67F"/>
    <w:p w:rsidR="00F277C7" w:rsidRDefault="00EF015C" w14:paraId="08817BD9" w14:textId="1A3C78C6"/>
    <w:p w:rsidR="00F277C7" w:rsidRDefault="00EF015C" w14:paraId="2C40E296" w14:textId="6ECAE109"/>
    <w:p w:rsidR="00F277C7" w:rsidRDefault="00EF015C" w14:paraId="4DA29EC8" w14:textId="4A9ED9CF"/>
    <w:p w:rsidR="00F277C7" w:rsidRDefault="00EF015C" w14:paraId="36A7100A" w14:textId="7E2912B9">
      <w:r w:rsidR="0A4A899C">
        <w:rPr/>
        <w:t>Note: The image detection and text extraction is a bonus point not obligatory</w:t>
      </w:r>
    </w:p>
    <w:p w:rsidR="00507A11" w:rsidP="6638DE5D" w:rsidRDefault="00507A11" w14:paraId="5B13B3D3" w14:textId="64ED5C49">
      <w:pPr>
        <w:pStyle w:val="Normal"/>
        <w:suppressLineNumbers w:val="0"/>
        <w:bidi w:val="0"/>
        <w:spacing w:before="0" w:beforeAutospacing="off" w:after="200" w:afterAutospacing="off" w:line="276" w:lineRule="auto"/>
        <w:ind w:left="0" w:right="0"/>
        <w:jc w:val="left"/>
      </w:pPr>
      <w:r w:rsidR="00507A11">
        <w:drawing>
          <wp:inline wp14:editId="6521ACCE" wp14:anchorId="2AEE93C1">
            <wp:extent cx="5486400" cy="2251075"/>
            <wp:effectExtent l="0" t="0" r="0" b="0"/>
            <wp:docPr id="162638226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382269" name=""/>
                    <pic:cNvPicPr/>
                  </pic:nvPicPr>
                  <pic:blipFill>
                    <a:blip xmlns:r="http://schemas.openxmlformats.org/officeDocument/2006/relationships" r:embed="rId6"/>
                    <a:stretch>
                      <a:fillRect/>
                    </a:stretch>
                  </pic:blipFill>
                  <pic:spPr>
                    <a:xfrm>
                      <a:off x="0" y="0"/>
                      <a:ext cx="5486400" cy="2251075"/>
                    </a:xfrm>
                    <a:prstGeom prst="rect">
                      <a:avLst/>
                    </a:prstGeom>
                  </pic:spPr>
                </pic:pic>
              </a:graphicData>
            </a:graphic>
          </wp:inline>
        </w:drawing>
      </w:r>
    </w:p>
    <w:sectPr w:rsidR="00507A11"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A617F4"/>
    <w:lvl w:ilvl="0">
      <w:start w:val="1"/>
      <w:numFmt w:val="bullet"/>
      <w:pStyle w:val="ListBullet"/>
      <w:lvlText w:val=""/>
      <w:lvlJc w:val="left"/>
      <w:pPr>
        <w:tabs>
          <w:tab w:val="num" w:pos="360"/>
        </w:tabs>
        <w:ind w:left="360" w:hanging="360"/>
      </w:pPr>
      <w:rPr>
        <w:rFonts w:hint="default" w:ascii="Symbol" w:hAnsi="Symbol"/>
      </w:rPr>
    </w:lvl>
  </w:abstractNum>
  <w:num w:numId="1" w16cid:durableId="1501889728">
    <w:abstractNumId w:val="8"/>
  </w:num>
  <w:num w:numId="2" w16cid:durableId="2029528275">
    <w:abstractNumId w:val="6"/>
  </w:num>
  <w:num w:numId="3" w16cid:durableId="2106460768">
    <w:abstractNumId w:val="5"/>
  </w:num>
  <w:num w:numId="4" w16cid:durableId="1031564985">
    <w:abstractNumId w:val="4"/>
  </w:num>
  <w:num w:numId="5" w16cid:durableId="61682071">
    <w:abstractNumId w:val="7"/>
  </w:num>
  <w:num w:numId="6" w16cid:durableId="124585893">
    <w:abstractNumId w:val="3"/>
  </w:num>
  <w:num w:numId="7" w16cid:durableId="278029012">
    <w:abstractNumId w:val="2"/>
  </w:num>
  <w:num w:numId="8" w16cid:durableId="406155431">
    <w:abstractNumId w:val="1"/>
  </w:num>
  <w:num w:numId="9" w16cid:durableId="132489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BE9"/>
    <w:rsid w:val="0015074B"/>
    <w:rsid w:val="0029639D"/>
    <w:rsid w:val="00326F90"/>
    <w:rsid w:val="00507A11"/>
    <w:rsid w:val="00AA1D8D"/>
    <w:rsid w:val="00AC3C42"/>
    <w:rsid w:val="00B47730"/>
    <w:rsid w:val="00B651DE"/>
    <w:rsid w:val="00CB0664"/>
    <w:rsid w:val="00EF015C"/>
    <w:rsid w:val="00F277C7"/>
    <w:rsid w:val="00F9267D"/>
    <w:rsid w:val="00FC693F"/>
    <w:rsid w:val="0A4A899C"/>
    <w:rsid w:val="0B90E103"/>
    <w:rsid w:val="6638DE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234DE"/>
  <w14:defaultImageDpi w14:val="300"/>
  <w15:docId w15:val="{458BD43A-92A3-4615-9487-963D0D93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Mohie eldin Thaker (MiddleEast)</lastModifiedBy>
  <revision>4</revision>
  <dcterms:created xsi:type="dcterms:W3CDTF">2026-01-25T13:52:00.0000000Z</dcterms:created>
  <dcterms:modified xsi:type="dcterms:W3CDTF">2026-01-26T13:48:17.3262628Z</dcterms:modified>
  <category/>
</coreProperties>
</file>