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left"/>
      </w:pPr>
      <w:r>
        <w:rPr>
          <w:rFonts w:ascii="Arial" w:cs="Arial" w:eastAsia="Arial" w:hAnsi="Arial"/>
          <w:b/>
          <w:bCs/>
          <w:color w:val="0D1B2A"/>
          <w:sz w:val="56"/>
          <w:szCs w:val="56"/>
        </w:rPr>
        <w:t xml:space="preserve">CONTROLWEAVE</w:t>
      </w:r>
    </w:p>
    <w:p>
      <w:pPr>
        <w:pBdr>
          <w:bottom w:val="single" w:color="2E75B6" w:sz="8" w:space="4"/>
        </w:pBdr>
        <w:spacing w:after="80" w:before="0"/>
      </w:pPr>
      <w:r>
        <w:rPr>
          <w:rFonts w:ascii="Arial" w:cs="Arial" w:eastAsia="Arial" w:hAnsi="Arial"/>
          <w:color w:val="2E75B6"/>
          <w:sz w:val="40"/>
          <w:szCs w:val="40"/>
        </w:rPr>
        <w:t xml:space="preserve">Go-to-Market Strategy</w:t>
      </w:r>
    </w:p>
    <w:p>
      <w:pPr>
        <w:spacing w:after="0" w:before="240"/>
      </w:pPr>
      <w:r>
        <w:t xml:space="preserve"/>
      </w:r>
    </w:p>
    <w:p>
      <w:pPr>
        <w:spacing w:after="60" w:before="0"/>
      </w:pPr>
      <w:r>
        <w:rPr>
          <w:rFonts w:ascii="Arial" w:cs="Arial" w:eastAsia="Arial" w:hAnsi="Arial"/>
          <w:b/>
          <w:bCs/>
          <w:color w:val="1A1A1A"/>
          <w:sz w:val="26"/>
          <w:szCs w:val="26"/>
        </w:rPr>
        <w:t xml:space="preserve">AI-Powered Governance, Risk &amp; Compliance</w:t>
      </w:r>
    </w:p>
    <w:p>
      <w:pPr>
        <w:spacing w:after="480" w:before="0"/>
      </w:pPr>
      <w:r>
        <w:rPr>
          <w:rFonts w:ascii="Arial" w:cs="Arial" w:eastAsia="Arial" w:hAnsi="Arial"/>
          <w:color w:val="444444"/>
          <w:sz w:val="22"/>
          <w:szCs w:val="22"/>
        </w:rPr>
        <w:t xml:space="preserve">Full-Launch Playbook  •  Q1–Q2 2026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pPr>
              <w:jc w:val="center"/>
            </w:pPr>
            <w:r>
              <w:rPr>
                <w:rFonts w:ascii="Arial" w:cs="Arial" w:eastAsia="Arial" w:hAnsi="Arial"/>
                <w:color w:val="AAAAAA"/>
                <w:sz w:val="18"/>
                <w:szCs w:val="18"/>
              </w:rPr>
              <w:t xml:space="preserve">Prepared By</w:t>
            </w:r>
          </w:p>
          <w:p>
            <w:pPr>
              <w:jc w:val="center"/>
            </w:pPr>
            <w:r>
              <w:rPr>
                <w:rFonts w:ascii="Arial" w:cs="Arial" w:eastAsia="Arial" w:hAnsi="Arial"/>
                <w:b/>
                <w:bCs/>
                <w:color w:val="FFFFFF"/>
                <w:sz w:val="22"/>
                <w:szCs w:val="22"/>
              </w:rPr>
              <w:t xml:space="preserve">Jaja Conteh</w:t>
            </w:r>
          </w:p>
          <w:p>
            <w:pPr>
              <w:jc w:val="center"/>
            </w:pPr>
            <w:r>
              <w:rPr>
                <w:rFonts w:ascii="Arial" w:cs="Arial" w:eastAsia="Arial" w:hAnsi="Arial"/>
                <w:color w:val="D5E8F0"/>
                <w:sz w:val="18"/>
                <w:szCs w:val="18"/>
              </w:rPr>
              <w:t xml:space="preserve">Conteh Consulting LLC</w:t>
            </w:r>
          </w:p>
        </w:tc>
        <w:tc>
          <w:tcPr>
            <w:tcW w:type="dxa" w:w="312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tcPr>
          <w:p>
            <w:pPr>
              <w:jc w:val="center"/>
            </w:pPr>
            <w:r>
              <w:rPr>
                <w:rFonts w:ascii="Arial" w:cs="Arial" w:eastAsia="Arial" w:hAnsi="Arial"/>
                <w:color w:val="AAAAAA"/>
                <w:sz w:val="18"/>
                <w:szCs w:val="18"/>
              </w:rPr>
              <w:t xml:space="preserve">Version</w:t>
            </w:r>
          </w:p>
          <w:p>
            <w:pPr>
              <w:jc w:val="center"/>
            </w:pPr>
            <w:r>
              <w:rPr>
                <w:rFonts w:ascii="Arial" w:cs="Arial" w:eastAsia="Arial" w:hAnsi="Arial"/>
                <w:b/>
                <w:bCs/>
                <w:color w:val="FFFFFF"/>
                <w:sz w:val="22"/>
                <w:szCs w:val="22"/>
              </w:rPr>
              <w:t xml:space="preserve">v1.0</w:t>
            </w:r>
          </w:p>
          <w:p>
            <w:pPr>
              <w:jc w:val="center"/>
            </w:pPr>
            <w:r>
              <w:rPr>
                <w:rFonts w:ascii="Arial" w:cs="Arial" w:eastAsia="Arial" w:hAnsi="Arial"/>
                <w:color w:val="FFFFFF"/>
                <w:sz w:val="18"/>
                <w:szCs w:val="18"/>
              </w:rPr>
              <w:t xml:space="preserve">February 2026</w:t>
            </w:r>
          </w:p>
        </w:tc>
        <w:tc>
          <w:tcPr>
            <w:tcW w:type="dxa" w:w="312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jc w:val="center"/>
            </w:pPr>
            <w:r>
              <w:rPr>
                <w:rFonts w:ascii="Arial" w:cs="Arial" w:eastAsia="Arial" w:hAnsi="Arial"/>
                <w:color w:val="444444"/>
                <w:sz w:val="18"/>
                <w:szCs w:val="18"/>
              </w:rPr>
              <w:t xml:space="preserve">Classification</w:t>
            </w:r>
          </w:p>
          <w:p>
            <w:pPr>
              <w:jc w:val="center"/>
            </w:pPr>
            <w:r>
              <w:rPr>
                <w:rFonts w:ascii="Arial" w:cs="Arial" w:eastAsia="Arial" w:hAnsi="Arial"/>
                <w:b/>
                <w:bCs/>
                <w:color w:val="0D1B2A"/>
                <w:sz w:val="22"/>
                <w:szCs w:val="22"/>
              </w:rPr>
              <w:t xml:space="preserve">Confidential</w:t>
            </w:r>
          </w:p>
          <w:p>
            <w:pPr>
              <w:jc w:val="center"/>
            </w:pPr>
            <w:r>
              <w:rPr>
                <w:rFonts w:ascii="Arial" w:cs="Arial" w:eastAsia="Arial" w:hAnsi="Arial"/>
                <w:color w:val="444444"/>
                <w:sz w:val="18"/>
                <w:szCs w:val="18"/>
              </w:rPr>
              <w:t xml:space="preserve">Internal Use Only</w:t>
            </w:r>
          </w:p>
        </w:tc>
      </w:tr>
    </w:tbl>
    <w:p>
      <w:r>
        <w:br w:type="page"/>
      </w:r>
    </w:p>
    <w:p>
      <w:pPr>
        <w:pStyle w:val="Heading1"/>
        <w:pBdr>
          <w:bottom w:val="single" w:color="2E75B6" w:sz="6" w:space="4"/>
        </w:pBdr>
        <w:spacing w:after="120" w:before="360"/>
      </w:pPr>
      <w:r>
        <w:rPr>
          <w:rFonts w:ascii="Arial" w:cs="Arial" w:eastAsia="Arial" w:hAnsi="Arial"/>
          <w:b/>
          <w:bCs/>
          <w:color w:val="0D1B2A"/>
          <w:sz w:val="28"/>
          <w:szCs w:val="28"/>
        </w:rPr>
        <w:t xml:space="preserve">1. Executive Summary</w:t>
      </w:r>
    </w:p>
    <w:p>
      <w:pPr>
        <w:spacing w:after="80" w:before="60"/>
      </w:pPr>
      <w:r>
        <w:rPr>
          <w:rFonts w:ascii="Arial" w:cs="Arial" w:eastAsia="Arial" w:hAnsi="Arial"/>
          <w:color w:val="1A1A1A"/>
          <w:sz w:val="22"/>
          <w:szCs w:val="22"/>
        </w:rPr>
        <w:t xml:space="preserve">ControlWeave is an AI-powered Governance, Risk &amp; Compliance (GRC) platform built for security leaders who need to manage multi-framework compliance programs — without the cost and complexity of legacy tools. This document defines the full go-to-market strategy to drive ControlWeave from private build to public market leader.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r>
              <w:rPr>
                <w:rFonts w:ascii="Arial" w:cs="Arial" w:eastAsia="Arial" w:hAnsi="Arial"/>
                <w:b/>
                <w:bCs/>
                <w:color w:val="2E75B6"/>
                <w:sz w:val="18"/>
                <w:szCs w:val="18"/>
              </w:rPr>
              <w:t xml:space="preserve">MARKET SIGNAL</w:t>
            </w:r>
          </w:p>
          <w:p>
            <w:pPr>
              <w:spacing w:before="40"/>
            </w:pPr>
            <w:r>
              <w:rPr>
                <w:rFonts w:ascii="Arial" w:cs="Arial" w:eastAsia="Arial" w:hAnsi="Arial"/>
                <w:color w:val="1A1A1A"/>
                <w:sz w:val="21"/>
                <w:szCs w:val="21"/>
              </w:rPr>
              <w:t xml:space="preserve">Gartner (Feb 2026): By 2030, fragmented AI regulation will cover 75% of the world’s economies. Organizations using specialized AI governance platforms are 3x more likely to achieve high effectiveness in managing AI risk.</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Strategic Objectives</w:t>
      </w:r>
    </w:p>
    <w:p>
      <w:pPr>
        <w:pStyle w:val="ListParagraph"/>
        <w:numPr>
          <w:ilvl w:val="0"/>
          <w:numId w:val="2"/>
        </w:numPr>
        <w:spacing w:after="40" w:before="40"/>
      </w:pPr>
      <w:r>
        <w:rPr>
          <w:rFonts w:ascii="Arial" w:cs="Arial" w:eastAsia="Arial" w:hAnsi="Arial"/>
          <w:color w:val="1A1A1A"/>
          <w:sz w:val="22"/>
          <w:szCs w:val="22"/>
        </w:rPr>
        <w:t xml:space="preserve">Establish ControlWeave as the default AI-era GRC platform for CISOs at mid-market and enterprise companies.</w:t>
      </w:r>
    </w:p>
    <w:p>
      <w:pPr>
        <w:pStyle w:val="ListParagraph"/>
        <w:numPr>
          <w:ilvl w:val="0"/>
          <w:numId w:val="2"/>
        </w:numPr>
        <w:spacing w:after="40" w:before="40"/>
      </w:pPr>
      <w:r>
        <w:rPr>
          <w:rFonts w:ascii="Arial" w:cs="Arial" w:eastAsia="Arial" w:hAnsi="Arial"/>
          <w:color w:val="1A1A1A"/>
          <w:sz w:val="22"/>
          <w:szCs w:val="22"/>
        </w:rPr>
        <w:t xml:space="preserve">Drive 50 paying customers in the first 90 days post-launch across Starter and Professional tiers.</w:t>
      </w:r>
    </w:p>
    <w:p>
      <w:pPr>
        <w:pStyle w:val="ListParagraph"/>
        <w:numPr>
          <w:ilvl w:val="0"/>
          <w:numId w:val="2"/>
        </w:numPr>
        <w:spacing w:after="40" w:before="40"/>
      </w:pPr>
      <w:r>
        <w:rPr>
          <w:rFonts w:ascii="Arial" w:cs="Arial" w:eastAsia="Arial" w:hAnsi="Arial"/>
          <w:color w:val="1A1A1A"/>
          <w:sz w:val="22"/>
          <w:szCs w:val="22"/>
        </w:rPr>
        <w:t xml:space="preserve">Build a community of 500+ active users on the open-source Community Edition within 6 months to create a bottom-up adoption flywheel.</w:t>
      </w:r>
    </w:p>
    <w:p>
      <w:pPr>
        <w:pStyle w:val="ListParagraph"/>
        <w:numPr>
          <w:ilvl w:val="0"/>
          <w:numId w:val="2"/>
        </w:numPr>
        <w:spacing w:after="40" w:before="40"/>
      </w:pPr>
      <w:r>
        <w:rPr>
          <w:rFonts w:ascii="Arial" w:cs="Arial" w:eastAsia="Arial" w:hAnsi="Arial"/>
          <w:color w:val="1A1A1A"/>
          <w:sz w:val="22"/>
          <w:szCs w:val="22"/>
        </w:rPr>
        <w:t xml:space="preserve">Position the NIST AI RMF and EU AI Act coverage as the definitive competitive moat in a market still catching up to AI governance mandates.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Summary of Key GTM Bets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360"/>
        <w:gridCol w:w="2200"/>
      </w:tblGrid>
      <w:tr>
        <w:trPr>
          <w:tblHeader/>
        </w:trPr>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Target Outcome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outbound to CISOs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qualified discovery calls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1–4</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 Edition open-source launch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 GitHub stars, 200 self-hosters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Act / NIST AI RMF content blitz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 organic LinkedIn impressions/post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Ongoing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GRC community presence (Reddit, Slack)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 inbound leads from community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Months 1–3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Partner with MSSP / consulting firms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referral partnerships signed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2–3</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Railway one-click deploy campaign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 trial deployments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1</w:t>
            </w:r>
          </w:p>
        </w:tc>
      </w:tr>
    </w:tbl>
    <w:p>
      <w:r>
        <w:br w:type="page"/>
      </w:r>
    </w:p>
    <w:p>
      <w:pPr>
        <w:pStyle w:val="Heading1"/>
        <w:pBdr>
          <w:bottom w:val="single" w:color="2E75B6" w:sz="6" w:space="4"/>
        </w:pBdr>
        <w:spacing w:after="120" w:before="360"/>
      </w:pPr>
      <w:r>
        <w:rPr>
          <w:rFonts w:ascii="Arial" w:cs="Arial" w:eastAsia="Arial" w:hAnsi="Arial"/>
          <w:b/>
          <w:bCs/>
          <w:color w:val="0D1B2A"/>
          <w:sz w:val="28"/>
          <w:szCs w:val="28"/>
        </w:rPr>
        <w:t xml:space="preserve">2. Market Opportunity</w:t>
      </w:r>
    </w:p>
    <w:p>
      <w:pPr>
        <w:pStyle w:val="Heading2"/>
        <w:spacing w:after="80" w:before="240"/>
      </w:pPr>
      <w:r>
        <w:rPr>
          <w:rFonts w:ascii="Arial" w:cs="Arial" w:eastAsia="Arial" w:hAnsi="Arial"/>
          <w:b/>
          <w:bCs/>
          <w:color w:val="2E75B6"/>
          <w:sz w:val="24"/>
          <w:szCs w:val="24"/>
        </w:rPr>
        <w:t xml:space="preserve">The GRC Market in 2026</w:t>
      </w:r>
    </w:p>
    <w:p>
      <w:pPr>
        <w:spacing w:after="80" w:before="60"/>
      </w:pPr>
      <w:r>
        <w:rPr>
          <w:rFonts w:ascii="Arial" w:cs="Arial" w:eastAsia="Arial" w:hAnsi="Arial"/>
          <w:color w:val="1A1A1A"/>
          <w:sz w:val="22"/>
          <w:szCs w:val="22"/>
        </w:rPr>
        <w:t xml:space="preserve">The compliance software market is undergoing the most significant shift in a decade. Three forces are converging to create an urgent, underserved buying moment:</w:t>
      </w:r>
    </w:p>
    <w:p>
      <w:pPr>
        <w:spacing w:after="0" w:before="60"/>
      </w:pPr>
      <w:r>
        <w:t xml:space="preserve"/>
      </w:r>
    </w:p>
    <w:p>
      <w:pPr>
        <w:pStyle w:val="Heading3"/>
        <w:spacing w:after="60" w:before="180"/>
      </w:pPr>
      <w:r>
        <w:rPr>
          <w:rFonts w:ascii="Arial" w:cs="Arial" w:eastAsia="Arial" w:hAnsi="Arial"/>
          <w:b/>
          <w:bCs/>
          <w:color w:val="1A1A1A"/>
          <w:sz w:val="22"/>
          <w:szCs w:val="22"/>
        </w:rPr>
        <w:t xml:space="preserve">Force 1 — AI Regulation Is Mandatory, Not Optional</w:t>
      </w:r>
    </w:p>
    <w:p>
      <w:pPr>
        <w:pStyle w:val="ListParagraph"/>
        <w:numPr>
          <w:ilvl w:val="0"/>
          <w:numId w:val="2"/>
        </w:numPr>
        <w:spacing w:after="40" w:before="40"/>
      </w:pPr>
      <w:r>
        <w:rPr>
          <w:rFonts w:ascii="Arial" w:cs="Arial" w:eastAsia="Arial" w:hAnsi="Arial"/>
          <w:color w:val="1A1A1A"/>
          <w:sz w:val="22"/>
          <w:szCs w:val="22"/>
        </w:rPr>
        <w:t xml:space="preserve">The EU AI Act is now in active enforcement for high-risk AI systems.</w:t>
      </w:r>
    </w:p>
    <w:p>
      <w:pPr>
        <w:pStyle w:val="ListParagraph"/>
        <w:numPr>
          <w:ilvl w:val="0"/>
          <w:numId w:val="2"/>
        </w:numPr>
        <w:spacing w:after="40" w:before="40"/>
      </w:pPr>
      <w:r>
        <w:rPr>
          <w:rFonts w:ascii="Arial" w:cs="Arial" w:eastAsia="Arial" w:hAnsi="Arial"/>
          <w:color w:val="1A1A1A"/>
          <w:sz w:val="22"/>
          <w:szCs w:val="22"/>
        </w:rPr>
        <w:t xml:space="preserve">US Executive Order 14110 requires federal agencies and contractors to adopt AI risk management practices.</w:t>
      </w:r>
    </w:p>
    <w:p>
      <w:pPr>
        <w:pStyle w:val="ListParagraph"/>
        <w:numPr>
          <w:ilvl w:val="0"/>
          <w:numId w:val="2"/>
        </w:numPr>
        <w:spacing w:after="40" w:before="40"/>
      </w:pPr>
      <w:r>
        <w:rPr>
          <w:rFonts w:ascii="Arial" w:cs="Arial" w:eastAsia="Arial" w:hAnsi="Arial"/>
          <w:color w:val="1A1A1A"/>
          <w:sz w:val="22"/>
          <w:szCs w:val="22"/>
        </w:rPr>
        <w:t xml:space="preserve">10 major global jurisdictions have enacted or are actively enforcing AI-specific regulations.</w:t>
      </w:r>
    </w:p>
    <w:p>
      <w:pPr>
        <w:pStyle w:val="ListParagraph"/>
        <w:numPr>
          <w:ilvl w:val="0"/>
          <w:numId w:val="2"/>
        </w:numPr>
        <w:spacing w:after="40" w:before="40"/>
      </w:pPr>
      <w:r>
        <w:rPr>
          <w:rFonts w:ascii="Arial" w:cs="Arial" w:eastAsia="Arial" w:hAnsi="Arial"/>
          <w:color w:val="1A1A1A"/>
          <w:sz w:val="22"/>
          <w:szCs w:val="22"/>
        </w:rPr>
        <w:t xml:space="preserve">Organizations face compliance deadlines they cannot miss — and most have no tooling to manage them.</w:t>
      </w:r>
    </w:p>
    <w:p>
      <w:pPr>
        <w:spacing w:after="0" w:before="80"/>
      </w:pPr>
      <w:r>
        <w:t xml:space="preserve"/>
      </w:r>
    </w:p>
    <w:p>
      <w:pPr>
        <w:pStyle w:val="Heading3"/>
        <w:spacing w:after="60" w:before="180"/>
      </w:pPr>
      <w:r>
        <w:rPr>
          <w:rFonts w:ascii="Arial" w:cs="Arial" w:eastAsia="Arial" w:hAnsi="Arial"/>
          <w:b/>
          <w:bCs/>
          <w:color w:val="1A1A1A"/>
          <w:sz w:val="22"/>
          <w:szCs w:val="22"/>
        </w:rPr>
        <w:t xml:space="preserve">Force 2 — Multi-Framework Overload</w:t>
      </w:r>
    </w:p>
    <w:p>
      <w:pPr>
        <w:pStyle w:val="ListParagraph"/>
        <w:numPr>
          <w:ilvl w:val="0"/>
          <w:numId w:val="2"/>
        </w:numPr>
        <w:spacing w:after="40" w:before="40"/>
      </w:pPr>
      <w:r>
        <w:rPr>
          <w:rFonts w:ascii="Arial" w:cs="Arial" w:eastAsia="Arial" w:hAnsi="Arial"/>
          <w:color w:val="1A1A1A"/>
          <w:sz w:val="22"/>
          <w:szCs w:val="22"/>
        </w:rPr>
        <w:t xml:space="preserve">Organizations will deploy an average of 10 GRC solutions by 2028 (Gartner).</w:t>
      </w:r>
    </w:p>
    <w:p>
      <w:pPr>
        <w:pStyle w:val="ListParagraph"/>
        <w:numPr>
          <w:ilvl w:val="0"/>
          <w:numId w:val="2"/>
        </w:numPr>
        <w:spacing w:after="40" w:before="40"/>
      </w:pPr>
      <w:r>
        <w:rPr>
          <w:rFonts w:ascii="Arial" w:cs="Arial" w:eastAsia="Arial" w:hAnsi="Arial"/>
          <w:color w:val="1A1A1A"/>
          <w:sz w:val="22"/>
          <w:szCs w:val="22"/>
        </w:rPr>
        <w:t xml:space="preserve">Most GRC tools are single-framework or built for the pre-AI regulatory era.</w:t>
      </w:r>
    </w:p>
    <w:p>
      <w:pPr>
        <w:pStyle w:val="ListParagraph"/>
        <w:numPr>
          <w:ilvl w:val="0"/>
          <w:numId w:val="2"/>
        </w:numPr>
        <w:spacing w:after="40" w:before="40"/>
      </w:pPr>
      <w:r>
        <w:rPr>
          <w:rFonts w:ascii="Arial" w:cs="Arial" w:eastAsia="Arial" w:hAnsi="Arial"/>
          <w:color w:val="1A1A1A"/>
          <w:sz w:val="22"/>
          <w:szCs w:val="22"/>
        </w:rPr>
        <w:t xml:space="preserve">Security teams are managing NIST 800-53, SOC 2, ISO 27001, HIPAA, NERC CIP, NIST AI RMF, and EU AI Act simultaneously — in spreadsheets.</w:t>
      </w:r>
    </w:p>
    <w:p>
      <w:pPr>
        <w:spacing w:after="0" w:before="80"/>
      </w:pPr>
      <w:r>
        <w:t xml:space="preserve"/>
      </w:r>
    </w:p>
    <w:p>
      <w:pPr>
        <w:pStyle w:val="Heading3"/>
        <w:spacing w:after="60" w:before="180"/>
      </w:pPr>
      <w:r>
        <w:rPr>
          <w:rFonts w:ascii="Arial" w:cs="Arial" w:eastAsia="Arial" w:hAnsi="Arial"/>
          <w:b/>
          <w:bCs/>
          <w:color w:val="1A1A1A"/>
          <w:sz w:val="22"/>
          <w:szCs w:val="22"/>
        </w:rPr>
        <w:t xml:space="preserve">Force 3 — AI Copilots Are Replacing Analyst Hours</w:t>
      </w:r>
    </w:p>
    <w:p>
      <w:pPr>
        <w:pStyle w:val="ListParagraph"/>
        <w:numPr>
          <w:ilvl w:val="0"/>
          <w:numId w:val="2"/>
        </w:numPr>
        <w:spacing w:after="40" w:before="40"/>
      </w:pPr>
      <w:r>
        <w:rPr>
          <w:rFonts w:ascii="Arial" w:cs="Arial" w:eastAsia="Arial" w:hAnsi="Arial"/>
          <w:color w:val="1A1A1A"/>
          <w:sz w:val="22"/>
          <w:szCs w:val="22"/>
        </w:rPr>
        <w:t xml:space="preserve">GRC evidence collection is manual, repetitive, and expensive.</w:t>
      </w:r>
    </w:p>
    <w:p>
      <w:pPr>
        <w:pStyle w:val="ListParagraph"/>
        <w:numPr>
          <w:ilvl w:val="0"/>
          <w:numId w:val="2"/>
        </w:numPr>
        <w:spacing w:after="40" w:before="40"/>
      </w:pPr>
      <w:r>
        <w:rPr>
          <w:rFonts w:ascii="Arial" w:cs="Arial" w:eastAsia="Arial" w:hAnsi="Arial"/>
          <w:color w:val="1A1A1A"/>
          <w:sz w:val="22"/>
          <w:szCs w:val="22"/>
        </w:rPr>
        <w:t xml:space="preserve">Early adopters using AI-assisted GRC platforms are compressing 6-month audit cycles to weeks.</w:t>
      </w:r>
    </w:p>
    <w:p>
      <w:pPr>
        <w:pStyle w:val="ListParagraph"/>
        <w:numPr>
          <w:ilvl w:val="0"/>
          <w:numId w:val="2"/>
        </w:numPr>
        <w:spacing w:after="40" w:before="40"/>
      </w:pPr>
      <w:r>
        <w:rPr>
          <w:rFonts w:ascii="Arial" w:cs="Arial" w:eastAsia="Arial" w:hAnsi="Arial"/>
          <w:color w:val="1A1A1A"/>
          <w:sz w:val="22"/>
          <w:szCs w:val="22"/>
        </w:rPr>
        <w:t xml:space="preserve">The shift is from reactive, audit-based approaches to proactive, embedded, always-on compliance frameworks.</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r>
              <w:rPr>
                <w:rFonts w:ascii="Arial" w:cs="Arial" w:eastAsia="Arial" w:hAnsi="Arial"/>
                <w:b/>
                <w:bCs/>
                <w:color w:val="2E75B6"/>
                <w:sz w:val="18"/>
                <w:szCs w:val="18"/>
              </w:rPr>
              <w:t xml:space="preserve">COMPETITIVE POSITIONING</w:t>
            </w:r>
          </w:p>
          <w:p>
            <w:pPr>
              <w:spacing w:before="40"/>
            </w:pPr>
            <w:r>
              <w:rPr>
                <w:rFonts w:ascii="Arial" w:cs="Arial" w:eastAsia="Arial" w:hAnsi="Arial"/>
                <w:color w:val="1A1A1A"/>
                <w:sz w:val="21"/>
                <w:szCs w:val="21"/>
              </w:rPr>
              <w:t xml:space="preserve">ControlWeave is the only platform that combines a community-edition freemium model with enterprise AI governance coverage (NIST AI RMF, EU AI Act, NIST CAISI) and a BYOK AI Copilot — creating a unique wedge in a crowded market.</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Estimated TAM</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ControlWeave Entry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Governance 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Platforms for AI risk, monitoring, and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$4.2B by 2028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NIST AI RMF + EU AI Act modules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GRC Platforms (Mid-Market)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500–5,000 employee orgs with compliance needs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$8.1B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Starter / Professional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GRC Platforms (Enterprise)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 employee regulated orgs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$14.3B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 tier + MSSP channel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 Source GRC (Self-Hosted)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DevSecOps / compliance engineers self-hosting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Freemium land-and-expand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 Edition</w:t>
            </w:r>
          </w:p>
        </w:tc>
      </w:tr>
    </w:tbl>
    <w:p>
      <w:r>
        <w:br w:type="page"/>
      </w:r>
    </w:p>
    <w:p>
      <w:pPr>
        <w:pStyle w:val="Heading1"/>
        <w:pBdr>
          <w:bottom w:val="single" w:color="2E75B6" w:sz="6" w:space="4"/>
        </w:pBdr>
        <w:spacing w:after="120" w:before="360"/>
      </w:pPr>
      <w:r>
        <w:rPr>
          <w:rFonts w:ascii="Arial" w:cs="Arial" w:eastAsia="Arial" w:hAnsi="Arial"/>
          <w:b/>
          <w:bCs/>
          <w:color w:val="0D1B2A"/>
          <w:sz w:val="28"/>
          <w:szCs w:val="28"/>
        </w:rPr>
        <w:t xml:space="preserve">3. Ideal Customer Profile (ICP)</w:t>
      </w:r>
    </w:p>
    <w:p>
      <w:pPr>
        <w:pStyle w:val="Heading2"/>
        <w:spacing w:after="80" w:before="240"/>
      </w:pPr>
      <w:r>
        <w:rPr>
          <w:rFonts w:ascii="Arial" w:cs="Arial" w:eastAsia="Arial" w:hAnsi="Arial"/>
          <w:b/>
          <w:bCs/>
          <w:color w:val="2E75B6"/>
          <w:sz w:val="24"/>
          <w:szCs w:val="24"/>
        </w:rPr>
        <w:t xml:space="preserve">Primary ICP: The Compliance-Accountable CISO</w:t>
      </w:r>
    </w:p>
    <w:p>
      <w:pPr>
        <w:spacing w:after="80" w:before="60"/>
      </w:pPr>
      <w:r>
        <w:rPr>
          <w:rFonts w:ascii="Arial" w:cs="Arial" w:eastAsia="Arial" w:hAnsi="Arial"/>
          <w:color w:val="1A1A1A"/>
          <w:sz w:val="22"/>
          <w:szCs w:val="22"/>
        </w:rPr>
        <w:t xml:space="preserve">The primary buyer is a CISO or Director of Security at a mid-market to enterprise company (250–5,000 employees) in a regulated industry who is personally accountable for compliance posture and has board-level visibility into risk.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CISO, VP of Security, Director of Compliance, GRC Manager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Company Size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250–5,000 employees (Starter/Pro); 5,000+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Industries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Financial Services, Healthcare, SaaS / Technology, Federal Contractors, Energy / Utilities (NERC CIP)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Frameworks In Scope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NIST 800-53, SOC 2, ISO 27001, HIPAA, NIST AI RMF, EU AI Act, NERC CIP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Managing compliance in spreadsheets or legacy tools (Archer, ServiceNow IRM, Vanta)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Key Pain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Multiple frameworks, manual evidence collection, AI Act deadlines, no AI system inventory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Budget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$50K–$500K/year GRC tooling budget; direct or with CFO approval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Decision Timeline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2–3 months; accelerated by audit deadline or AI Act enforcement action</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Secondary ICP: AI/ML Compliance Engineer</w:t>
      </w:r>
    </w:p>
    <w:p>
      <w:pPr>
        <w:spacing w:after="80" w:before="60"/>
      </w:pPr>
      <w:r>
        <w:rPr>
          <w:rFonts w:ascii="Arial" w:cs="Arial" w:eastAsia="Arial" w:hAnsi="Arial"/>
          <w:color w:val="1A1A1A"/>
          <w:sz w:val="22"/>
          <w:szCs w:val="22"/>
        </w:rPr>
        <w:t xml:space="preserve">Emerging buyer persona as AI governance becomes a distinct function. Technical practitioners at companies building or deploying AI systems who need to prove compliance with NIST AI RMF, EU AI Act, or internal AI governance policies.</w:t>
      </w:r>
    </w:p>
    <w:p>
      <w:pPr>
        <w:pStyle w:val="ListParagraph"/>
        <w:numPr>
          <w:ilvl w:val="0"/>
          <w:numId w:val="2"/>
        </w:numPr>
        <w:spacing w:after="40" w:before="40"/>
      </w:pPr>
      <w:r>
        <w:rPr>
          <w:rFonts w:ascii="Arial" w:cs="Arial" w:eastAsia="Arial" w:hAnsi="Arial"/>
          <w:color w:val="1A1A1A"/>
          <w:sz w:val="22"/>
          <w:szCs w:val="22"/>
        </w:rPr>
        <w:t xml:space="preserve">Titles: AI Risk Analyst, ML Security Engineer, Responsible AI Lead, AI Compliance Manager</w:t>
      </w:r>
    </w:p>
    <w:p>
      <w:pPr>
        <w:pStyle w:val="ListParagraph"/>
        <w:numPr>
          <w:ilvl w:val="0"/>
          <w:numId w:val="2"/>
        </w:numPr>
        <w:spacing w:after="40" w:before="40"/>
      </w:pPr>
      <w:r>
        <w:rPr>
          <w:rFonts w:ascii="Arial" w:cs="Arial" w:eastAsia="Arial" w:hAnsi="Arial"/>
          <w:color w:val="1A1A1A"/>
          <w:sz w:val="22"/>
          <w:szCs w:val="22"/>
        </w:rPr>
        <w:t xml:space="preserve">Entry point: Community Edition self-deployment → upgrade to Professional for AI monitoring and AIBOM features</w:t>
      </w:r>
    </w:p>
    <w:p>
      <w:pPr>
        <w:pStyle w:val="ListParagraph"/>
        <w:numPr>
          <w:ilvl w:val="0"/>
          <w:numId w:val="2"/>
        </w:numPr>
        <w:spacing w:after="40" w:before="40"/>
      </w:pPr>
      <w:r>
        <w:rPr>
          <w:rFonts w:ascii="Arial" w:cs="Arial" w:eastAsia="Arial" w:hAnsi="Arial"/>
          <w:color w:val="1A1A1A"/>
          <w:sz w:val="22"/>
          <w:szCs w:val="22"/>
        </w:rPr>
        <w:t xml:space="preserve">Champion path: Bottom-up adoption → introduces ControlWeave to CISO for enterprise rollout</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Negative ICP (Who to Deprioritize)</w:t>
      </w:r>
    </w:p>
    <w:p>
      <w:pPr>
        <w:pStyle w:val="ListParagraph"/>
        <w:numPr>
          <w:ilvl w:val="0"/>
          <w:numId w:val="2"/>
        </w:numPr>
        <w:spacing w:after="40" w:before="40"/>
      </w:pPr>
      <w:r>
        <w:rPr>
          <w:rFonts w:ascii="Arial" w:cs="Arial" w:eastAsia="Arial" w:hAnsi="Arial"/>
          <w:color w:val="1A1A1A"/>
          <w:sz w:val="22"/>
          <w:szCs w:val="22"/>
        </w:rPr>
        <w:t xml:space="preserve">Companies under 50 employees without a dedicated compliance function</w:t>
      </w:r>
    </w:p>
    <w:p>
      <w:pPr>
        <w:pStyle w:val="ListParagraph"/>
        <w:numPr>
          <w:ilvl w:val="0"/>
          <w:numId w:val="2"/>
        </w:numPr>
        <w:spacing w:after="40" w:before="40"/>
      </w:pPr>
      <w:r>
        <w:rPr>
          <w:rFonts w:ascii="Arial" w:cs="Arial" w:eastAsia="Arial" w:hAnsi="Arial"/>
          <w:color w:val="1A1A1A"/>
          <w:sz w:val="22"/>
          <w:szCs w:val="22"/>
        </w:rPr>
        <w:t xml:space="preserve">Organizations with no regulatory obligation (pure lifestyle / B2C non-regulated businesses)</w:t>
      </w:r>
    </w:p>
    <w:p>
      <w:pPr>
        <w:pStyle w:val="ListParagraph"/>
        <w:numPr>
          <w:ilvl w:val="0"/>
          <w:numId w:val="2"/>
        </w:numPr>
        <w:spacing w:after="40" w:before="40"/>
      </w:pPr>
      <w:r>
        <w:rPr>
          <w:rFonts w:ascii="Arial" w:cs="Arial" w:eastAsia="Arial" w:hAnsi="Arial"/>
          <w:color w:val="1A1A1A"/>
          <w:sz w:val="22"/>
          <w:szCs w:val="22"/>
        </w:rPr>
        <w:t xml:space="preserve">Prospects already locked into multi-year ServiceNow or Archer contracts with no near-term renewal</w:t>
      </w:r>
    </w:p>
    <w:p>
      <w:r>
        <w:br w:type="page"/>
      </w:r>
    </w:p>
    <w:p>
      <w:pPr>
        <w:pStyle w:val="Heading1"/>
        <w:pBdr>
          <w:bottom w:val="single" w:color="2E75B6" w:sz="6" w:space="4"/>
        </w:pBdr>
        <w:spacing w:after="120" w:before="360"/>
      </w:pPr>
      <w:r>
        <w:rPr>
          <w:rFonts w:ascii="Arial" w:cs="Arial" w:eastAsia="Arial" w:hAnsi="Arial"/>
          <w:b/>
          <w:bCs/>
          <w:color w:val="0D1B2A"/>
          <w:sz w:val="28"/>
          <w:szCs w:val="28"/>
        </w:rPr>
        <w:t xml:space="preserve">4. Positioning &amp; Messaging</w:t>
      </w:r>
    </w:p>
    <w:p>
      <w:pPr>
        <w:pStyle w:val="Heading2"/>
        <w:spacing w:after="80" w:before="240"/>
      </w:pPr>
      <w:r>
        <w:rPr>
          <w:rFonts w:ascii="Arial" w:cs="Arial" w:eastAsia="Arial" w:hAnsi="Arial"/>
          <w:b/>
          <w:bCs/>
          <w:color w:val="2E75B6"/>
          <w:sz w:val="24"/>
          <w:szCs w:val="24"/>
        </w:rPr>
        <w:t xml:space="preserve">Core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200"/>
              <w:left w:type="dxa" w:w="300"/>
              <w:bottom w:type="dxa" w:w="200"/>
              <w:right w:type="dxa" w:w="300"/>
            </w:tcMar>
          </w:tcPr>
          <w:p>
            <w:r>
              <w:rPr>
                <w:rFonts w:ascii="Arial" w:cs="Arial" w:eastAsia="Arial" w:hAnsi="Arial"/>
                <w:i/>
                <w:iCs/>
                <w:color w:val="1A1A1A"/>
                <w:sz w:val="23"/>
                <w:szCs w:val="23"/>
              </w:rPr>
              <w:t xml:space="preserve">For CISOs and GRC teams at regulated organizations, ControlWeave is the AI-powered compliance platform that replaces your spreadsheet-based evidence workflows with an always-on, multi-framework GRC system — starting free and scaling to enterprise. Unlike legacy GRC tools that require expensive implementations and lock you into single frameworks, ControlWeave gives you 18+ compliance frameworks, an AI Copilot you control, and real-time AI system monitoring out of the box.</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Message Hierarchy by Audience</w:t>
      </w:r>
    </w:p>
    <w:p>
      <w:pPr>
        <w:pStyle w:val="Heading3"/>
        <w:spacing w:after="60" w:before="180"/>
      </w:pPr>
      <w:r>
        <w:rPr>
          <w:rFonts w:ascii="Arial" w:cs="Arial" w:eastAsia="Arial" w:hAnsi="Arial"/>
          <w:b/>
          <w:bCs/>
          <w:color w:val="1A1A1A"/>
          <w:sz w:val="22"/>
          <w:szCs w:val="22"/>
        </w:rPr>
        <w:t xml:space="preserve">For CISOs (Economic Buyer)</w:t>
      </w:r>
    </w:p>
    <w:p>
      <w:pPr>
        <w:pStyle w:val="ListParagraph"/>
        <w:numPr>
          <w:ilvl w:val="0"/>
          <w:numId w:val="2"/>
        </w:numPr>
        <w:spacing w:after="40" w:before="40"/>
      </w:pPr>
      <w:r>
        <w:rPr>
          <w:rFonts w:ascii="Arial" w:cs="Arial" w:eastAsia="Arial" w:hAnsi="Arial"/>
          <w:color w:val="1A1A1A"/>
          <w:sz w:val="22"/>
          <w:szCs w:val="22"/>
        </w:rPr>
        <w:t xml:space="preserve">Reduce audit preparation time by up to 70% with AI-assisted evidence collection and automated control crosswalks.</w:t>
      </w:r>
    </w:p>
    <w:p>
      <w:pPr>
        <w:pStyle w:val="ListParagraph"/>
        <w:numPr>
          <w:ilvl w:val="0"/>
          <w:numId w:val="2"/>
        </w:numPr>
        <w:spacing w:after="40" w:before="40"/>
      </w:pPr>
      <w:r>
        <w:rPr>
          <w:rFonts w:ascii="Arial" w:cs="Arial" w:eastAsia="Arial" w:hAnsi="Arial"/>
          <w:color w:val="1A1A1A"/>
          <w:sz w:val="22"/>
          <w:szCs w:val="22"/>
        </w:rPr>
        <w:t xml:space="preserve">The only GRC platform with built-in NIST AI RMF and EU AI Act compliance — your AI governance posture, covered from day one.</w:t>
      </w:r>
    </w:p>
    <w:p>
      <w:pPr>
        <w:pStyle w:val="ListParagraph"/>
        <w:numPr>
          <w:ilvl w:val="0"/>
          <w:numId w:val="2"/>
        </w:numPr>
        <w:spacing w:after="40" w:before="40"/>
      </w:pPr>
      <w:r>
        <w:rPr>
          <w:rFonts w:ascii="Arial" w:cs="Arial" w:eastAsia="Arial" w:hAnsi="Arial"/>
          <w:color w:val="1A1A1A"/>
          <w:sz w:val="22"/>
          <w:szCs w:val="22"/>
        </w:rPr>
        <w:t xml:space="preserve">Start with the Community Edition at zero cost. Upgrade when you’re ready. No six-month implementation.</w:t>
      </w:r>
    </w:p>
    <w:p>
      <w:pPr>
        <w:spacing w:after="0" w:before="80"/>
      </w:pPr>
      <w:r>
        <w:t xml:space="preserve"/>
      </w:r>
    </w:p>
    <w:p>
      <w:pPr>
        <w:pStyle w:val="Heading3"/>
        <w:spacing w:after="60" w:before="180"/>
      </w:pPr>
      <w:r>
        <w:rPr>
          <w:rFonts w:ascii="Arial" w:cs="Arial" w:eastAsia="Arial" w:hAnsi="Arial"/>
          <w:b/>
          <w:bCs/>
          <w:color w:val="1A1A1A"/>
          <w:sz w:val="22"/>
          <w:szCs w:val="22"/>
        </w:rPr>
        <w:t xml:space="preserve">For GRC / Compliance Teams (End User)</w:t>
      </w:r>
    </w:p>
    <w:p>
      <w:pPr>
        <w:pStyle w:val="ListParagraph"/>
        <w:numPr>
          <w:ilvl w:val="0"/>
          <w:numId w:val="2"/>
        </w:numPr>
        <w:spacing w:after="40" w:before="40"/>
      </w:pPr>
      <w:r>
        <w:rPr>
          <w:rFonts w:ascii="Arial" w:cs="Arial" w:eastAsia="Arial" w:hAnsi="Arial"/>
          <w:color w:val="1A1A1A"/>
          <w:sz w:val="22"/>
          <w:szCs w:val="22"/>
        </w:rPr>
        <w:t xml:space="preserve">Stop managing 1,007 NIST 800-53 controls in Excel. ControlWeave maps controls across all your frameworks automatically.</w:t>
      </w:r>
    </w:p>
    <w:p>
      <w:pPr>
        <w:pStyle w:val="ListParagraph"/>
        <w:numPr>
          <w:ilvl w:val="0"/>
          <w:numId w:val="2"/>
        </w:numPr>
        <w:spacing w:after="40" w:before="40"/>
      </w:pPr>
      <w:r>
        <w:rPr>
          <w:rFonts w:ascii="Arial" w:cs="Arial" w:eastAsia="Arial" w:hAnsi="Arial"/>
          <w:color w:val="1A1A1A"/>
          <w:sz w:val="22"/>
          <w:szCs w:val="22"/>
        </w:rPr>
        <w:t xml:space="preserve">Bring your own AI key — use Anthropic, OpenAI, or Google models. Your data never leaves your environment.</w:t>
      </w:r>
    </w:p>
    <w:p>
      <w:pPr>
        <w:pStyle w:val="ListParagraph"/>
        <w:numPr>
          <w:ilvl w:val="0"/>
          <w:numId w:val="2"/>
        </w:numPr>
        <w:spacing w:after="40" w:before="40"/>
      </w:pPr>
      <w:r>
        <w:rPr>
          <w:rFonts w:ascii="Arial" w:cs="Arial" w:eastAsia="Arial" w:hAnsi="Arial"/>
          <w:color w:val="1A1A1A"/>
          <w:sz w:val="22"/>
          <w:szCs w:val="22"/>
        </w:rPr>
        <w:t xml:space="preserve">186 built-in assessment procedures, POAM tracking, and an immutable audit trail. Everything your auditor wants to see.</w:t>
      </w:r>
    </w:p>
    <w:p>
      <w:pPr>
        <w:spacing w:after="0" w:before="80"/>
      </w:pPr>
      <w:r>
        <w:t xml:space="preserve"/>
      </w:r>
    </w:p>
    <w:p>
      <w:pPr>
        <w:pStyle w:val="Heading3"/>
        <w:spacing w:after="60" w:before="180"/>
      </w:pPr>
      <w:r>
        <w:rPr>
          <w:rFonts w:ascii="Arial" w:cs="Arial" w:eastAsia="Arial" w:hAnsi="Arial"/>
          <w:b/>
          <w:bCs/>
          <w:color w:val="1A1A1A"/>
          <w:sz w:val="22"/>
          <w:szCs w:val="22"/>
        </w:rPr>
        <w:t xml:space="preserve">For Technical Champions (AI/ML Engineers)</w:t>
      </w:r>
    </w:p>
    <w:p>
      <w:pPr>
        <w:pStyle w:val="ListParagraph"/>
        <w:numPr>
          <w:ilvl w:val="0"/>
          <w:numId w:val="2"/>
        </w:numPr>
        <w:spacing w:after="40" w:before="40"/>
      </w:pPr>
      <w:r>
        <w:rPr>
          <w:rFonts w:ascii="Arial" w:cs="Arial" w:eastAsia="Arial" w:hAnsi="Arial"/>
          <w:color w:val="1A1A1A"/>
          <w:sz w:val="22"/>
          <w:szCs w:val="22"/>
        </w:rPr>
        <w:t xml:space="preserve">First-class AI system inventory: track every model, agent, and AI component in your AIBOM.</w:t>
      </w:r>
    </w:p>
    <w:p>
      <w:pPr>
        <w:pStyle w:val="ListParagraph"/>
        <w:numPr>
          <w:ilvl w:val="0"/>
          <w:numId w:val="2"/>
        </w:numPr>
        <w:spacing w:after="40" w:before="40"/>
      </w:pPr>
      <w:r>
        <w:rPr>
          <w:rFonts w:ascii="Arial" w:cs="Arial" w:eastAsia="Arial" w:hAnsi="Arial"/>
          <w:color w:val="1A1A1A"/>
          <w:sz w:val="22"/>
          <w:szCs w:val="22"/>
        </w:rPr>
        <w:t xml:space="preserve">Real-time monitoring with anomaly detection, threshold rules, and automatic blocking of policy violations.</w:t>
      </w:r>
    </w:p>
    <w:p>
      <w:pPr>
        <w:pStyle w:val="ListParagraph"/>
        <w:numPr>
          <w:ilvl w:val="0"/>
          <w:numId w:val="2"/>
        </w:numPr>
        <w:spacing w:after="40" w:before="40"/>
      </w:pPr>
      <w:r>
        <w:rPr>
          <w:rFonts w:ascii="Arial" w:cs="Arial" w:eastAsia="Arial" w:hAnsi="Arial"/>
          <w:color w:val="1A1A1A"/>
          <w:sz w:val="22"/>
          <w:szCs w:val="22"/>
        </w:rPr>
        <w:t xml:space="preserve">MCP Server support — connect your AI agents directly to ControlWeave for native governance integration.</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0"/>
        <w:gridCol w:w="1310"/>
        <w:gridCol w:w="1310"/>
        <w:gridCol w:w="1310"/>
        <w:gridCol w:w="132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31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ControlWeave</w:t>
            </w:r>
          </w:p>
        </w:tc>
        <w:tc>
          <w:tcPr>
            <w:tcW w:type="dxa" w:w="131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Vanta</w:t>
            </w:r>
          </w:p>
        </w:tc>
        <w:tc>
          <w:tcPr>
            <w:tcW w:type="dxa" w:w="131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Drata</w:t>
            </w:r>
          </w:p>
        </w:tc>
        <w:tc>
          <w:tcPr>
            <w:tcW w:type="dxa" w:w="131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ServiceNow IRM</w:t>
            </w:r>
          </w:p>
        </w:tc>
        <w:tc>
          <w:tcPr>
            <w:tcW w:type="dxa" w:w="13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Archer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 to Start</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(Community)</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$15K+/yr</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$10K+/yr</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$50K+/yr</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$100K+/yr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NIST AI RMF</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Native</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 AI Act</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Native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 Copilot (BYOK)</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6 providers</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System Monitoring</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Real-time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Frameworks Supported</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 (complex)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Source Option</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Community Ed.</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 to Value</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15 minutes</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Weeks</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Weeks</w:t>
            </w:r>
          </w:p>
        </w:tc>
        <w:tc>
          <w:tcPr>
            <w:tcW w:type="dxa" w:w="13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Months</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6–18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MCP / API Access</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 API + MCP</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Limited</w:t>
            </w:r>
          </w:p>
        </w:tc>
      </w:tr>
    </w:tbl>
    <w:p>
      <w:r>
        <w:br w:type="page"/>
      </w:r>
    </w:p>
    <w:p>
      <w:pPr>
        <w:pStyle w:val="Heading1"/>
        <w:pBdr>
          <w:bottom w:val="single" w:color="2E75B6" w:sz="6" w:space="4"/>
        </w:pBdr>
        <w:spacing w:after="120" w:before="360"/>
      </w:pPr>
      <w:r>
        <w:rPr>
          <w:rFonts w:ascii="Arial" w:cs="Arial" w:eastAsia="Arial" w:hAnsi="Arial"/>
          <w:b/>
          <w:bCs/>
          <w:color w:val="0D1B2A"/>
          <w:sz w:val="28"/>
          <w:szCs w:val="28"/>
        </w:rPr>
        <w:t xml:space="preserve">5. Pricing Strategy</w:t>
      </w:r>
    </w:p>
    <w:p>
      <w:pPr>
        <w:pStyle w:val="Heading2"/>
        <w:spacing w:after="80" w:before="240"/>
      </w:pPr>
      <w:r>
        <w:rPr>
          <w:rFonts w:ascii="Arial" w:cs="Arial" w:eastAsia="Arial" w:hAnsi="Arial"/>
          <w:b/>
          <w:bCs/>
          <w:color w:val="2E75B6"/>
          <w:sz w:val="24"/>
          <w:szCs w:val="24"/>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300"/>
        <w:gridCol w:w="1500"/>
        <w:gridCol w:w="2560"/>
        <w:gridCol w:w="150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Frameworks</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AI Requests/mo</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Target Buyer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GRC, open source, self-hosted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Engineers, small teams, trial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Starter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$179/mo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CMDB (50 assets), webhooks, REST API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SMB compliance teams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Professional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$799/mo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SSO, SIEM, advanced analytics, priority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Mid-market GRC teams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Enterprise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$2,999/mo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Custom frameworks, dedicated CSM, SLA, on-prem option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Enterprise / Federal</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GTM Pricing Tactics</w:t>
      </w:r>
    </w:p>
    <w:p>
      <w:pPr>
        <w:pStyle w:val="ListParagraph"/>
        <w:numPr>
          <w:ilvl w:val="0"/>
          <w:numId w:val="2"/>
        </w:numPr>
        <w:spacing w:after="40" w:before="40"/>
      </w:pPr>
      <w:r>
        <w:rPr>
          <w:rFonts w:ascii="Arial" w:cs="Arial" w:eastAsia="Arial" w:hAnsi="Arial"/>
          <w:b/>
          <w:bCs/>
          <w:color w:val="1A1A1A"/>
          <w:sz w:val="22"/>
          <w:szCs w:val="22"/>
        </w:rPr>
        <w:t xml:space="preserve">90-day free trial of Professional tier (no credit card) to accelerate CISO adoption during initial outreach. </w:t>
      </w:r>
      <w:r>
        <w:rPr>
          <w:rFonts w:ascii="Arial" w:cs="Arial" w:eastAsia="Arial" w:hAnsi="Arial"/>
          <w:color w:val="1A1A1A"/>
          <w:sz w:val="22"/>
          <w:szCs w:val="22"/>
        </w:rPr>
        <w:t xml:space="preserve">Launch Offer:</w:t>
      </w:r>
    </w:p>
    <w:p>
      <w:pPr>
        <w:pStyle w:val="ListParagraph"/>
        <w:numPr>
          <w:ilvl w:val="0"/>
          <w:numId w:val="2"/>
        </w:numPr>
        <w:spacing w:after="40" w:before="40"/>
      </w:pPr>
      <w:r>
        <w:rPr>
          <w:rFonts w:ascii="Arial" w:cs="Arial" w:eastAsia="Arial" w:hAnsi="Arial"/>
          <w:b/>
          <w:bCs/>
          <w:color w:val="1A1A1A"/>
          <w:sz w:val="22"/>
          <w:szCs w:val="22"/>
        </w:rPr>
        <w:t xml:space="preserve">2 months free on annual commitment (Starter: $1,790/yr; Professional: $7,990/yr; Enterprise: $29,990/yr). </w:t>
      </w:r>
      <w:r>
        <w:rPr>
          <w:rFonts w:ascii="Arial" w:cs="Arial" w:eastAsia="Arial" w:hAnsi="Arial"/>
          <w:color w:val="1A1A1A"/>
          <w:sz w:val="22"/>
          <w:szCs w:val="22"/>
        </w:rPr>
        <w:t xml:space="preserve">Annual Discount:</w:t>
      </w:r>
    </w:p>
    <w:p>
      <w:pPr>
        <w:pStyle w:val="ListParagraph"/>
        <w:numPr>
          <w:ilvl w:val="0"/>
          <w:numId w:val="2"/>
        </w:numPr>
        <w:spacing w:after="40" w:before="40"/>
      </w:pPr>
      <w:r>
        <w:rPr>
          <w:rFonts w:ascii="Arial" w:cs="Arial" w:eastAsia="Arial" w:hAnsi="Arial"/>
          <w:b/>
          <w:bCs/>
          <w:color w:val="1A1A1A"/>
          <w:sz w:val="22"/>
          <w:szCs w:val="22"/>
        </w:rPr>
        <w:t xml:space="preserve">When Community users exceed 10 AI requests or 10 frameworks, serve an in-app upgrade prompt with a 30-day Professional trial. </w:t>
      </w:r>
      <w:r>
        <w:rPr>
          <w:rFonts w:ascii="Arial" w:cs="Arial" w:eastAsia="Arial" w:hAnsi="Arial"/>
          <w:color w:val="1A1A1A"/>
          <w:sz w:val="22"/>
          <w:szCs w:val="22"/>
        </w:rPr>
        <w:t xml:space="preserve">Community-to-Paid Trigger:</w:t>
      </w:r>
    </w:p>
    <w:p>
      <w:pPr>
        <w:pStyle w:val="ListParagraph"/>
        <w:numPr>
          <w:ilvl w:val="0"/>
          <w:numId w:val="2"/>
        </w:numPr>
        <w:spacing w:after="40" w:before="40"/>
      </w:pPr>
      <w:r>
        <w:rPr>
          <w:rFonts w:ascii="Arial" w:cs="Arial" w:eastAsia="Arial" w:hAnsi="Arial"/>
          <w:b/>
          <w:bCs/>
          <w:color w:val="1A1A1A"/>
          <w:sz w:val="22"/>
          <w:szCs w:val="22"/>
        </w:rPr>
        <w:t xml:space="preserve">30% reseller margin for qualified Managed Security Service Providers who bundle ControlWeave into their compliance offering. </w:t>
      </w:r>
      <w:r>
        <w:rPr>
          <w:rFonts w:ascii="Arial" w:cs="Arial" w:eastAsia="Arial" w:hAnsi="Arial"/>
          <w:color w:val="1A1A1A"/>
          <w:sz w:val="22"/>
          <w:szCs w:val="22"/>
        </w:rPr>
        <w:t xml:space="preserve">MSSP / Partner Pricing:</w:t>
      </w:r>
    </w:p>
    <w:p>
      <w:r>
        <w:br w:type="page"/>
      </w:r>
    </w:p>
    <w:p>
      <w:pPr>
        <w:pStyle w:val="Heading1"/>
        <w:pBdr>
          <w:bottom w:val="single" w:color="2E75B6" w:sz="6" w:space="4"/>
        </w:pBdr>
        <w:spacing w:after="120" w:before="360"/>
      </w:pPr>
      <w:r>
        <w:rPr>
          <w:rFonts w:ascii="Arial" w:cs="Arial" w:eastAsia="Arial" w:hAnsi="Arial"/>
          <w:b/>
          <w:bCs/>
          <w:color w:val="0D1B2A"/>
          <w:sz w:val="28"/>
          <w:szCs w:val="28"/>
        </w:rPr>
        <w:t xml:space="preserve">6. Go-to-Market Channels</w:t>
      </w:r>
    </w:p>
    <w:p>
      <w:pPr>
        <w:pStyle w:val="Heading2"/>
        <w:spacing w:after="80" w:before="240"/>
      </w:pPr>
      <w:r>
        <w:rPr>
          <w:rFonts w:ascii="Arial" w:cs="Arial" w:eastAsia="Arial" w:hAnsi="Arial"/>
          <w:b/>
          <w:bCs/>
          <w:color w:val="2E75B6"/>
          <w:sz w:val="24"/>
          <w:szCs w:val="24"/>
        </w:rPr>
        <w:t xml:space="preserve">Channel 1: Direct Outbound (LinkedIn)</w:t>
      </w:r>
    </w:p>
    <w:p>
      <w:pPr>
        <w:spacing w:after="80" w:before="60"/>
      </w:pPr>
      <w:r>
        <w:rPr>
          <w:rFonts w:ascii="Arial" w:cs="Arial" w:eastAsia="Arial" w:hAnsi="Arial"/>
          <w:color w:val="1A1A1A"/>
          <w:sz w:val="22"/>
          <w:szCs w:val="22"/>
        </w:rPr>
        <w:t xml:space="preserve">Primary driver of early revenue. Target CISOs and GRC leaders directly with personalized outreach. See Section 8 (Outreach Playbook) for full message templates.</w:t>
      </w:r>
    </w:p>
    <w:p>
      <w:pPr>
        <w:pStyle w:val="ListParagraph"/>
        <w:numPr>
          <w:ilvl w:val="0"/>
          <w:numId w:val="2"/>
        </w:numPr>
        <w:spacing w:after="40" w:before="40"/>
      </w:pPr>
      <w:r>
        <w:rPr>
          <w:rFonts w:ascii="Arial" w:cs="Arial" w:eastAsia="Arial" w:hAnsi="Arial"/>
          <w:color w:val="1A1A1A"/>
          <w:sz w:val="22"/>
          <w:szCs w:val="22"/>
        </w:rPr>
        <w:t xml:space="preserve">Weekly target: 50 new connection requests to ICP-qualified profiles</w:t>
      </w:r>
    </w:p>
    <w:p>
      <w:pPr>
        <w:pStyle w:val="ListParagraph"/>
        <w:numPr>
          <w:ilvl w:val="0"/>
          <w:numId w:val="2"/>
        </w:numPr>
        <w:spacing w:after="40" w:before="40"/>
      </w:pPr>
      <w:r>
        <w:rPr>
          <w:rFonts w:ascii="Arial" w:cs="Arial" w:eastAsia="Arial" w:hAnsi="Arial"/>
          <w:color w:val="1A1A1A"/>
          <w:sz w:val="22"/>
          <w:szCs w:val="22"/>
        </w:rPr>
        <w:t xml:space="preserve">Sequence: Connection → value message (Day 3) → case study / insight (Day 7) → soft ask (Day 14)</w:t>
      </w:r>
    </w:p>
    <w:p>
      <w:pPr>
        <w:pStyle w:val="ListParagraph"/>
        <w:numPr>
          <w:ilvl w:val="0"/>
          <w:numId w:val="2"/>
        </w:numPr>
        <w:spacing w:after="40" w:before="40"/>
      </w:pPr>
      <w:r>
        <w:rPr>
          <w:rFonts w:ascii="Arial" w:cs="Arial" w:eastAsia="Arial" w:hAnsi="Arial"/>
          <w:color w:val="1A1A1A"/>
          <w:sz w:val="22"/>
          <w:szCs w:val="22"/>
        </w:rPr>
        <w:t xml:space="preserve">Content to reference: EU AI Act enforcement posts, NIST AI RMF explainers, ControlWeave demo clips</w:t>
      </w:r>
    </w:p>
    <w:p>
      <w:pPr>
        <w:pStyle w:val="ListParagraph"/>
        <w:numPr>
          <w:ilvl w:val="0"/>
          <w:numId w:val="2"/>
        </w:numPr>
        <w:spacing w:after="40" w:before="40"/>
      </w:pPr>
      <w:r>
        <w:rPr>
          <w:rFonts w:ascii="Arial" w:cs="Arial" w:eastAsia="Arial" w:hAnsi="Arial"/>
          <w:color w:val="1A1A1A"/>
          <w:sz w:val="22"/>
          <w:szCs w:val="22"/>
        </w:rPr>
        <w:t xml:space="preserve">Tools: LinkedIn Sales Navigator (filter: CISO + regulated industry + 250–5,000 employees)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Channel 2: Community Edition (Open Source Flywheel)</w:t>
      </w:r>
    </w:p>
    <w:p>
      <w:pPr>
        <w:pStyle w:val="ListParagraph"/>
        <w:numPr>
          <w:ilvl w:val="0"/>
          <w:numId w:val="2"/>
        </w:numPr>
        <w:spacing w:after="40" w:before="40"/>
      </w:pPr>
      <w:r>
        <w:rPr>
          <w:rFonts w:ascii="Arial" w:cs="Arial" w:eastAsia="Arial" w:hAnsi="Arial"/>
          <w:color w:val="1A1A1A"/>
          <w:sz w:val="22"/>
          <w:szCs w:val="22"/>
        </w:rPr>
        <w:t xml:space="preserve">Publish Community Edition to GitHub with a polished README, one-click Railway deploy button, and clear upgrade path</w:t>
      </w:r>
    </w:p>
    <w:p>
      <w:pPr>
        <w:pStyle w:val="ListParagraph"/>
        <w:numPr>
          <w:ilvl w:val="0"/>
          <w:numId w:val="2"/>
        </w:numPr>
        <w:spacing w:after="40" w:before="40"/>
      </w:pPr>
      <w:r>
        <w:rPr>
          <w:rFonts w:ascii="Arial" w:cs="Arial" w:eastAsia="Arial" w:hAnsi="Arial"/>
          <w:color w:val="1A1A1A"/>
          <w:sz w:val="22"/>
          <w:szCs w:val="22"/>
        </w:rPr>
        <w:t xml:space="preserve">Post to: Hacker News (Show HN), r/netsec, r/compliance, r/sysadmin, CISO Slack communities</w:t>
      </w:r>
    </w:p>
    <w:p>
      <w:pPr>
        <w:pStyle w:val="ListParagraph"/>
        <w:numPr>
          <w:ilvl w:val="0"/>
          <w:numId w:val="2"/>
        </w:numPr>
        <w:spacing w:after="40" w:before="40"/>
      </w:pPr>
      <w:r>
        <w:rPr>
          <w:rFonts w:ascii="Arial" w:cs="Arial" w:eastAsia="Arial" w:hAnsi="Arial"/>
          <w:color w:val="1A1A1A"/>
          <w:sz w:val="22"/>
          <w:szCs w:val="22"/>
        </w:rPr>
        <w:t xml:space="preserve">Goal: 500 GitHub stars in 90 days; 200 active self-hosters who become upgrade candidates</w:t>
      </w:r>
    </w:p>
    <w:p>
      <w:pPr>
        <w:pStyle w:val="ListParagraph"/>
        <w:numPr>
          <w:ilvl w:val="0"/>
          <w:numId w:val="2"/>
        </w:numPr>
        <w:spacing w:after="40" w:before="40"/>
      </w:pPr>
      <w:r>
        <w:rPr>
          <w:rFonts w:ascii="Arial" w:cs="Arial" w:eastAsia="Arial" w:hAnsi="Arial"/>
          <w:color w:val="1A1A1A"/>
          <w:sz w:val="22"/>
          <w:szCs w:val="22"/>
        </w:rPr>
        <w:t xml:space="preserve">Trigger: Community users who hit feature limits get an in-app message: “You’re outgrowing Community Edition” with a 30-day Pro trial CTA</w:t>
      </w:r>
    </w:p>
    <w:p>
      <w:pPr>
        <w:spacing w:after="0" w:before="80"/>
      </w:pPr>
      <w:r>
        <w:t xml:space="preserve"/>
      </w:r>
    </w:p>
    <w:p>
      <w:pPr>
        <w:pStyle w:val="Heading2"/>
        <w:spacing w:after="80" w:before="240"/>
      </w:pPr>
      <w:r>
        <w:rPr>
          <w:rFonts w:ascii="Arial" w:cs="Arial" w:eastAsia="Arial" w:hAnsi="Arial"/>
          <w:b/>
          <w:bCs/>
          <w:color w:val="2E75B6"/>
          <w:sz w:val="24"/>
          <w:szCs w:val="24"/>
        </w:rPr>
        <w:t xml:space="preserve">Channel 3: Content Marketing (LinkedIn + Newsletter)</w:t>
      </w:r>
    </w:p>
    <w:p>
      <w:pPr>
        <w:pStyle w:val="ListParagraph"/>
        <w:numPr>
          <w:ilvl w:val="0"/>
          <w:numId w:val="2"/>
        </w:numPr>
        <w:spacing w:after="40" w:before="40"/>
      </w:pPr>
      <w:r>
        <w:rPr>
          <w:rFonts w:ascii="Arial" w:cs="Arial" w:eastAsia="Arial" w:hAnsi="Arial"/>
          <w:color w:val="1A1A1A"/>
          <w:sz w:val="22"/>
          <w:szCs w:val="22"/>
        </w:rPr>
        <w:t xml:space="preserve">Post 3x per week on LinkedIn: AI Act enforcement updates, NIST AI RMF implementation guides, ControlWeave feature spotlights</w:t>
      </w:r>
    </w:p>
    <w:p>
      <w:pPr>
        <w:pStyle w:val="ListParagraph"/>
        <w:numPr>
          <w:ilvl w:val="0"/>
          <w:numId w:val="2"/>
        </w:numPr>
        <w:spacing w:after="40" w:before="40"/>
      </w:pPr>
      <w:r>
        <w:rPr>
          <w:rFonts w:ascii="Arial" w:cs="Arial" w:eastAsia="Arial" w:hAnsi="Arial"/>
          <w:color w:val="1A1A1A"/>
          <w:sz w:val="22"/>
          <w:szCs w:val="22"/>
        </w:rPr>
        <w:t xml:space="preserve">Establish Jaja Conteh as the go-to voice on AI governance and compliance for CISOs</w:t>
      </w:r>
    </w:p>
    <w:p>
      <w:pPr>
        <w:pStyle w:val="ListParagraph"/>
        <w:numPr>
          <w:ilvl w:val="0"/>
          <w:numId w:val="2"/>
        </w:numPr>
        <w:spacing w:after="40" w:before="40"/>
      </w:pPr>
      <w:r>
        <w:rPr>
          <w:rFonts w:ascii="Arial" w:cs="Arial" w:eastAsia="Arial" w:hAnsi="Arial"/>
          <w:color w:val="1A1A1A"/>
          <w:sz w:val="22"/>
          <w:szCs w:val="22"/>
        </w:rPr>
        <w:t xml:space="preserve">Repurpose posts into a weekly email newsletter (Substack or ConvertKit) targeting 1,000 subscribers by month 3</w:t>
      </w:r>
    </w:p>
    <w:p>
      <w:pPr>
        <w:pStyle w:val="ListParagraph"/>
        <w:numPr>
          <w:ilvl w:val="0"/>
          <w:numId w:val="2"/>
        </w:numPr>
        <w:spacing w:after="40" w:before="40"/>
      </w:pPr>
      <w:r>
        <w:rPr>
          <w:rFonts w:ascii="Arial" w:cs="Arial" w:eastAsia="Arial" w:hAnsi="Arial"/>
          <w:color w:val="1A1A1A"/>
          <w:sz w:val="22"/>
          <w:szCs w:val="22"/>
        </w:rPr>
        <w:t xml:space="preserve">Content pillars: AI governance mandates | GRC automation | ControlWeave product updates | compliance war stories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Channel 4: MSSP &amp; Consulting Partnerships</w:t>
      </w:r>
    </w:p>
    <w:p>
      <w:pPr>
        <w:pStyle w:val="ListParagraph"/>
        <w:numPr>
          <w:ilvl w:val="0"/>
          <w:numId w:val="2"/>
        </w:numPr>
        <w:spacing w:after="40" w:before="40"/>
      </w:pPr>
      <w:r>
        <w:rPr>
          <w:rFonts w:ascii="Arial" w:cs="Arial" w:eastAsia="Arial" w:hAnsi="Arial"/>
          <w:color w:val="1A1A1A"/>
          <w:sz w:val="22"/>
          <w:szCs w:val="22"/>
        </w:rPr>
        <w:t xml:space="preserve">Target: Boutique GRC consulting firms and MSSPs who serve regulated mid-market clients</w:t>
      </w:r>
    </w:p>
    <w:p>
      <w:pPr>
        <w:pStyle w:val="ListParagraph"/>
        <w:numPr>
          <w:ilvl w:val="0"/>
          <w:numId w:val="2"/>
        </w:numPr>
        <w:spacing w:after="40" w:before="40"/>
      </w:pPr>
      <w:r>
        <w:rPr>
          <w:rFonts w:ascii="Arial" w:cs="Arial" w:eastAsia="Arial" w:hAnsi="Arial"/>
          <w:color w:val="1A1A1A"/>
          <w:sz w:val="22"/>
          <w:szCs w:val="22"/>
        </w:rPr>
        <w:t xml:space="preserve">Offer: 30% margin, co-branded landing page, training and onboarding support</w:t>
      </w:r>
    </w:p>
    <w:p>
      <w:pPr>
        <w:pStyle w:val="ListParagraph"/>
        <w:numPr>
          <w:ilvl w:val="0"/>
          <w:numId w:val="2"/>
        </w:numPr>
        <w:spacing w:after="40" w:before="40"/>
      </w:pPr>
      <w:r>
        <w:rPr>
          <w:rFonts w:ascii="Arial" w:cs="Arial" w:eastAsia="Arial" w:hAnsi="Arial"/>
          <w:color w:val="1A1A1A"/>
          <w:sz w:val="22"/>
          <w:szCs w:val="22"/>
        </w:rPr>
        <w:t xml:space="preserve">Approach: Identify 20 target partners via LinkedIn; pitch the white-label / referral model</w:t>
      </w:r>
    </w:p>
    <w:p>
      <w:pPr>
        <w:pStyle w:val="ListParagraph"/>
        <w:numPr>
          <w:ilvl w:val="0"/>
          <w:numId w:val="2"/>
        </w:numPr>
        <w:spacing w:after="40" w:before="40"/>
      </w:pPr>
      <w:r>
        <w:rPr>
          <w:rFonts w:ascii="Arial" w:cs="Arial" w:eastAsia="Arial" w:hAnsi="Arial"/>
          <w:color w:val="1A1A1A"/>
          <w:sz w:val="22"/>
          <w:szCs w:val="22"/>
        </w:rPr>
        <w:t xml:space="preserve">Goal: 3 signed partners in first 90 days, each bringing 2–3 client referrals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Channel 5: Community Presence</w:t>
      </w:r>
    </w:p>
    <w:p>
      <w:pPr>
        <w:pStyle w:val="ListParagraph"/>
        <w:numPr>
          <w:ilvl w:val="0"/>
          <w:numId w:val="2"/>
        </w:numPr>
        <w:spacing w:after="40" w:before="40"/>
      </w:pPr>
      <w:r>
        <w:rPr>
          <w:rFonts w:ascii="Arial" w:cs="Arial" w:eastAsia="Arial" w:hAnsi="Arial"/>
          <w:color w:val="1A1A1A"/>
          <w:sz w:val="22"/>
          <w:szCs w:val="22"/>
        </w:rPr>
        <w:t xml:space="preserve">r/netsec, r/compliance, r/cybersecurity: Answer compliance questions, mention ControlWeave contextually</w:t>
      </w:r>
    </w:p>
    <w:p>
      <w:pPr>
        <w:pStyle w:val="ListParagraph"/>
        <w:numPr>
          <w:ilvl w:val="0"/>
          <w:numId w:val="2"/>
        </w:numPr>
        <w:spacing w:after="40" w:before="40"/>
      </w:pPr>
      <w:r>
        <w:rPr>
          <w:rFonts w:ascii="Arial" w:cs="Arial" w:eastAsia="Arial" w:hAnsi="Arial"/>
          <w:color w:val="1A1A1A"/>
          <w:sz w:val="22"/>
          <w:szCs w:val="22"/>
        </w:rPr>
        <w:t xml:space="preserve">CISO-focused Slack communities (CISO Collective, Cyber Leadership Forum): Participate, share insights, soft CTA</w:t>
      </w:r>
    </w:p>
    <w:p>
      <w:pPr>
        <w:pStyle w:val="ListParagraph"/>
        <w:numPr>
          <w:ilvl w:val="0"/>
          <w:numId w:val="2"/>
        </w:numPr>
        <w:spacing w:after="40" w:before="40"/>
      </w:pPr>
      <w:r>
        <w:rPr>
          <w:rFonts w:ascii="Arial" w:cs="Arial" w:eastAsia="Arial" w:hAnsi="Arial"/>
          <w:color w:val="1A1A1A"/>
          <w:sz w:val="22"/>
          <w:szCs w:val="22"/>
        </w:rPr>
        <w:t xml:space="preserve">GitHub: Engage with issues, respond to community PRs, maintain contributor momentum</w:t>
      </w:r>
    </w:p>
    <w:p>
      <w:pPr>
        <w:pStyle w:val="ListParagraph"/>
        <w:numPr>
          <w:ilvl w:val="0"/>
          <w:numId w:val="2"/>
        </w:numPr>
        <w:spacing w:after="40" w:before="40"/>
      </w:pPr>
      <w:r>
        <w:rPr>
          <w:rFonts w:ascii="Arial" w:cs="Arial" w:eastAsia="Arial" w:hAnsi="Arial"/>
          <w:color w:val="1A1A1A"/>
          <w:sz w:val="22"/>
          <w:szCs w:val="22"/>
        </w:rPr>
        <w:t xml:space="preserve">GRC-specific conferences: RSA, GRC Summit, ISACA — identify speaking opportunities for Q3 2026</w:t>
      </w:r>
    </w:p>
    <w:p>
      <w:r>
        <w:br w:type="page"/>
      </w:r>
    </w:p>
    <w:p>
      <w:pPr>
        <w:pStyle w:val="Heading1"/>
        <w:pBdr>
          <w:bottom w:val="single" w:color="2E75B6" w:sz="6" w:space="4"/>
        </w:pBdr>
        <w:spacing w:after="120" w:before="360"/>
      </w:pPr>
      <w:r>
        <w:rPr>
          <w:rFonts w:ascii="Arial" w:cs="Arial" w:eastAsia="Arial" w:hAnsi="Arial"/>
          <w:b/>
          <w:bCs/>
          <w:color w:val="0D1B2A"/>
          <w:sz w:val="28"/>
          <w:szCs w:val="28"/>
        </w:rPr>
        <w:t xml:space="preserve">7. Launch Plan</w:t>
      </w:r>
    </w:p>
    <w:p>
      <w:pPr>
        <w:pStyle w:val="Heading2"/>
        <w:spacing w:after="80" w:before="240"/>
      </w:pPr>
      <w:r>
        <w:rPr>
          <w:rFonts w:ascii="Arial" w:cs="Arial" w:eastAsia="Arial" w:hAnsi="Arial"/>
          <w:b/>
          <w:bCs/>
          <w:color w:val="2E75B6"/>
          <w:sz w:val="24"/>
          <w:szCs w:val="24"/>
        </w:rPr>
        <w:t xml:space="preserve">Phase 1: Pre-Launch (Weeks 1–2)</w:t>
      </w:r>
    </w:p>
    <w:p>
      <w:pPr>
        <w:pStyle w:val="ListParagraph"/>
        <w:numPr>
          <w:ilvl w:val="0"/>
          <w:numId w:val="2"/>
        </w:numPr>
        <w:spacing w:after="40" w:before="40"/>
      </w:pPr>
      <w:r>
        <w:rPr>
          <w:rFonts w:ascii="Arial" w:cs="Arial" w:eastAsia="Arial" w:hAnsi="Arial"/>
          <w:color w:val="1A1A1A"/>
          <w:sz w:val="22"/>
          <w:szCs w:val="22"/>
        </w:rPr>
        <w:t xml:space="preserve">Finalize Railway one-click deployment and Community Edition GitHub repo</w:t>
      </w:r>
    </w:p>
    <w:p>
      <w:pPr>
        <w:pStyle w:val="ListParagraph"/>
        <w:numPr>
          <w:ilvl w:val="0"/>
          <w:numId w:val="2"/>
        </w:numPr>
        <w:spacing w:after="40" w:before="40"/>
      </w:pPr>
      <w:r>
        <w:rPr>
          <w:rFonts w:ascii="Arial" w:cs="Arial" w:eastAsia="Arial" w:hAnsi="Arial"/>
          <w:color w:val="1A1A1A"/>
          <w:sz w:val="22"/>
          <w:szCs w:val="22"/>
        </w:rPr>
        <w:t xml:space="preserve">Set up LinkedIn Sales Navigator and build initial 200-prospect list</w:t>
      </w:r>
    </w:p>
    <w:p>
      <w:pPr>
        <w:pStyle w:val="ListParagraph"/>
        <w:numPr>
          <w:ilvl w:val="0"/>
          <w:numId w:val="2"/>
        </w:numPr>
        <w:spacing w:after="40" w:before="40"/>
      </w:pPr>
      <w:r>
        <w:rPr>
          <w:rFonts w:ascii="Arial" w:cs="Arial" w:eastAsia="Arial" w:hAnsi="Arial"/>
          <w:color w:val="1A1A1A"/>
          <w:sz w:val="22"/>
          <w:szCs w:val="22"/>
        </w:rPr>
        <w:t xml:space="preserve">Create 4 weeks of pre-scheduled LinkedIn content</w:t>
      </w:r>
    </w:p>
    <w:p>
      <w:pPr>
        <w:pStyle w:val="ListParagraph"/>
        <w:numPr>
          <w:ilvl w:val="0"/>
          <w:numId w:val="2"/>
        </w:numPr>
        <w:spacing w:after="40" w:before="40"/>
      </w:pPr>
      <w:r>
        <w:rPr>
          <w:rFonts w:ascii="Arial" w:cs="Arial" w:eastAsia="Arial" w:hAnsi="Arial"/>
          <w:color w:val="1A1A1A"/>
          <w:sz w:val="22"/>
          <w:szCs w:val="22"/>
        </w:rPr>
        <w:t xml:space="preserve">Record a 3-minute product demo video (Loom or screen capture)</w:t>
      </w:r>
    </w:p>
    <w:p>
      <w:pPr>
        <w:pStyle w:val="ListParagraph"/>
        <w:numPr>
          <w:ilvl w:val="0"/>
          <w:numId w:val="2"/>
        </w:numPr>
        <w:spacing w:after="40" w:before="40"/>
      </w:pPr>
      <w:r>
        <w:rPr>
          <w:rFonts w:ascii="Arial" w:cs="Arial" w:eastAsia="Arial" w:hAnsi="Arial"/>
          <w:color w:val="1A1A1A"/>
          <w:sz w:val="22"/>
          <w:szCs w:val="22"/>
        </w:rPr>
        <w:t xml:space="preserve">Build landing page at controlweave.com with clear CTAs: “Deploy Free” + “Book a Demo”</w:t>
      </w:r>
    </w:p>
    <w:p>
      <w:pPr>
        <w:pStyle w:val="ListParagraph"/>
        <w:numPr>
          <w:ilvl w:val="0"/>
          <w:numId w:val="2"/>
        </w:numPr>
        <w:spacing w:after="40" w:before="40"/>
      </w:pPr>
      <w:r>
        <w:rPr>
          <w:rFonts w:ascii="Arial" w:cs="Arial" w:eastAsia="Arial" w:hAnsi="Arial"/>
          <w:color w:val="1A1A1A"/>
          <w:sz w:val="22"/>
          <w:szCs w:val="22"/>
        </w:rPr>
        <w:t xml:space="preserve">Set up HubSpot or Pipedrive CRM; import prospect list; configure outreach sequences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Phase 2: Soft Launch (Weeks 3–4)</w:t>
      </w:r>
    </w:p>
    <w:p>
      <w:pPr>
        <w:pStyle w:val="ListParagraph"/>
        <w:numPr>
          <w:ilvl w:val="0"/>
          <w:numId w:val="2"/>
        </w:numPr>
        <w:spacing w:after="40" w:before="40"/>
      </w:pPr>
      <w:r>
        <w:rPr>
          <w:rFonts w:ascii="Arial" w:cs="Arial" w:eastAsia="Arial" w:hAnsi="Arial"/>
          <w:color w:val="1A1A1A"/>
          <w:sz w:val="22"/>
          <w:szCs w:val="22"/>
        </w:rPr>
        <w:t xml:space="preserve">Publish Community Edition to GitHub; post Show HN and Reddit launches</w:t>
      </w:r>
    </w:p>
    <w:p>
      <w:pPr>
        <w:pStyle w:val="ListParagraph"/>
        <w:numPr>
          <w:ilvl w:val="0"/>
          <w:numId w:val="2"/>
        </w:numPr>
        <w:spacing w:after="40" w:before="40"/>
      </w:pPr>
      <w:r>
        <w:rPr>
          <w:rFonts w:ascii="Arial" w:cs="Arial" w:eastAsia="Arial" w:hAnsi="Arial"/>
          <w:color w:val="1A1A1A"/>
          <w:sz w:val="22"/>
          <w:szCs w:val="22"/>
        </w:rPr>
        <w:t xml:space="preserve">Begin LinkedIn outbound: 50 connection requests/week to CISO ICP</w:t>
      </w:r>
    </w:p>
    <w:p>
      <w:pPr>
        <w:pStyle w:val="ListParagraph"/>
        <w:numPr>
          <w:ilvl w:val="0"/>
          <w:numId w:val="2"/>
        </w:numPr>
        <w:spacing w:after="40" w:before="40"/>
      </w:pPr>
      <w:r>
        <w:rPr>
          <w:rFonts w:ascii="Arial" w:cs="Arial" w:eastAsia="Arial" w:hAnsi="Arial"/>
          <w:color w:val="1A1A1A"/>
          <w:sz w:val="22"/>
          <w:szCs w:val="22"/>
        </w:rPr>
        <w:t xml:space="preserve">Send 20 personalized cold emails to warm prospects (conference contacts, LinkedIn connections)</w:t>
      </w:r>
    </w:p>
    <w:p>
      <w:pPr>
        <w:pStyle w:val="ListParagraph"/>
        <w:numPr>
          <w:ilvl w:val="0"/>
          <w:numId w:val="2"/>
        </w:numPr>
        <w:spacing w:after="40" w:before="40"/>
      </w:pPr>
      <w:r>
        <w:rPr>
          <w:rFonts w:ascii="Arial" w:cs="Arial" w:eastAsia="Arial" w:hAnsi="Arial"/>
          <w:color w:val="1A1A1A"/>
          <w:sz w:val="22"/>
          <w:szCs w:val="22"/>
        </w:rPr>
        <w:t xml:space="preserve">Post first 2 LinkedIn articles: “EU AI Act Enforcement: What CISOs Need to Do Now” + “Why NIST AI RMF Needs a Dedicated Tool”</w:t>
      </w:r>
    </w:p>
    <w:p>
      <w:pPr>
        <w:pStyle w:val="ListParagraph"/>
        <w:numPr>
          <w:ilvl w:val="0"/>
          <w:numId w:val="2"/>
        </w:numPr>
        <w:spacing w:after="40" w:before="40"/>
      </w:pPr>
      <w:r>
        <w:rPr>
          <w:rFonts w:ascii="Arial" w:cs="Arial" w:eastAsia="Arial" w:hAnsi="Arial"/>
          <w:color w:val="1A1A1A"/>
          <w:sz w:val="22"/>
          <w:szCs w:val="22"/>
        </w:rPr>
        <w:t xml:space="preserve">Target: 5 discovery calls booked in first 2 weeks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Phase 3: Full Launch (Months 2–3)</w:t>
      </w:r>
    </w:p>
    <w:p>
      <w:pPr>
        <w:pStyle w:val="ListParagraph"/>
        <w:numPr>
          <w:ilvl w:val="0"/>
          <w:numId w:val="2"/>
        </w:numPr>
        <w:spacing w:after="40" w:before="40"/>
      </w:pPr>
      <w:r>
        <w:rPr>
          <w:rFonts w:ascii="Arial" w:cs="Arial" w:eastAsia="Arial" w:hAnsi="Arial"/>
          <w:color w:val="1A1A1A"/>
          <w:sz w:val="22"/>
          <w:szCs w:val="22"/>
        </w:rPr>
        <w:t xml:space="preserve">Scale outbound: 100 connections/week; begin multi-touch sequences for non-responders</w:t>
      </w:r>
    </w:p>
    <w:p>
      <w:pPr>
        <w:pStyle w:val="ListParagraph"/>
        <w:numPr>
          <w:ilvl w:val="0"/>
          <w:numId w:val="2"/>
        </w:numPr>
        <w:spacing w:after="40" w:before="40"/>
      </w:pPr>
      <w:r>
        <w:rPr>
          <w:rFonts w:ascii="Arial" w:cs="Arial" w:eastAsia="Arial" w:hAnsi="Arial"/>
          <w:color w:val="1A1A1A"/>
          <w:sz w:val="22"/>
          <w:szCs w:val="22"/>
        </w:rPr>
        <w:t xml:space="preserve">Activate MSSP partnership outreach; target 3 signed partners</w:t>
      </w:r>
    </w:p>
    <w:p>
      <w:pPr>
        <w:pStyle w:val="ListParagraph"/>
        <w:numPr>
          <w:ilvl w:val="0"/>
          <w:numId w:val="2"/>
        </w:numPr>
        <w:spacing w:after="40" w:before="40"/>
      </w:pPr>
      <w:r>
        <w:rPr>
          <w:rFonts w:ascii="Arial" w:cs="Arial" w:eastAsia="Arial" w:hAnsi="Arial"/>
          <w:color w:val="1A1A1A"/>
          <w:sz w:val="22"/>
          <w:szCs w:val="22"/>
        </w:rPr>
        <w:t xml:space="preserve">Publish case study from first 2–3 paying customers</w:t>
      </w:r>
    </w:p>
    <w:p>
      <w:pPr>
        <w:pStyle w:val="ListParagraph"/>
        <w:numPr>
          <w:ilvl w:val="0"/>
          <w:numId w:val="2"/>
        </w:numPr>
        <w:spacing w:after="40" w:before="40"/>
      </w:pPr>
      <w:r>
        <w:rPr>
          <w:rFonts w:ascii="Arial" w:cs="Arial" w:eastAsia="Arial" w:hAnsi="Arial"/>
          <w:color w:val="1A1A1A"/>
          <w:sz w:val="22"/>
          <w:szCs w:val="22"/>
        </w:rPr>
        <w:t xml:space="preserve">Launch referral program: existing users get 1 month free for each paying referral</w:t>
      </w:r>
    </w:p>
    <w:p>
      <w:pPr>
        <w:pStyle w:val="ListParagraph"/>
        <w:numPr>
          <w:ilvl w:val="0"/>
          <w:numId w:val="2"/>
        </w:numPr>
        <w:spacing w:after="40" w:before="40"/>
      </w:pPr>
      <w:r>
        <w:rPr>
          <w:rFonts w:ascii="Arial" w:cs="Arial" w:eastAsia="Arial" w:hAnsi="Arial"/>
          <w:color w:val="1A1A1A"/>
          <w:sz w:val="22"/>
          <w:szCs w:val="22"/>
        </w:rPr>
        <w:t xml:space="preserve">Begin conference/speaking opportunity applications for Q3 2026</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90-Day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5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c>
          <w:tcPr>
            <w:tcW w:type="dxa" w:w="205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60-Day Target</w:t>
            </w:r>
          </w:p>
        </w:tc>
        <w:tc>
          <w:tcPr>
            <w:tcW w:type="dxa" w:w="2054"/>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Stars (Community)</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350</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Discovery Calls Booked</w:t>
            </w:r>
          </w:p>
        </w:tc>
        <w:tc>
          <w:tcPr>
            <w:tcW w:type="dxa" w:w="20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0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20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Paying Customers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Monthly Recurring Revenue</w:t>
            </w:r>
          </w:p>
        </w:tc>
        <w:tc>
          <w:tcPr>
            <w:tcW w:type="dxa" w:w="20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$2,500</w:t>
            </w:r>
          </w:p>
        </w:tc>
        <w:tc>
          <w:tcPr>
            <w:tcW w:type="dxa" w:w="20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$8,000</w:t>
            </w:r>
          </w:p>
        </w:tc>
        <w:tc>
          <w:tcPr>
            <w:tcW w:type="dxa" w:w="20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Followers (Jaja)</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Newsletter Subscribers</w:t>
            </w:r>
          </w:p>
        </w:tc>
        <w:tc>
          <w:tcPr>
            <w:tcW w:type="dxa" w:w="20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250</w:t>
            </w:r>
          </w:p>
        </w:tc>
        <w:tc>
          <w:tcPr>
            <w:tcW w:type="dxa" w:w="20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600</w:t>
            </w:r>
          </w:p>
        </w:tc>
        <w:tc>
          <w:tcPr>
            <w:tcW w:type="dxa" w:w="20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MSSP Partners Signed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r>
    </w:tbl>
    <w:p>
      <w:r>
        <w:br w:type="page"/>
      </w:r>
    </w:p>
    <w:p>
      <w:pPr>
        <w:pStyle w:val="Heading1"/>
        <w:pBdr>
          <w:bottom w:val="single" w:color="2E75B6" w:sz="6" w:space="4"/>
        </w:pBdr>
        <w:spacing w:after="120" w:before="360"/>
      </w:pPr>
      <w:r>
        <w:rPr>
          <w:rFonts w:ascii="Arial" w:cs="Arial" w:eastAsia="Arial" w:hAnsi="Arial"/>
          <w:b/>
          <w:bCs/>
          <w:color w:val="0D1B2A"/>
          <w:sz w:val="28"/>
          <w:szCs w:val="28"/>
        </w:rPr>
        <w:t xml:space="preserve">8. Outreach Playbook</w:t>
      </w:r>
    </w:p>
    <w:p>
      <w:pPr>
        <w:pStyle w:val="Heading2"/>
        <w:spacing w:after="80" w:before="240"/>
      </w:pPr>
      <w:r>
        <w:rPr>
          <w:rFonts w:ascii="Arial" w:cs="Arial" w:eastAsia="Arial" w:hAnsi="Arial"/>
          <w:b/>
          <w:bCs/>
          <w:color w:val="2E75B6"/>
          <w:sz w:val="24"/>
          <w:szCs w:val="24"/>
        </w:rPr>
        <w:t xml:space="preserve">LinkedIn Connection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5F5F5" w:val="clear"/>
            <w:tcMar>
              <w:top w:type="dxa" w:w="160"/>
              <w:left w:type="dxa" w:w="240"/>
              <w:bottom w:type="dxa" w:w="160"/>
              <w:right w:type="dxa" w:w="240"/>
            </w:tcMar>
          </w:tcPr>
          <w:p>
            <w:r>
              <w:rPr>
                <w:rFonts w:ascii="Arial" w:cs="Arial" w:eastAsia="Arial" w:hAnsi="Arial"/>
                <w:color w:val="1A1A1A"/>
                <w:sz w:val="21"/>
                <w:szCs w:val="21"/>
              </w:rPr>
              <w:t xml:space="preserve">Hi [First Name] — I’m building ControlWeave, an AI-powered GRC platform built specifically for the new era of AI governance (NIST AI RMF, EU AI Act, NERC CIP). Would love to connect and share what we’re seeing in the market.</w:t>
            </w:r>
          </w:p>
        </w:tc>
      </w:tr>
    </w:tbl>
    <w:p>
      <w:pPr>
        <w:spacing w:after="0" w:before="80"/>
      </w:pPr>
      <w:r>
        <w:t xml:space="preserve"/>
      </w:r>
    </w:p>
    <w:p>
      <w:pPr>
        <w:pStyle w:val="Heading2"/>
        <w:spacing w:after="80" w:before="240"/>
      </w:pPr>
      <w:r>
        <w:rPr>
          <w:rFonts w:ascii="Arial" w:cs="Arial" w:eastAsia="Arial" w:hAnsi="Arial"/>
          <w:b/>
          <w:bCs/>
          <w:color w:val="2E75B6"/>
          <w:sz w:val="24"/>
          <w:szCs w:val="24"/>
        </w:rPr>
        <w:t xml:space="preserve">Follow-Up Message (Day 3 After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5F5F5" w:val="clear"/>
            <w:tcMar>
              <w:top w:type="dxa" w:w="160"/>
              <w:left w:type="dxa" w:w="240"/>
              <w:bottom w:type="dxa" w:w="160"/>
              <w:right w:type="dxa" w:w="240"/>
            </w:tcMar>
          </w:tcPr>
          <w:p>
            <w:r>
              <w:rPr>
                <w:rFonts w:ascii="Arial" w:cs="Arial" w:eastAsia="Arial" w:hAnsi="Arial"/>
                <w:b/>
                <w:bCs/>
                <w:color w:val="1A1A1A"/>
                <w:sz w:val="21"/>
                <w:szCs w:val="21"/>
              </w:rPr>
              <w:t xml:space="preserve">Thanks for connecting, [First Name].</w:t>
            </w:r>
          </w:p>
          <w:p>
            <w:pPr>
              <w:spacing w:before="80"/>
            </w:pPr>
            <w:r>
              <w:rPr>
                <w:rFonts w:ascii="Arial" w:cs="Arial" w:eastAsia="Arial" w:hAnsi="Arial"/>
                <w:color w:val="1A1A1A"/>
                <w:sz w:val="21"/>
                <w:szCs w:val="21"/>
              </w:rPr>
              <w:t xml:space="preserve">Quick question: how is your team currently tracking evidence across multiple compliance frameworks (NIST 800-53, SOC 2, AI Act, etc.)? We hear a lot of teams still in spreadsheets — which is exactly why we built ControlWeave.</w:t>
            </w:r>
          </w:p>
          <w:p>
            <w:pPr>
              <w:spacing w:before="80"/>
            </w:pPr>
            <w:r>
              <w:rPr>
                <w:rFonts w:ascii="Arial" w:cs="Arial" w:eastAsia="Arial" w:hAnsi="Arial"/>
                <w:color w:val="1A1A1A"/>
                <w:sz w:val="21"/>
                <w:szCs w:val="21"/>
              </w:rPr>
              <w:t xml:space="preserve">Happy to show you a 15-minute demo — no pitch, just the product. Worth a look?</w:t>
            </w:r>
          </w:p>
        </w:tc>
      </w:tr>
    </w:tbl>
    <w:p>
      <w:pPr>
        <w:spacing w:after="0" w:before="80"/>
      </w:pPr>
      <w:r>
        <w:t xml:space="preserve"/>
      </w:r>
    </w:p>
    <w:p>
      <w:pPr>
        <w:pStyle w:val="Heading2"/>
        <w:spacing w:after="80" w:before="240"/>
      </w:pPr>
      <w:r>
        <w:rPr>
          <w:rFonts w:ascii="Arial" w:cs="Arial" w:eastAsia="Arial" w:hAnsi="Arial"/>
          <w:b/>
          <w:bCs/>
          <w:color w:val="2E75B6"/>
          <w:sz w:val="24"/>
          <w:szCs w:val="24"/>
        </w:rPr>
        <w:t xml:space="preserve">Cold Email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5F5F5" w:val="clear"/>
            <w:tcMar>
              <w:top w:type="dxa" w:w="160"/>
              <w:left w:type="dxa" w:w="240"/>
              <w:bottom w:type="dxa" w:w="160"/>
              <w:right w:type="dxa" w:w="240"/>
            </w:tcMar>
          </w:tcPr>
          <w:p>
            <w:r>
              <w:rPr>
                <w:rFonts w:ascii="Arial" w:cs="Arial" w:eastAsia="Arial" w:hAnsi="Arial"/>
                <w:b/>
                <w:bCs/>
                <w:color w:val="1A1A1A"/>
                <w:sz w:val="21"/>
                <w:szCs w:val="21"/>
              </w:rPr>
              <w:t xml:space="preserve">Subject: GRC tooling for AI Act + NIST AI RMF — quick question</w:t>
            </w:r>
          </w:p>
          <w:p>
            <w:pPr>
              <w:spacing w:before="80"/>
            </w:pPr>
            <w:r>
              <w:rPr>
                <w:rFonts w:ascii="Arial" w:cs="Arial" w:eastAsia="Arial" w:hAnsi="Arial"/>
                <w:color w:val="1A1A1A"/>
                <w:sz w:val="21"/>
                <w:szCs w:val="21"/>
              </w:rPr>
              <w:t xml:space="preserve">Hi [First Name],</w:t>
            </w:r>
          </w:p>
          <w:p>
            <w:pPr>
              <w:spacing w:before="80"/>
            </w:pPr>
            <w:r>
              <w:rPr>
                <w:rFonts w:ascii="Arial" w:cs="Arial" w:eastAsia="Arial" w:hAnsi="Arial"/>
                <w:color w:val="1A1A1A"/>
                <w:sz w:val="21"/>
                <w:szCs w:val="21"/>
              </w:rPr>
              <w:t xml:space="preserve">I’m Jaja — founder of ControlWeave. We’re an AI-powered GRC platform that maps evidence across 18+ frameworks including NIST AI RMF, EU AI Act, NIST 800-53, and SOC 2 — with an AI Copilot you control (BYOK).</w:t>
            </w:r>
          </w:p>
          <w:p>
            <w:pPr>
              <w:spacing w:before="80"/>
            </w:pPr>
            <w:r>
              <w:rPr>
                <w:rFonts w:ascii="Arial" w:cs="Arial" w:eastAsia="Arial" w:hAnsi="Arial"/>
                <w:color w:val="1A1A1A"/>
                <w:sz w:val="21"/>
                <w:szCs w:val="21"/>
              </w:rPr>
              <w:t xml:space="preserve">Two quick questions:</w:t>
            </w:r>
          </w:p>
          <w:p>
            <w:pPr>
              <w:spacing w:before="40"/>
            </w:pPr>
            <w:r>
              <w:rPr>
                <w:rFonts w:ascii="Arial" w:cs="Arial" w:eastAsia="Arial" w:hAnsi="Arial"/>
                <w:color w:val="1A1A1A"/>
                <w:sz w:val="21"/>
                <w:szCs w:val="21"/>
              </w:rPr>
              <w:t xml:space="preserve">1. Is your team currently managing AI governance compliance manually or with a dedicated tool?</w:t>
            </w:r>
          </w:p>
          <w:p>
            <w:pPr>
              <w:spacing w:before="40"/>
            </w:pPr>
            <w:r>
              <w:rPr>
                <w:rFonts w:ascii="Arial" w:cs="Arial" w:eastAsia="Arial" w:hAnsi="Arial"/>
                <w:color w:val="1A1A1A"/>
                <w:sz w:val="21"/>
                <w:szCs w:val="21"/>
              </w:rPr>
              <w:t xml:space="preserve">2. How many compliance frameworks are you actively tracking right now?</w:t>
            </w:r>
          </w:p>
          <w:p>
            <w:pPr>
              <w:spacing w:before="80"/>
            </w:pPr>
            <w:r>
              <w:rPr>
                <w:rFonts w:ascii="Arial" w:cs="Arial" w:eastAsia="Arial" w:hAnsi="Arial"/>
                <w:color w:val="1A1A1A"/>
                <w:sz w:val="21"/>
                <w:szCs w:val="21"/>
              </w:rPr>
              <w:t xml:space="preserve">If the answer to #1 is “spreadsheets” and #2 is “more than two,” we should talk. 15-minute demo, zero obligation.</w:t>
            </w:r>
          </w:p>
          <w:p>
            <w:pPr>
              <w:spacing w:before="80"/>
            </w:pPr>
            <w:r>
              <w:rPr>
                <w:rFonts w:ascii="Arial" w:cs="Arial" w:eastAsia="Arial" w:hAnsi="Arial"/>
                <w:color w:val="2E75B6"/>
                <w:sz w:val="21"/>
                <w:szCs w:val="21"/>
              </w:rPr>
              <w:t xml:space="preserve">[Calendly link]  |  controlweave.com</w:t>
            </w:r>
          </w:p>
        </w:tc>
      </w:tr>
    </w:tbl>
    <w:p>
      <w:r>
        <w:br w:type="page"/>
      </w:r>
    </w:p>
    <w:p>
      <w:pPr>
        <w:pStyle w:val="Heading1"/>
        <w:pBdr>
          <w:bottom w:val="single" w:color="2E75B6" w:sz="6" w:space="4"/>
        </w:pBdr>
        <w:spacing w:after="120" w:before="360"/>
      </w:pPr>
      <w:r>
        <w:rPr>
          <w:rFonts w:ascii="Arial" w:cs="Arial" w:eastAsia="Arial" w:hAnsi="Arial"/>
          <w:b/>
          <w:bCs/>
          <w:color w:val="0D1B2A"/>
          <w:sz w:val="28"/>
          <w:szCs w:val="28"/>
        </w:rPr>
        <w:t xml:space="preserve">9. Success Metrics &amp; Review Cadence</w:t>
      </w:r>
    </w:p>
    <w:p>
      <w:pPr>
        <w:pStyle w:val="Heading2"/>
        <w:spacing w:after="80" w:before="240"/>
      </w:pPr>
      <w:r>
        <w:rPr>
          <w:rFonts w:ascii="Arial" w:cs="Arial" w:eastAsia="Arial" w:hAnsi="Arial"/>
          <w:b/>
          <w:bCs/>
          <w:color w:val="2E75B6"/>
          <w:sz w:val="24"/>
          <w:szCs w:val="24"/>
        </w:rPr>
        <w:t xml:space="preserve">North Star Metric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r>
              <w:rPr>
                <w:rFonts w:ascii="Arial" w:cs="Arial" w:eastAsia="Arial" w:hAnsi="Arial"/>
                <w:b/>
                <w:bCs/>
                <w:color w:val="2E75B6"/>
                <w:sz w:val="18"/>
                <w:szCs w:val="18"/>
              </w:rPr>
              <w:t xml:space="preserve">NORTH STAR</w:t>
            </w:r>
          </w:p>
          <w:p>
            <w:pPr>
              <w:spacing w:before="40"/>
            </w:pPr>
            <w:r>
              <w:rPr>
                <w:rFonts w:ascii="Arial" w:cs="Arial" w:eastAsia="Arial" w:hAnsi="Arial"/>
                <w:color w:val="1A1A1A"/>
                <w:sz w:val="21"/>
                <w:szCs w:val="21"/>
              </w:rPr>
              <w:t xml:space="preserve">Monthly Recurring Revenue (MRR) from paying customers. Target: $20,000 MRR by Day 90.</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Leading Indicators (Weekly Review)</w:t>
      </w:r>
    </w:p>
    <w:p>
      <w:pPr>
        <w:pStyle w:val="ListParagraph"/>
        <w:numPr>
          <w:ilvl w:val="0"/>
          <w:numId w:val="2"/>
        </w:numPr>
        <w:spacing w:after="40" w:before="40"/>
      </w:pPr>
      <w:r>
        <w:rPr>
          <w:rFonts w:ascii="Arial" w:cs="Arial" w:eastAsia="Arial" w:hAnsi="Arial"/>
          <w:color w:val="1A1A1A"/>
          <w:sz w:val="22"/>
          <w:szCs w:val="22"/>
        </w:rPr>
        <w:t xml:space="preserve">LinkedIn connection requests sent and acceptance rate (target: &gt;30% acceptance)</w:t>
      </w:r>
    </w:p>
    <w:p>
      <w:pPr>
        <w:pStyle w:val="ListParagraph"/>
        <w:numPr>
          <w:ilvl w:val="0"/>
          <w:numId w:val="2"/>
        </w:numPr>
        <w:spacing w:after="40" w:before="40"/>
      </w:pPr>
      <w:r>
        <w:rPr>
          <w:rFonts w:ascii="Arial" w:cs="Arial" w:eastAsia="Arial" w:hAnsi="Arial"/>
          <w:color w:val="1A1A1A"/>
          <w:sz w:val="22"/>
          <w:szCs w:val="22"/>
        </w:rPr>
        <w:t xml:space="preserve">Discovery calls booked (target: 5+ per week by Week 4)</w:t>
      </w:r>
    </w:p>
    <w:p>
      <w:pPr>
        <w:pStyle w:val="ListParagraph"/>
        <w:numPr>
          <w:ilvl w:val="0"/>
          <w:numId w:val="2"/>
        </w:numPr>
        <w:spacing w:after="40" w:before="40"/>
      </w:pPr>
      <w:r>
        <w:rPr>
          <w:rFonts w:ascii="Arial" w:cs="Arial" w:eastAsia="Arial" w:hAnsi="Arial"/>
          <w:color w:val="1A1A1A"/>
          <w:sz w:val="22"/>
          <w:szCs w:val="22"/>
        </w:rPr>
        <w:t xml:space="preserve">GitHub stars and Community Edition deployments</w:t>
      </w:r>
    </w:p>
    <w:p>
      <w:pPr>
        <w:pStyle w:val="ListParagraph"/>
        <w:numPr>
          <w:ilvl w:val="0"/>
          <w:numId w:val="2"/>
        </w:numPr>
        <w:spacing w:after="40" w:before="40"/>
      </w:pPr>
      <w:r>
        <w:rPr>
          <w:rFonts w:ascii="Arial" w:cs="Arial" w:eastAsia="Arial" w:hAnsi="Arial"/>
          <w:color w:val="1A1A1A"/>
          <w:sz w:val="22"/>
          <w:szCs w:val="22"/>
        </w:rPr>
        <w:t xml:space="preserve">LinkedIn post impressions and engagement rate</w:t>
      </w:r>
    </w:p>
    <w:p>
      <w:pPr>
        <w:spacing w:after="0" w:before="80"/>
      </w:pPr>
      <w:r>
        <w:t xml:space="preserve"/>
      </w:r>
    </w:p>
    <w:p>
      <w:pPr>
        <w:pStyle w:val="Heading2"/>
        <w:spacing w:after="80" w:before="240"/>
      </w:pPr>
      <w:r>
        <w:rPr>
          <w:rFonts w:ascii="Arial" w:cs="Arial" w:eastAsia="Arial" w:hAnsi="Arial"/>
          <w:b/>
          <w:bCs/>
          <w:color w:val="2E75B6"/>
          <w:sz w:val="24"/>
          <w:szCs w:val="24"/>
        </w:rPr>
        <w:t xml:space="preserve">Lagging Indicators (Monthly Review)</w:t>
      </w:r>
    </w:p>
    <w:p>
      <w:pPr>
        <w:pStyle w:val="ListParagraph"/>
        <w:numPr>
          <w:ilvl w:val="0"/>
          <w:numId w:val="2"/>
        </w:numPr>
        <w:spacing w:after="40" w:before="40"/>
      </w:pPr>
      <w:r>
        <w:rPr>
          <w:rFonts w:ascii="Arial" w:cs="Arial" w:eastAsia="Arial" w:hAnsi="Arial"/>
          <w:color w:val="1A1A1A"/>
          <w:sz w:val="22"/>
          <w:szCs w:val="22"/>
        </w:rPr>
        <w:t xml:space="preserve">New paying customers by tier</w:t>
      </w:r>
    </w:p>
    <w:p>
      <w:pPr>
        <w:pStyle w:val="ListParagraph"/>
        <w:numPr>
          <w:ilvl w:val="0"/>
          <w:numId w:val="2"/>
        </w:numPr>
        <w:spacing w:after="40" w:before="40"/>
      </w:pPr>
      <w:r>
        <w:rPr>
          <w:rFonts w:ascii="Arial" w:cs="Arial" w:eastAsia="Arial" w:hAnsi="Arial"/>
          <w:color w:val="1A1A1A"/>
          <w:sz w:val="22"/>
          <w:szCs w:val="22"/>
        </w:rPr>
        <w:t xml:space="preserve">MRR and MRR growth rate</w:t>
      </w:r>
    </w:p>
    <w:p>
      <w:pPr>
        <w:pStyle w:val="ListParagraph"/>
        <w:numPr>
          <w:ilvl w:val="0"/>
          <w:numId w:val="2"/>
        </w:numPr>
        <w:spacing w:after="40" w:before="40"/>
      </w:pPr>
      <w:r>
        <w:rPr>
          <w:rFonts w:ascii="Arial" w:cs="Arial" w:eastAsia="Arial" w:hAnsi="Arial"/>
          <w:color w:val="1A1A1A"/>
          <w:sz w:val="22"/>
          <w:szCs w:val="22"/>
        </w:rPr>
        <w:t xml:space="preserve">Trial-to-paid conversion rate (target: &gt;20%)</w:t>
      </w:r>
    </w:p>
    <w:p>
      <w:pPr>
        <w:pStyle w:val="ListParagraph"/>
        <w:numPr>
          <w:ilvl w:val="0"/>
          <w:numId w:val="2"/>
        </w:numPr>
        <w:spacing w:after="40" w:before="40"/>
      </w:pPr>
      <w:r>
        <w:rPr>
          <w:rFonts w:ascii="Arial" w:cs="Arial" w:eastAsia="Arial" w:hAnsi="Arial"/>
          <w:color w:val="1A1A1A"/>
          <w:sz w:val="22"/>
          <w:szCs w:val="22"/>
        </w:rPr>
        <w:t xml:space="preserve">Customer Acquisition Cost (CAC) by channel</w:t>
      </w:r>
    </w:p>
    <w:p>
      <w:pPr>
        <w:pStyle w:val="ListParagraph"/>
        <w:numPr>
          <w:ilvl w:val="0"/>
          <w:numId w:val="2"/>
        </w:numPr>
        <w:spacing w:after="40" w:before="40"/>
      </w:pPr>
      <w:r>
        <w:rPr>
          <w:rFonts w:ascii="Arial" w:cs="Arial" w:eastAsia="Arial" w:hAnsi="Arial"/>
          <w:color w:val="1A1A1A"/>
          <w:sz w:val="22"/>
          <w:szCs w:val="22"/>
        </w:rPr>
        <w:t xml:space="preserve">Net Promoter Score from first customers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Review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4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Outbound activity (connections sent, messages, calls booked)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Jaja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Pipeline review: new leads, discovery calls, proposals out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Jaja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MRR, conversion rates, channel performance, content analytics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Jaja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Quarterly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Strategy review: ICP validation, pricing, channel mix, roadmap alignment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Jaja + Advisors</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When to Pivot</w:t>
      </w:r>
    </w:p>
    <w:p>
      <w:pPr>
        <w:pStyle w:val="ListParagraph"/>
        <w:numPr>
          <w:ilvl w:val="0"/>
          <w:numId w:val="2"/>
        </w:numPr>
        <w:spacing w:after="40" w:before="40"/>
      </w:pPr>
      <w:r>
        <w:rPr>
          <w:rFonts w:ascii="Arial" w:cs="Arial" w:eastAsia="Arial" w:hAnsi="Arial"/>
          <w:color w:val="1A1A1A"/>
          <w:sz w:val="22"/>
          <w:szCs w:val="22"/>
        </w:rPr>
        <w:t xml:space="preserve">If discovery call acceptance rate &lt; 10% after 200 outreach attempts → revise messaging or target ICP segment</w:t>
      </w:r>
    </w:p>
    <w:p>
      <w:pPr>
        <w:pStyle w:val="ListParagraph"/>
        <w:numPr>
          <w:ilvl w:val="0"/>
          <w:numId w:val="2"/>
        </w:numPr>
        <w:spacing w:after="40" w:before="40"/>
      </w:pPr>
      <w:r>
        <w:rPr>
          <w:rFonts w:ascii="Arial" w:cs="Arial" w:eastAsia="Arial" w:hAnsi="Arial"/>
          <w:color w:val="1A1A1A"/>
          <w:sz w:val="22"/>
          <w:szCs w:val="22"/>
        </w:rPr>
        <w:t xml:space="preserve">If trial-to-paid conversion &lt; 10% after 30 trials → investigate onboarding friction, pricing, or feature gaps</w:t>
      </w:r>
    </w:p>
    <w:p>
      <w:pPr>
        <w:pStyle w:val="ListParagraph"/>
        <w:numPr>
          <w:ilvl w:val="0"/>
          <w:numId w:val="2"/>
        </w:numPr>
        <w:spacing w:after="40" w:before="40"/>
      </w:pPr>
      <w:r>
        <w:rPr>
          <w:rFonts w:ascii="Arial" w:cs="Arial" w:eastAsia="Arial" w:hAnsi="Arial"/>
          <w:color w:val="1A1A1A"/>
          <w:sz w:val="22"/>
          <w:szCs w:val="22"/>
        </w:rPr>
        <w:t xml:space="preserve">If Community Edition generates &lt; 50 deployments in Month 1 → revise README, add more deployment options, increase Reddit / HN promotion</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0D1B2A"/>
          <w:sz w:val="28"/>
          <w:szCs w:val="28"/>
        </w:rPr>
        <w:t xml:space="preserve">Appendix: Resources</w:t>
      </w:r>
    </w:p>
    <w:p>
      <w:pPr>
        <w:pStyle w:val="ListParagraph"/>
        <w:numPr>
          <w:ilvl w:val="0"/>
          <w:numId w:val="2"/>
        </w:numPr>
        <w:spacing w:after="40" w:before="40"/>
      </w:pPr>
      <w:r>
        <w:rPr>
          <w:rFonts w:ascii="Arial" w:cs="Arial" w:eastAsia="Arial" w:hAnsi="Arial"/>
          <w:color w:val="1A1A1A"/>
          <w:sz w:val="22"/>
          <w:szCs w:val="22"/>
        </w:rPr>
        <w:t xml:space="preserve">CHANGELOG.md — version history and release tracking</w:t>
      </w:r>
    </w:p>
    <w:p>
      <w:pPr>
        <w:pStyle w:val="ListParagraph"/>
        <w:numPr>
          <w:ilvl w:val="0"/>
          <w:numId w:val="2"/>
        </w:numPr>
        <w:spacing w:after="40" w:before="40"/>
      </w:pPr>
      <w:r>
        <w:rPr>
          <w:rFonts w:ascii="Arial" w:cs="Arial" w:eastAsia="Arial" w:hAnsi="Arial"/>
          <w:color w:val="1A1A1A"/>
          <w:sz w:val="22"/>
          <w:szCs w:val="22"/>
        </w:rPr>
        <w:t xml:space="preserve">ControlWeave_LeadTracker.xlsx — CRM pipeline and Cowork activity log</w:t>
      </w:r>
    </w:p>
    <w:p>
      <w:pPr>
        <w:pStyle w:val="ListParagraph"/>
        <w:numPr>
          <w:ilvl w:val="0"/>
          <w:numId w:val="2"/>
        </w:numPr>
        <w:spacing w:after="40" w:before="40"/>
      </w:pPr>
      <w:r>
        <w:rPr>
          <w:rFonts w:ascii="Arial" w:cs="Arial" w:eastAsia="Arial" w:hAnsi="Arial"/>
          <w:color w:val="1A1A1A"/>
          <w:sz w:val="22"/>
          <w:szCs w:val="22"/>
        </w:rPr>
        <w:t xml:space="preserve">ControlWeave Outreach Assets.docx — full message library and one-pager</w:t>
      </w:r>
    </w:p>
    <w:p>
      <w:pPr>
        <w:pStyle w:val="ListParagraph"/>
        <w:numPr>
          <w:ilvl w:val="0"/>
          <w:numId w:val="2"/>
        </w:numPr>
        <w:spacing w:after="40" w:before="40"/>
      </w:pPr>
      <w:r>
        <w:rPr>
          <w:rFonts w:ascii="Arial" w:cs="Arial" w:eastAsia="Arial" w:hAnsi="Arial"/>
          <w:color w:val="1A1A1A"/>
          <w:sz w:val="22"/>
          <w:szCs w:val="22"/>
        </w:rPr>
        <w:t xml:space="preserve">controlweave.com — public landing page</w:t>
      </w:r>
    </w:p>
    <w:p>
      <w:pPr>
        <w:pStyle w:val="ListParagraph"/>
        <w:numPr>
          <w:ilvl w:val="0"/>
          <w:numId w:val="2"/>
        </w:numPr>
        <w:spacing w:after="40" w:before="40"/>
      </w:pPr>
      <w:r>
        <w:rPr>
          <w:rFonts w:ascii="Arial" w:cs="Arial" w:eastAsia="Arial" w:hAnsi="Arial"/>
          <w:color w:val="1A1A1A"/>
          <w:sz w:val="22"/>
          <w:szCs w:val="22"/>
        </w:rPr>
        <w:t xml:space="preserve">GitHub: Community Edition repository</w:t>
      </w:r>
    </w:p>
    <w:p>
      <w:pPr>
        <w:spacing w:after="0" w:before="80"/>
      </w:pPr>
      <w:r>
        <w:t xml:space="preserve"/>
      </w:r>
    </w:p>
    <w:p>
      <w:pPr>
        <w:spacing w:after="80" w:before="60"/>
      </w:pPr>
      <w:r>
        <w:rPr>
          <w:rFonts w:ascii="Arial" w:cs="Arial" w:eastAsia="Arial" w:hAnsi="Arial"/>
          <w:color w:val="444444"/>
          <w:sz w:val="18"/>
          <w:szCs w:val="18"/>
        </w:rPr>
        <w:t xml:space="preserve">Document maintained by Cowork Automation. Updated after each GTM review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444444"/>
        <w:sz w:val="16"/>
        <w:szCs w:val="16"/>
      </w:rPr>
      <w:t xml:space="preserve">© 2026 Conteh Consulting LLC  |  ControlWeave</w:t>
    </w:r>
    <w:r>
      <w:rPr>
        <w:rFonts w:ascii="Arial" w:cs="Arial" w:eastAsia="Arial" w:hAnsi="Arial"/>
        <w:sz w:val="16"/>
        <w:szCs w:val="16"/>
      </w:rPr>
      <w:t xml:space="preserve">	</w:t>
    </w: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0D1B2A"/>
        <w:sz w:val="18"/>
        <w:szCs w:val="18"/>
      </w:rPr>
      <w:t xml:space="preserve">ControlWeave</w:t>
    </w:r>
    <w:r>
      <w:rPr>
        <w:rFonts w:ascii="Arial" w:cs="Arial" w:eastAsia="Arial" w:hAnsi="Arial"/>
        <w:color w:val="444444"/>
        <w:sz w:val="18"/>
        <w:szCs w:val="18"/>
      </w:rPr>
      <w:t xml:space="preserve">  |  Go-to-Market Strategy 2026</w:t>
    </w:r>
    <w:r>
      <w:rPr>
        <w:rFonts w:ascii="Arial" w:cs="Arial" w:eastAsia="Arial" w:hAnsi="Arial"/>
        <w:sz w:val="18"/>
        <w:szCs w:val="18"/>
      </w:rPr>
      <w:t xml:space="preserve">	</w:t>
    </w:r>
    <w:r>
      <w:rPr>
        <w:rFonts w:ascii="Arial" w:cs="Arial" w:eastAsia="Arial" w:hAnsi="Arial"/>
        <w:b/>
        <w:bCs/>
        <w:color w:val="2E75B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2026-02-27T05:19:47.844Z</dcterms:created>
  <dcterms:modified xsi:type="dcterms:W3CDTF">2026-02-27T05:19:47.844Z</dcterms:modified>
</cp:coreProperties>
</file>

<file path=docProps/custom.xml><?xml version="1.0" encoding="utf-8"?>
<Properties xmlns="http://schemas.openxmlformats.org/officeDocument/2006/custom-properties" xmlns:vt="http://schemas.openxmlformats.org/officeDocument/2006/docPropsVTypes"/>
</file>