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1BCF5" w14:textId="77777777" w:rsidR="001A0C9A" w:rsidRPr="001A0C9A" w:rsidRDefault="001A0C9A" w:rsidP="001A0C9A">
      <w:pPr>
        <w:rPr>
          <w:b/>
          <w:bCs/>
        </w:rPr>
      </w:pPr>
      <w:r w:rsidRPr="001A0C9A">
        <w:rPr>
          <w:b/>
          <w:bCs/>
        </w:rPr>
        <w:t>HISTORICAL NEGOTIATION DATA – SAMPLE 1 (DETAILED)</w:t>
      </w:r>
    </w:p>
    <w:p w14:paraId="797AEF1F" w14:textId="77777777" w:rsidR="001A0C9A" w:rsidRPr="001A0C9A" w:rsidRDefault="001A0C9A" w:rsidP="001A0C9A">
      <w:r w:rsidRPr="001A0C9A">
        <w:rPr>
          <w:b/>
          <w:bCs/>
        </w:rPr>
        <w:t>Type:</w:t>
      </w:r>
      <w:r w:rsidRPr="001A0C9A">
        <w:t xml:space="preserve"> Risk Assessments by Legal/Commercial Teams</w:t>
      </w:r>
      <w:r w:rsidRPr="001A0C9A">
        <w:br/>
      </w:r>
      <w:r w:rsidRPr="001A0C9A">
        <w:rPr>
          <w:b/>
          <w:bCs/>
        </w:rPr>
        <w:t>Vendor:</w:t>
      </w:r>
      <w:r w:rsidRPr="001A0C9A">
        <w:t xml:space="preserve"> </w:t>
      </w:r>
      <w:proofErr w:type="spellStart"/>
      <w:r w:rsidRPr="001A0C9A">
        <w:t>PrimeVolta</w:t>
      </w:r>
      <w:proofErr w:type="spellEnd"/>
      <w:r w:rsidRPr="001A0C9A">
        <w:t xml:space="preserve"> Hardware Solutions</w:t>
      </w:r>
      <w:r w:rsidRPr="001A0C9A">
        <w:br/>
      </w:r>
      <w:r w:rsidRPr="001A0C9A">
        <w:rPr>
          <w:b/>
          <w:bCs/>
        </w:rPr>
        <w:t>Client:</w:t>
      </w:r>
      <w:r w:rsidRPr="001A0C9A">
        <w:t xml:space="preserve"> </w:t>
      </w:r>
      <w:proofErr w:type="spellStart"/>
      <w:r w:rsidRPr="001A0C9A">
        <w:t>FinSecure</w:t>
      </w:r>
      <w:proofErr w:type="spellEnd"/>
      <w:r w:rsidRPr="001A0C9A">
        <w:t xml:space="preserve"> Services</w:t>
      </w:r>
      <w:r w:rsidRPr="001A0C9A">
        <w:br/>
      </w:r>
      <w:r w:rsidRPr="001A0C9A">
        <w:rPr>
          <w:b/>
          <w:bCs/>
        </w:rPr>
        <w:t>Date:</w:t>
      </w:r>
      <w:r w:rsidRPr="001A0C9A">
        <w:t xml:space="preserve"> January 2024</w:t>
      </w:r>
    </w:p>
    <w:p w14:paraId="7C347C95" w14:textId="6772CEC2" w:rsidR="001A0C9A" w:rsidRPr="001A0C9A" w:rsidRDefault="001A0C9A" w:rsidP="001A0C9A"/>
    <w:p w14:paraId="049C57F1" w14:textId="77777777" w:rsidR="001A0C9A" w:rsidRPr="001A0C9A" w:rsidRDefault="001A0C9A" w:rsidP="001A0C9A">
      <w:pPr>
        <w:rPr>
          <w:b/>
          <w:bCs/>
        </w:rPr>
      </w:pPr>
      <w:r w:rsidRPr="001A0C9A">
        <w:rPr>
          <w:b/>
          <w:bCs/>
        </w:rPr>
        <w:t>1. Introduction and Context</w:t>
      </w:r>
    </w:p>
    <w:p w14:paraId="7CE67D1B" w14:textId="77777777" w:rsidR="001A0C9A" w:rsidRPr="001A0C9A" w:rsidRDefault="001A0C9A" w:rsidP="001A0C9A">
      <w:r w:rsidRPr="001A0C9A">
        <w:t xml:space="preserve">This document represents a detailed record of the risk assessment undertaken by the legal and commercial teams of both </w:t>
      </w:r>
      <w:proofErr w:type="spellStart"/>
      <w:r w:rsidRPr="001A0C9A">
        <w:t>PrimeVolta</w:t>
      </w:r>
      <w:proofErr w:type="spellEnd"/>
      <w:r w:rsidRPr="001A0C9A">
        <w:t xml:space="preserve"> Hardware Solutions (“</w:t>
      </w:r>
      <w:proofErr w:type="spellStart"/>
      <w:r w:rsidRPr="001A0C9A">
        <w:t>PrimeVolta</w:t>
      </w:r>
      <w:proofErr w:type="spellEnd"/>
      <w:r w:rsidRPr="001A0C9A">
        <w:t xml:space="preserve">”) and </w:t>
      </w:r>
      <w:proofErr w:type="spellStart"/>
      <w:r w:rsidRPr="001A0C9A">
        <w:t>FinSecure</w:t>
      </w:r>
      <w:proofErr w:type="spellEnd"/>
      <w:r w:rsidRPr="001A0C9A">
        <w:t xml:space="preserve"> Services (“</w:t>
      </w:r>
      <w:proofErr w:type="spellStart"/>
      <w:r w:rsidRPr="001A0C9A">
        <w:t>FinSecure</w:t>
      </w:r>
      <w:proofErr w:type="spellEnd"/>
      <w:r w:rsidRPr="001A0C9A">
        <w:t xml:space="preserve">”) during preliminary and mid-stage negotiations for a hardware supply agreement. The engagement involves supplying secure financial transaction </w:t>
      </w:r>
      <w:proofErr w:type="gramStart"/>
      <w:r w:rsidRPr="001A0C9A">
        <w:t>devices—</w:t>
      </w:r>
      <w:proofErr w:type="gramEnd"/>
      <w:r w:rsidRPr="001A0C9A">
        <w:t xml:space="preserve">including biometric authentication modules, point-of-sale terminals, and network-integrated security hardware—to </w:t>
      </w:r>
      <w:proofErr w:type="spellStart"/>
      <w:r w:rsidRPr="001A0C9A">
        <w:t>FinSecure’s</w:t>
      </w:r>
      <w:proofErr w:type="spellEnd"/>
      <w:r w:rsidRPr="001A0C9A">
        <w:t xml:space="preserve"> branches and partner outlets.</w:t>
      </w:r>
    </w:p>
    <w:p w14:paraId="315A7CBB" w14:textId="77777777" w:rsidR="001A0C9A" w:rsidRPr="001A0C9A" w:rsidRDefault="001A0C9A" w:rsidP="001A0C9A">
      <w:r w:rsidRPr="001A0C9A">
        <w:t xml:space="preserve">The negotiation context is particularly sensitive due to the nature of the BFSI industry, where regulatory compliance, data security, and financial liability are paramount. The risk assessment serves multiple purposes: (a) identification of potential legal and operational exposures, (b) formulation of mitigation strategies, (c) alignment with </w:t>
      </w:r>
      <w:proofErr w:type="spellStart"/>
      <w:r w:rsidRPr="001A0C9A">
        <w:t>FinSecure’s</w:t>
      </w:r>
      <w:proofErr w:type="spellEnd"/>
      <w:r w:rsidRPr="001A0C9A">
        <w:t xml:space="preserve"> internal risk and compliance policies, and (d) preparation of detailed recommendations for contractual clauses.</w:t>
      </w:r>
    </w:p>
    <w:p w14:paraId="776FD897" w14:textId="77777777" w:rsidR="001A0C9A" w:rsidRPr="001A0C9A" w:rsidRDefault="001A0C9A" w:rsidP="001A0C9A">
      <w:proofErr w:type="spellStart"/>
      <w:r w:rsidRPr="001A0C9A">
        <w:t>PrimeVolta</w:t>
      </w:r>
      <w:proofErr w:type="spellEnd"/>
      <w:r w:rsidRPr="001A0C9A">
        <w:t xml:space="preserve"> initially submitted a proposed contract draft that outlined the scope of supply, pricing, warranties, delivery schedules, intellectual property warranties, and compliance commitments. </w:t>
      </w:r>
      <w:proofErr w:type="spellStart"/>
      <w:r w:rsidRPr="001A0C9A">
        <w:t>FinSecure’s</w:t>
      </w:r>
      <w:proofErr w:type="spellEnd"/>
      <w:r w:rsidRPr="001A0C9A">
        <w:t xml:space="preserve"> legal and commercial teams conducted a multi-stage review, highlighting risks in four key areas: legal, regulatory, financial/commercial, and operational. This document consolidates those findings and the recommended mitigation measures.</w:t>
      </w:r>
    </w:p>
    <w:p w14:paraId="18D4FDB6" w14:textId="19149719" w:rsidR="001A0C9A" w:rsidRPr="001A0C9A" w:rsidRDefault="001A0C9A" w:rsidP="001A0C9A"/>
    <w:p w14:paraId="3E15F57A" w14:textId="77777777" w:rsidR="001A0C9A" w:rsidRPr="001A0C9A" w:rsidRDefault="001A0C9A" w:rsidP="001A0C9A">
      <w:pPr>
        <w:rPr>
          <w:b/>
          <w:bCs/>
        </w:rPr>
      </w:pPr>
      <w:r w:rsidRPr="001A0C9A">
        <w:rPr>
          <w:b/>
          <w:bCs/>
        </w:rPr>
        <w:t>2. Legal Risk Assessment</w:t>
      </w:r>
    </w:p>
    <w:p w14:paraId="6B77124C" w14:textId="77777777" w:rsidR="001A0C9A" w:rsidRPr="001A0C9A" w:rsidRDefault="001A0C9A" w:rsidP="001A0C9A">
      <w:pPr>
        <w:rPr>
          <w:b/>
          <w:bCs/>
        </w:rPr>
      </w:pPr>
      <w:r w:rsidRPr="001A0C9A">
        <w:rPr>
          <w:b/>
          <w:bCs/>
        </w:rPr>
        <w:t>2.1 Intellectual Property (IP) Risks</w:t>
      </w:r>
    </w:p>
    <w:p w14:paraId="5205EAAA" w14:textId="77777777" w:rsidR="001A0C9A" w:rsidRPr="001A0C9A" w:rsidRDefault="001A0C9A" w:rsidP="001A0C9A">
      <w:proofErr w:type="spellStart"/>
      <w:r w:rsidRPr="001A0C9A">
        <w:t>PrimeVolta’s</w:t>
      </w:r>
      <w:proofErr w:type="spellEnd"/>
      <w:r w:rsidRPr="001A0C9A">
        <w:t xml:space="preserve"> devices incorporate proprietary encryption algorithms, biometric recognition modules, and third-party hardware components. The legal team identified several potential risks:</w:t>
      </w:r>
    </w:p>
    <w:p w14:paraId="48085BBE" w14:textId="77777777" w:rsidR="001A0C9A" w:rsidRPr="001A0C9A" w:rsidRDefault="001A0C9A" w:rsidP="001A0C9A">
      <w:pPr>
        <w:numPr>
          <w:ilvl w:val="0"/>
          <w:numId w:val="1"/>
        </w:numPr>
      </w:pPr>
      <w:r w:rsidRPr="001A0C9A">
        <w:rPr>
          <w:b/>
          <w:bCs/>
        </w:rPr>
        <w:t>Third-party software integration:</w:t>
      </w:r>
      <w:r w:rsidRPr="001A0C9A">
        <w:t xml:space="preserve"> Devices include modules licensed from third-party vendors. Failure to secure proper sublicenses could expose </w:t>
      </w:r>
      <w:proofErr w:type="spellStart"/>
      <w:r w:rsidRPr="001A0C9A">
        <w:t>FinSecure</w:t>
      </w:r>
      <w:proofErr w:type="spellEnd"/>
      <w:r w:rsidRPr="001A0C9A">
        <w:t xml:space="preserve"> to claims of patent or copyright infringement.</w:t>
      </w:r>
    </w:p>
    <w:p w14:paraId="03B455A7" w14:textId="77777777" w:rsidR="001A0C9A" w:rsidRPr="001A0C9A" w:rsidRDefault="001A0C9A" w:rsidP="001A0C9A">
      <w:pPr>
        <w:numPr>
          <w:ilvl w:val="0"/>
          <w:numId w:val="1"/>
        </w:numPr>
      </w:pPr>
      <w:r w:rsidRPr="001A0C9A">
        <w:rPr>
          <w:b/>
          <w:bCs/>
        </w:rPr>
        <w:lastRenderedPageBreak/>
        <w:t>Proprietary algorithms:</w:t>
      </w:r>
      <w:r w:rsidRPr="001A0C9A">
        <w:t xml:space="preserve"> While </w:t>
      </w:r>
      <w:proofErr w:type="spellStart"/>
      <w:r w:rsidRPr="001A0C9A">
        <w:t>PrimeVolta</w:t>
      </w:r>
      <w:proofErr w:type="spellEnd"/>
      <w:r w:rsidRPr="001A0C9A">
        <w:t xml:space="preserve"> claims ownership of core algorithms, there remains residual risk that competitors may challenge IP claims, leading to injunctions or product recalls.</w:t>
      </w:r>
    </w:p>
    <w:p w14:paraId="3846A20A" w14:textId="77777777" w:rsidR="001A0C9A" w:rsidRPr="001A0C9A" w:rsidRDefault="001A0C9A" w:rsidP="001A0C9A">
      <w:pPr>
        <w:numPr>
          <w:ilvl w:val="0"/>
          <w:numId w:val="1"/>
        </w:numPr>
      </w:pPr>
      <w:r w:rsidRPr="001A0C9A">
        <w:rPr>
          <w:b/>
          <w:bCs/>
        </w:rPr>
        <w:t>Mitigation:</w:t>
      </w:r>
      <w:r w:rsidRPr="001A0C9A">
        <w:t xml:space="preserve"> Legal teams recommended a comprehensive IP warranty clause, indemnification for infringement claims, and periodic verification of all software and hardware licenses.</w:t>
      </w:r>
    </w:p>
    <w:p w14:paraId="08C32038" w14:textId="77777777" w:rsidR="001A0C9A" w:rsidRPr="001A0C9A" w:rsidRDefault="001A0C9A" w:rsidP="001A0C9A">
      <w:r w:rsidRPr="001A0C9A">
        <w:rPr>
          <w:b/>
          <w:bCs/>
        </w:rPr>
        <w:t>Negotiation Insight:</w:t>
      </w:r>
      <w:r w:rsidRPr="001A0C9A">
        <w:t xml:space="preserve"> Legal teams emphasized that IP-related indemnities must explicitly cover attorney fees, settlement costs, and potential damages to </w:t>
      </w:r>
      <w:proofErr w:type="spellStart"/>
      <w:r w:rsidRPr="001A0C9A">
        <w:t>FinSecure’s</w:t>
      </w:r>
      <w:proofErr w:type="spellEnd"/>
      <w:r w:rsidRPr="001A0C9A">
        <w:t xml:space="preserve"> clients in the event of litigation.</w:t>
      </w:r>
    </w:p>
    <w:p w14:paraId="40B7BBDE" w14:textId="45F55CD8" w:rsidR="001A0C9A" w:rsidRPr="001A0C9A" w:rsidRDefault="001A0C9A" w:rsidP="001A0C9A"/>
    <w:p w14:paraId="63AEFDFA" w14:textId="77777777" w:rsidR="001A0C9A" w:rsidRPr="001A0C9A" w:rsidRDefault="001A0C9A" w:rsidP="001A0C9A">
      <w:pPr>
        <w:rPr>
          <w:b/>
          <w:bCs/>
        </w:rPr>
      </w:pPr>
      <w:r w:rsidRPr="001A0C9A">
        <w:rPr>
          <w:b/>
          <w:bCs/>
        </w:rPr>
        <w:t>2.2 Liability and Indemnification</w:t>
      </w:r>
    </w:p>
    <w:p w14:paraId="4B5240DA" w14:textId="77777777" w:rsidR="001A0C9A" w:rsidRPr="001A0C9A" w:rsidRDefault="001A0C9A" w:rsidP="001A0C9A">
      <w:r w:rsidRPr="001A0C9A">
        <w:t>Potential liability risks were assessed in the following categories:</w:t>
      </w:r>
    </w:p>
    <w:p w14:paraId="2D8ECDA7" w14:textId="77777777" w:rsidR="001A0C9A" w:rsidRPr="001A0C9A" w:rsidRDefault="001A0C9A" w:rsidP="001A0C9A">
      <w:pPr>
        <w:numPr>
          <w:ilvl w:val="0"/>
          <w:numId w:val="2"/>
        </w:numPr>
      </w:pPr>
      <w:r w:rsidRPr="001A0C9A">
        <w:rPr>
          <w:b/>
          <w:bCs/>
        </w:rPr>
        <w:t>Device malfunction:</w:t>
      </w:r>
      <w:r w:rsidRPr="001A0C9A">
        <w:t xml:space="preserve"> Malfunctions could lead to transaction failures or financial losses.</w:t>
      </w:r>
    </w:p>
    <w:p w14:paraId="5A744D11" w14:textId="77777777" w:rsidR="001A0C9A" w:rsidRPr="001A0C9A" w:rsidRDefault="001A0C9A" w:rsidP="001A0C9A">
      <w:pPr>
        <w:numPr>
          <w:ilvl w:val="0"/>
          <w:numId w:val="2"/>
        </w:numPr>
      </w:pPr>
      <w:r w:rsidRPr="001A0C9A">
        <w:rPr>
          <w:b/>
          <w:bCs/>
        </w:rPr>
        <w:t>Data breach or theft:</w:t>
      </w:r>
      <w:r w:rsidRPr="001A0C9A">
        <w:t xml:space="preserve"> Devices handling sensitive financial data could expose </w:t>
      </w:r>
      <w:proofErr w:type="spellStart"/>
      <w:r w:rsidRPr="001A0C9A">
        <w:t>FinSecure</w:t>
      </w:r>
      <w:proofErr w:type="spellEnd"/>
      <w:r w:rsidRPr="001A0C9A">
        <w:t xml:space="preserve"> to regulatory fines.</w:t>
      </w:r>
    </w:p>
    <w:p w14:paraId="3ABD775E" w14:textId="77777777" w:rsidR="001A0C9A" w:rsidRPr="001A0C9A" w:rsidRDefault="001A0C9A" w:rsidP="001A0C9A">
      <w:pPr>
        <w:numPr>
          <w:ilvl w:val="0"/>
          <w:numId w:val="2"/>
        </w:numPr>
      </w:pPr>
      <w:r w:rsidRPr="001A0C9A">
        <w:rPr>
          <w:b/>
          <w:bCs/>
        </w:rPr>
        <w:t>Scope of liability:</w:t>
      </w:r>
      <w:r w:rsidRPr="001A0C9A">
        <w:t xml:space="preserve"> </w:t>
      </w:r>
      <w:proofErr w:type="spellStart"/>
      <w:r w:rsidRPr="001A0C9A">
        <w:t>PrimeVolta</w:t>
      </w:r>
      <w:proofErr w:type="spellEnd"/>
      <w:r w:rsidRPr="001A0C9A">
        <w:t xml:space="preserve"> initially proposed capping liability at the contract value, which </w:t>
      </w:r>
      <w:proofErr w:type="spellStart"/>
      <w:r w:rsidRPr="001A0C9A">
        <w:t>FinSecure’s</w:t>
      </w:r>
      <w:proofErr w:type="spellEnd"/>
      <w:r w:rsidRPr="001A0C9A">
        <w:t xml:space="preserve"> legal team rejected, requesting unlimited liability for gross negligence, willful misconduct, and IP infringement.</w:t>
      </w:r>
    </w:p>
    <w:p w14:paraId="11992419" w14:textId="77777777" w:rsidR="001A0C9A" w:rsidRPr="001A0C9A" w:rsidRDefault="001A0C9A" w:rsidP="001A0C9A">
      <w:r w:rsidRPr="001A0C9A">
        <w:rPr>
          <w:b/>
          <w:bCs/>
        </w:rPr>
        <w:t>Negotiation Insight:</w:t>
      </w:r>
      <w:r w:rsidRPr="001A0C9A">
        <w:t xml:space="preserve"> It was agreed that indirect and consequential damages would be capped to prevent excessive financial exposure, while exceptions would ensure accountability for critical failures.</w:t>
      </w:r>
    </w:p>
    <w:p w14:paraId="3B0A897B" w14:textId="70F79E3C" w:rsidR="001A0C9A" w:rsidRPr="001A0C9A" w:rsidRDefault="001A0C9A" w:rsidP="001A0C9A"/>
    <w:p w14:paraId="1E490894" w14:textId="77777777" w:rsidR="001A0C9A" w:rsidRPr="001A0C9A" w:rsidRDefault="001A0C9A" w:rsidP="001A0C9A">
      <w:pPr>
        <w:rPr>
          <w:b/>
          <w:bCs/>
        </w:rPr>
      </w:pPr>
      <w:r w:rsidRPr="001A0C9A">
        <w:rPr>
          <w:b/>
          <w:bCs/>
        </w:rPr>
        <w:t>2.3 Regulatory Compliance Risks</w:t>
      </w:r>
    </w:p>
    <w:p w14:paraId="72DAE7E2" w14:textId="77777777" w:rsidR="001A0C9A" w:rsidRPr="001A0C9A" w:rsidRDefault="001A0C9A" w:rsidP="001A0C9A">
      <w:proofErr w:type="spellStart"/>
      <w:r w:rsidRPr="001A0C9A">
        <w:t>FinSecure</w:t>
      </w:r>
      <w:proofErr w:type="spellEnd"/>
      <w:r w:rsidRPr="001A0C9A">
        <w:t xml:space="preserve"> operates under multiple regulatory frameworks including:</w:t>
      </w:r>
    </w:p>
    <w:p w14:paraId="52FECC4D" w14:textId="77777777" w:rsidR="001A0C9A" w:rsidRPr="001A0C9A" w:rsidRDefault="001A0C9A" w:rsidP="001A0C9A">
      <w:pPr>
        <w:numPr>
          <w:ilvl w:val="0"/>
          <w:numId w:val="3"/>
        </w:numPr>
      </w:pPr>
      <w:r w:rsidRPr="001A0C9A">
        <w:rPr>
          <w:b/>
          <w:bCs/>
        </w:rPr>
        <w:t>Reserve Bank of India (RBI) guidelines</w:t>
      </w:r>
      <w:r w:rsidRPr="001A0C9A">
        <w:t xml:space="preserve"> for payment devices.</w:t>
      </w:r>
    </w:p>
    <w:p w14:paraId="13F081EA" w14:textId="77777777" w:rsidR="001A0C9A" w:rsidRPr="001A0C9A" w:rsidRDefault="001A0C9A" w:rsidP="001A0C9A">
      <w:pPr>
        <w:numPr>
          <w:ilvl w:val="0"/>
          <w:numId w:val="3"/>
        </w:numPr>
      </w:pPr>
      <w:r w:rsidRPr="001A0C9A">
        <w:rPr>
          <w:b/>
          <w:bCs/>
        </w:rPr>
        <w:t>ISO/IEC 27001</w:t>
      </w:r>
      <w:r w:rsidRPr="001A0C9A">
        <w:t xml:space="preserve"> for information security management.</w:t>
      </w:r>
    </w:p>
    <w:p w14:paraId="0CB49C9E" w14:textId="77777777" w:rsidR="001A0C9A" w:rsidRPr="001A0C9A" w:rsidRDefault="001A0C9A" w:rsidP="001A0C9A">
      <w:pPr>
        <w:numPr>
          <w:ilvl w:val="0"/>
          <w:numId w:val="3"/>
        </w:numPr>
      </w:pPr>
      <w:r w:rsidRPr="001A0C9A">
        <w:rPr>
          <w:b/>
          <w:bCs/>
        </w:rPr>
        <w:t>General Data Protection Regulation (GDPR)</w:t>
      </w:r>
      <w:r w:rsidRPr="001A0C9A">
        <w:t xml:space="preserve"> for handling EU customer data.</w:t>
      </w:r>
    </w:p>
    <w:p w14:paraId="07E90C21" w14:textId="77777777" w:rsidR="001A0C9A" w:rsidRPr="001A0C9A" w:rsidRDefault="001A0C9A" w:rsidP="001A0C9A">
      <w:r w:rsidRPr="001A0C9A">
        <w:t>The legal team identified risks related to:</w:t>
      </w:r>
    </w:p>
    <w:p w14:paraId="12830058" w14:textId="77777777" w:rsidR="001A0C9A" w:rsidRPr="001A0C9A" w:rsidRDefault="001A0C9A" w:rsidP="001A0C9A">
      <w:pPr>
        <w:numPr>
          <w:ilvl w:val="0"/>
          <w:numId w:val="4"/>
        </w:numPr>
      </w:pPr>
      <w:r w:rsidRPr="001A0C9A">
        <w:rPr>
          <w:b/>
          <w:bCs/>
        </w:rPr>
        <w:lastRenderedPageBreak/>
        <w:t>Non-compliant supply chain:</w:t>
      </w:r>
      <w:r w:rsidRPr="001A0C9A">
        <w:t xml:space="preserve"> Subcontractors may not adhere to cybersecurity or privacy standards.</w:t>
      </w:r>
    </w:p>
    <w:p w14:paraId="46B0E5D8" w14:textId="77777777" w:rsidR="001A0C9A" w:rsidRPr="001A0C9A" w:rsidRDefault="001A0C9A" w:rsidP="001A0C9A">
      <w:pPr>
        <w:numPr>
          <w:ilvl w:val="0"/>
          <w:numId w:val="4"/>
        </w:numPr>
      </w:pPr>
      <w:r w:rsidRPr="001A0C9A">
        <w:rPr>
          <w:b/>
          <w:bCs/>
        </w:rPr>
        <w:t>Delayed compliance reporting:</w:t>
      </w:r>
      <w:r w:rsidRPr="001A0C9A">
        <w:t xml:space="preserve"> Inadequate monitoring of regulatory changes could result in late reporting.</w:t>
      </w:r>
    </w:p>
    <w:p w14:paraId="0B6E59F3" w14:textId="77777777" w:rsidR="001A0C9A" w:rsidRPr="001A0C9A" w:rsidRDefault="001A0C9A" w:rsidP="001A0C9A">
      <w:r w:rsidRPr="001A0C9A">
        <w:rPr>
          <w:b/>
          <w:bCs/>
        </w:rPr>
        <w:t>Mitigation Measures:</w:t>
      </w:r>
    </w:p>
    <w:p w14:paraId="237D87E3" w14:textId="77777777" w:rsidR="001A0C9A" w:rsidRPr="001A0C9A" w:rsidRDefault="001A0C9A" w:rsidP="001A0C9A">
      <w:pPr>
        <w:numPr>
          <w:ilvl w:val="0"/>
          <w:numId w:val="5"/>
        </w:numPr>
      </w:pPr>
      <w:r w:rsidRPr="001A0C9A">
        <w:t xml:space="preserve">Quarterly compliance reports from </w:t>
      </w:r>
      <w:proofErr w:type="spellStart"/>
      <w:r w:rsidRPr="001A0C9A">
        <w:t>PrimeVolta</w:t>
      </w:r>
      <w:proofErr w:type="spellEnd"/>
      <w:r w:rsidRPr="001A0C9A">
        <w:t>.</w:t>
      </w:r>
    </w:p>
    <w:p w14:paraId="21D2C351" w14:textId="77777777" w:rsidR="001A0C9A" w:rsidRPr="001A0C9A" w:rsidRDefault="001A0C9A" w:rsidP="001A0C9A">
      <w:pPr>
        <w:numPr>
          <w:ilvl w:val="0"/>
          <w:numId w:val="5"/>
        </w:numPr>
      </w:pPr>
      <w:r w:rsidRPr="001A0C9A">
        <w:t xml:space="preserve">Third-party audits with certificates shared with </w:t>
      </w:r>
      <w:proofErr w:type="spellStart"/>
      <w:r w:rsidRPr="001A0C9A">
        <w:t>FinSecure</w:t>
      </w:r>
      <w:proofErr w:type="spellEnd"/>
      <w:r w:rsidRPr="001A0C9A">
        <w:t>.</w:t>
      </w:r>
    </w:p>
    <w:p w14:paraId="2D9BC894" w14:textId="77777777" w:rsidR="001A0C9A" w:rsidRPr="001A0C9A" w:rsidRDefault="001A0C9A" w:rsidP="001A0C9A">
      <w:pPr>
        <w:numPr>
          <w:ilvl w:val="0"/>
          <w:numId w:val="5"/>
        </w:numPr>
      </w:pPr>
      <w:r w:rsidRPr="001A0C9A">
        <w:t>Inclusion of a “regulatory compliance breach” clause enabling contract termination.</w:t>
      </w:r>
    </w:p>
    <w:p w14:paraId="4C6A9A8D" w14:textId="667E66D8" w:rsidR="001A0C9A" w:rsidRPr="001A0C9A" w:rsidRDefault="001A0C9A" w:rsidP="001A0C9A"/>
    <w:p w14:paraId="30B7E352" w14:textId="77777777" w:rsidR="001A0C9A" w:rsidRPr="001A0C9A" w:rsidRDefault="001A0C9A" w:rsidP="001A0C9A">
      <w:pPr>
        <w:rPr>
          <w:b/>
          <w:bCs/>
        </w:rPr>
      </w:pPr>
      <w:r w:rsidRPr="001A0C9A">
        <w:rPr>
          <w:b/>
          <w:bCs/>
        </w:rPr>
        <w:t>2.4 Contract Termination and Exit Clauses</w:t>
      </w:r>
    </w:p>
    <w:p w14:paraId="1998A14D" w14:textId="77777777" w:rsidR="001A0C9A" w:rsidRPr="001A0C9A" w:rsidRDefault="001A0C9A" w:rsidP="001A0C9A">
      <w:r w:rsidRPr="001A0C9A">
        <w:t>Legal teams identified scenarios requiring clear exit provisions:</w:t>
      </w:r>
    </w:p>
    <w:p w14:paraId="0F70B8A7" w14:textId="77777777" w:rsidR="001A0C9A" w:rsidRPr="001A0C9A" w:rsidRDefault="001A0C9A" w:rsidP="001A0C9A">
      <w:pPr>
        <w:numPr>
          <w:ilvl w:val="0"/>
          <w:numId w:val="6"/>
        </w:numPr>
      </w:pPr>
      <w:r w:rsidRPr="001A0C9A">
        <w:rPr>
          <w:b/>
          <w:bCs/>
        </w:rPr>
        <w:t>Non-performance:</w:t>
      </w:r>
      <w:r w:rsidRPr="001A0C9A">
        <w:t xml:space="preserve"> Failure to meet SLAs for delivery, maintenance, or device functionality.</w:t>
      </w:r>
    </w:p>
    <w:p w14:paraId="7268A28D" w14:textId="77777777" w:rsidR="001A0C9A" w:rsidRPr="001A0C9A" w:rsidRDefault="001A0C9A" w:rsidP="001A0C9A">
      <w:pPr>
        <w:numPr>
          <w:ilvl w:val="0"/>
          <w:numId w:val="6"/>
        </w:numPr>
      </w:pPr>
      <w:r w:rsidRPr="001A0C9A">
        <w:rPr>
          <w:b/>
          <w:bCs/>
        </w:rPr>
        <w:t>Regulatory violations:</w:t>
      </w:r>
      <w:r w:rsidRPr="001A0C9A">
        <w:t xml:space="preserve"> Breach of mandatory guidelines or discovery of non-compliance.</w:t>
      </w:r>
    </w:p>
    <w:p w14:paraId="3330EACB" w14:textId="77777777" w:rsidR="001A0C9A" w:rsidRPr="001A0C9A" w:rsidRDefault="001A0C9A" w:rsidP="001A0C9A">
      <w:pPr>
        <w:numPr>
          <w:ilvl w:val="0"/>
          <w:numId w:val="6"/>
        </w:numPr>
      </w:pPr>
      <w:r w:rsidRPr="001A0C9A">
        <w:rPr>
          <w:b/>
          <w:bCs/>
        </w:rPr>
        <w:t>Force majeure events:</w:t>
      </w:r>
      <w:r w:rsidRPr="001A0C9A">
        <w:t xml:space="preserve"> Natural disasters, supply chain disruptions, or geopolitical events.</w:t>
      </w:r>
    </w:p>
    <w:p w14:paraId="76AC330D" w14:textId="77777777" w:rsidR="001A0C9A" w:rsidRPr="001A0C9A" w:rsidRDefault="001A0C9A" w:rsidP="001A0C9A">
      <w:r w:rsidRPr="001A0C9A">
        <w:rPr>
          <w:b/>
          <w:bCs/>
        </w:rPr>
        <w:t>Negotiation Insight:</w:t>
      </w:r>
      <w:r w:rsidRPr="001A0C9A">
        <w:t xml:space="preserve"> Clauses were drafted specifying:</w:t>
      </w:r>
    </w:p>
    <w:p w14:paraId="472F7A99" w14:textId="77777777" w:rsidR="001A0C9A" w:rsidRPr="001A0C9A" w:rsidRDefault="001A0C9A" w:rsidP="001A0C9A">
      <w:pPr>
        <w:numPr>
          <w:ilvl w:val="0"/>
          <w:numId w:val="7"/>
        </w:numPr>
      </w:pPr>
      <w:r w:rsidRPr="001A0C9A">
        <w:t>Stepwise notice periods before termination.</w:t>
      </w:r>
    </w:p>
    <w:p w14:paraId="037F299C" w14:textId="77777777" w:rsidR="001A0C9A" w:rsidRPr="001A0C9A" w:rsidRDefault="001A0C9A" w:rsidP="001A0C9A">
      <w:pPr>
        <w:numPr>
          <w:ilvl w:val="0"/>
          <w:numId w:val="7"/>
        </w:numPr>
      </w:pPr>
      <w:r w:rsidRPr="001A0C9A">
        <w:t>Return of devices and data destruction protocols.</w:t>
      </w:r>
    </w:p>
    <w:p w14:paraId="406BF9F9" w14:textId="77777777" w:rsidR="001A0C9A" w:rsidRPr="001A0C9A" w:rsidRDefault="001A0C9A" w:rsidP="001A0C9A">
      <w:pPr>
        <w:numPr>
          <w:ilvl w:val="0"/>
          <w:numId w:val="7"/>
        </w:numPr>
      </w:pPr>
      <w:r w:rsidRPr="001A0C9A">
        <w:t>Settlement of pending invoices and penalties for early termination.</w:t>
      </w:r>
    </w:p>
    <w:p w14:paraId="0961970F" w14:textId="1A3C60D6" w:rsidR="001A0C9A" w:rsidRPr="001A0C9A" w:rsidRDefault="001A0C9A" w:rsidP="001A0C9A"/>
    <w:p w14:paraId="7FECC681" w14:textId="77777777" w:rsidR="001A0C9A" w:rsidRPr="001A0C9A" w:rsidRDefault="001A0C9A" w:rsidP="001A0C9A">
      <w:pPr>
        <w:rPr>
          <w:b/>
          <w:bCs/>
        </w:rPr>
      </w:pPr>
      <w:r w:rsidRPr="001A0C9A">
        <w:rPr>
          <w:b/>
          <w:bCs/>
        </w:rPr>
        <w:t>3. Commercial Risk Assessment</w:t>
      </w:r>
    </w:p>
    <w:p w14:paraId="39883B93" w14:textId="77777777" w:rsidR="001A0C9A" w:rsidRPr="001A0C9A" w:rsidRDefault="001A0C9A" w:rsidP="001A0C9A">
      <w:pPr>
        <w:rPr>
          <w:b/>
          <w:bCs/>
        </w:rPr>
      </w:pPr>
      <w:r w:rsidRPr="001A0C9A">
        <w:rPr>
          <w:b/>
          <w:bCs/>
        </w:rPr>
        <w:t>3.1 Pricing and Payment Terms</w:t>
      </w:r>
    </w:p>
    <w:p w14:paraId="3A6241DB" w14:textId="77777777" w:rsidR="001A0C9A" w:rsidRPr="001A0C9A" w:rsidRDefault="001A0C9A" w:rsidP="001A0C9A">
      <w:proofErr w:type="spellStart"/>
      <w:r w:rsidRPr="001A0C9A">
        <w:t>PrimeVolta</w:t>
      </w:r>
      <w:proofErr w:type="spellEnd"/>
      <w:r w:rsidRPr="001A0C9A">
        <w:t xml:space="preserve"> initially proposed a fixed pricing model; commercial risk assessment identified risks of component price fluctuations, particularly semiconductors.</w:t>
      </w:r>
    </w:p>
    <w:p w14:paraId="66854506" w14:textId="77777777" w:rsidR="001A0C9A" w:rsidRPr="001A0C9A" w:rsidRDefault="001A0C9A" w:rsidP="001A0C9A">
      <w:r w:rsidRPr="001A0C9A">
        <w:rPr>
          <w:b/>
          <w:bCs/>
        </w:rPr>
        <w:t>Mitigation Recommendations:</w:t>
      </w:r>
    </w:p>
    <w:p w14:paraId="21B5E88C" w14:textId="77777777" w:rsidR="001A0C9A" w:rsidRPr="001A0C9A" w:rsidRDefault="001A0C9A" w:rsidP="001A0C9A">
      <w:pPr>
        <w:numPr>
          <w:ilvl w:val="0"/>
          <w:numId w:val="8"/>
        </w:numPr>
      </w:pPr>
      <w:r w:rsidRPr="001A0C9A">
        <w:lastRenderedPageBreak/>
        <w:t>Fixed pricing for 12 months with quarterly review tied to semiconductor market indices.</w:t>
      </w:r>
    </w:p>
    <w:p w14:paraId="5AA715E1" w14:textId="77777777" w:rsidR="001A0C9A" w:rsidRPr="001A0C9A" w:rsidRDefault="001A0C9A" w:rsidP="001A0C9A">
      <w:pPr>
        <w:numPr>
          <w:ilvl w:val="0"/>
          <w:numId w:val="8"/>
        </w:numPr>
      </w:pPr>
      <w:r w:rsidRPr="001A0C9A">
        <w:t>Payment structure: 30% advance, 50% on milestone delivery, 20% on final acceptance.</w:t>
      </w:r>
    </w:p>
    <w:p w14:paraId="56FF3C77" w14:textId="77777777" w:rsidR="001A0C9A" w:rsidRPr="001A0C9A" w:rsidRDefault="001A0C9A" w:rsidP="001A0C9A">
      <w:pPr>
        <w:rPr>
          <w:b/>
          <w:bCs/>
        </w:rPr>
      </w:pPr>
      <w:r w:rsidRPr="001A0C9A">
        <w:rPr>
          <w:b/>
          <w:bCs/>
        </w:rPr>
        <w:t>3.2 Delivery and Supply Chain Risks</w:t>
      </w:r>
    </w:p>
    <w:p w14:paraId="18BF985F" w14:textId="77777777" w:rsidR="001A0C9A" w:rsidRPr="001A0C9A" w:rsidRDefault="001A0C9A" w:rsidP="001A0C9A">
      <w:r w:rsidRPr="001A0C9A">
        <w:t>Potential disruptions include:</w:t>
      </w:r>
    </w:p>
    <w:p w14:paraId="094520A6" w14:textId="77777777" w:rsidR="001A0C9A" w:rsidRPr="001A0C9A" w:rsidRDefault="001A0C9A" w:rsidP="001A0C9A">
      <w:pPr>
        <w:numPr>
          <w:ilvl w:val="0"/>
          <w:numId w:val="9"/>
        </w:numPr>
      </w:pPr>
      <w:r w:rsidRPr="001A0C9A">
        <w:t>Single-source suppliers for critical components.</w:t>
      </w:r>
    </w:p>
    <w:p w14:paraId="3C023342" w14:textId="77777777" w:rsidR="001A0C9A" w:rsidRPr="001A0C9A" w:rsidRDefault="001A0C9A" w:rsidP="001A0C9A">
      <w:pPr>
        <w:numPr>
          <w:ilvl w:val="0"/>
          <w:numId w:val="9"/>
        </w:numPr>
      </w:pPr>
      <w:r w:rsidRPr="001A0C9A">
        <w:t>Global chip shortages affecting delivery timelines.</w:t>
      </w:r>
    </w:p>
    <w:p w14:paraId="3B75323C" w14:textId="77777777" w:rsidR="001A0C9A" w:rsidRPr="001A0C9A" w:rsidRDefault="001A0C9A" w:rsidP="001A0C9A">
      <w:pPr>
        <w:numPr>
          <w:ilvl w:val="0"/>
          <w:numId w:val="9"/>
        </w:numPr>
      </w:pPr>
      <w:r w:rsidRPr="001A0C9A">
        <w:t>Shipping delays or customs clearance issues.</w:t>
      </w:r>
    </w:p>
    <w:p w14:paraId="1A14F7AC" w14:textId="77777777" w:rsidR="001A0C9A" w:rsidRPr="001A0C9A" w:rsidRDefault="001A0C9A" w:rsidP="001A0C9A">
      <w:r w:rsidRPr="001A0C9A">
        <w:rPr>
          <w:b/>
          <w:bCs/>
        </w:rPr>
        <w:t>Mitigation Recommendations:</w:t>
      </w:r>
    </w:p>
    <w:p w14:paraId="316E4D17" w14:textId="77777777" w:rsidR="001A0C9A" w:rsidRPr="001A0C9A" w:rsidRDefault="001A0C9A" w:rsidP="001A0C9A">
      <w:pPr>
        <w:numPr>
          <w:ilvl w:val="0"/>
          <w:numId w:val="10"/>
        </w:numPr>
      </w:pPr>
      <w:r w:rsidRPr="001A0C9A">
        <w:t>SLAs with defined penalties for late delivery.</w:t>
      </w:r>
    </w:p>
    <w:p w14:paraId="6F902965" w14:textId="77777777" w:rsidR="001A0C9A" w:rsidRPr="001A0C9A" w:rsidRDefault="001A0C9A" w:rsidP="001A0C9A">
      <w:pPr>
        <w:numPr>
          <w:ilvl w:val="0"/>
          <w:numId w:val="10"/>
        </w:numPr>
      </w:pPr>
      <w:proofErr w:type="gramStart"/>
      <w:r w:rsidRPr="001A0C9A">
        <w:t>Dual-sourcing</w:t>
      </w:r>
      <w:proofErr w:type="gramEnd"/>
      <w:r w:rsidRPr="001A0C9A">
        <w:t xml:space="preserve"> for critical components.</w:t>
      </w:r>
    </w:p>
    <w:p w14:paraId="0890F0D2" w14:textId="77777777" w:rsidR="001A0C9A" w:rsidRPr="001A0C9A" w:rsidRDefault="001A0C9A" w:rsidP="001A0C9A">
      <w:pPr>
        <w:numPr>
          <w:ilvl w:val="0"/>
          <w:numId w:val="10"/>
        </w:numPr>
      </w:pPr>
      <w:r w:rsidRPr="001A0C9A">
        <w:t>Buffer stock for high-demand devices.</w:t>
      </w:r>
    </w:p>
    <w:p w14:paraId="3B7355C5" w14:textId="77777777" w:rsidR="001A0C9A" w:rsidRPr="001A0C9A" w:rsidRDefault="001A0C9A" w:rsidP="001A0C9A">
      <w:pPr>
        <w:rPr>
          <w:b/>
          <w:bCs/>
        </w:rPr>
      </w:pPr>
      <w:r w:rsidRPr="001A0C9A">
        <w:rPr>
          <w:b/>
          <w:bCs/>
        </w:rPr>
        <w:t>3.3 Warranty and Maintenance</w:t>
      </w:r>
    </w:p>
    <w:p w14:paraId="52AE4A38" w14:textId="77777777" w:rsidR="001A0C9A" w:rsidRPr="001A0C9A" w:rsidRDefault="001A0C9A" w:rsidP="001A0C9A">
      <w:r w:rsidRPr="001A0C9A">
        <w:t>Initial proposals offered 12-month warranty; assessment identified insufficient coverage.</w:t>
      </w:r>
    </w:p>
    <w:p w14:paraId="03623684" w14:textId="77777777" w:rsidR="001A0C9A" w:rsidRPr="001A0C9A" w:rsidRDefault="001A0C9A" w:rsidP="001A0C9A">
      <w:r w:rsidRPr="001A0C9A">
        <w:rPr>
          <w:b/>
          <w:bCs/>
        </w:rPr>
        <w:t>Recommendations:</w:t>
      </w:r>
    </w:p>
    <w:p w14:paraId="69D21634" w14:textId="77777777" w:rsidR="001A0C9A" w:rsidRPr="001A0C9A" w:rsidRDefault="001A0C9A" w:rsidP="001A0C9A">
      <w:pPr>
        <w:numPr>
          <w:ilvl w:val="0"/>
          <w:numId w:val="11"/>
        </w:numPr>
      </w:pPr>
      <w:r w:rsidRPr="001A0C9A">
        <w:t>Extend warranty to 24 months.</w:t>
      </w:r>
    </w:p>
    <w:p w14:paraId="3BAAC832" w14:textId="77777777" w:rsidR="001A0C9A" w:rsidRPr="001A0C9A" w:rsidRDefault="001A0C9A" w:rsidP="001A0C9A">
      <w:pPr>
        <w:numPr>
          <w:ilvl w:val="0"/>
          <w:numId w:val="11"/>
        </w:numPr>
      </w:pPr>
      <w:r w:rsidRPr="001A0C9A">
        <w:t>24/7 technical support with defined response times: critical issues within 4 hours, non-critical within 48 hours.</w:t>
      </w:r>
    </w:p>
    <w:p w14:paraId="21CEF0F2" w14:textId="77777777" w:rsidR="001A0C9A" w:rsidRPr="001A0C9A" w:rsidRDefault="001A0C9A" w:rsidP="001A0C9A">
      <w:pPr>
        <w:numPr>
          <w:ilvl w:val="0"/>
          <w:numId w:val="11"/>
        </w:numPr>
      </w:pPr>
      <w:r w:rsidRPr="001A0C9A">
        <w:t>On-site replacement for defective units within 24 hours.</w:t>
      </w:r>
    </w:p>
    <w:p w14:paraId="1AFE3208" w14:textId="77777777" w:rsidR="001A0C9A" w:rsidRPr="001A0C9A" w:rsidRDefault="001A0C9A" w:rsidP="001A0C9A">
      <w:pPr>
        <w:rPr>
          <w:b/>
          <w:bCs/>
        </w:rPr>
      </w:pPr>
      <w:r w:rsidRPr="001A0C9A">
        <w:rPr>
          <w:b/>
          <w:bCs/>
        </w:rPr>
        <w:t>3.4 Confidentiality and Data Security</w:t>
      </w:r>
    </w:p>
    <w:p w14:paraId="24D226A3" w14:textId="77777777" w:rsidR="001A0C9A" w:rsidRPr="001A0C9A" w:rsidRDefault="001A0C9A" w:rsidP="001A0C9A">
      <w:r w:rsidRPr="001A0C9A">
        <w:t>Handling sensitive financial data entails strict confidentiality requirements. Risks identified:</w:t>
      </w:r>
    </w:p>
    <w:p w14:paraId="2D210ADD" w14:textId="77777777" w:rsidR="001A0C9A" w:rsidRPr="001A0C9A" w:rsidRDefault="001A0C9A" w:rsidP="001A0C9A">
      <w:pPr>
        <w:numPr>
          <w:ilvl w:val="0"/>
          <w:numId w:val="12"/>
        </w:numPr>
      </w:pPr>
      <w:r w:rsidRPr="001A0C9A">
        <w:t>Unauthorized access to transaction data.</w:t>
      </w:r>
    </w:p>
    <w:p w14:paraId="67AA9D58" w14:textId="77777777" w:rsidR="001A0C9A" w:rsidRPr="001A0C9A" w:rsidRDefault="001A0C9A" w:rsidP="001A0C9A">
      <w:pPr>
        <w:numPr>
          <w:ilvl w:val="0"/>
          <w:numId w:val="12"/>
        </w:numPr>
      </w:pPr>
      <w:r w:rsidRPr="001A0C9A">
        <w:t>Insider threats from vendor personnel.</w:t>
      </w:r>
    </w:p>
    <w:p w14:paraId="176329BD" w14:textId="77777777" w:rsidR="001A0C9A" w:rsidRPr="001A0C9A" w:rsidRDefault="001A0C9A" w:rsidP="001A0C9A">
      <w:pPr>
        <w:numPr>
          <w:ilvl w:val="0"/>
          <w:numId w:val="12"/>
        </w:numPr>
      </w:pPr>
      <w:r w:rsidRPr="001A0C9A">
        <w:t>Data transmission vulnerabilities.</w:t>
      </w:r>
    </w:p>
    <w:p w14:paraId="5244F94C" w14:textId="77777777" w:rsidR="001A0C9A" w:rsidRPr="001A0C9A" w:rsidRDefault="001A0C9A" w:rsidP="001A0C9A">
      <w:r w:rsidRPr="001A0C9A">
        <w:rPr>
          <w:b/>
          <w:bCs/>
        </w:rPr>
        <w:t>Mitigation Measures:</w:t>
      </w:r>
    </w:p>
    <w:p w14:paraId="3B1CB6F2" w14:textId="77777777" w:rsidR="001A0C9A" w:rsidRPr="001A0C9A" w:rsidRDefault="001A0C9A" w:rsidP="001A0C9A">
      <w:pPr>
        <w:numPr>
          <w:ilvl w:val="0"/>
          <w:numId w:val="13"/>
        </w:numPr>
      </w:pPr>
      <w:r w:rsidRPr="001A0C9A">
        <w:lastRenderedPageBreak/>
        <w:t>NDAs covering all employees, subcontractors, and consultants.</w:t>
      </w:r>
    </w:p>
    <w:p w14:paraId="57A32FB0" w14:textId="77777777" w:rsidR="001A0C9A" w:rsidRPr="001A0C9A" w:rsidRDefault="001A0C9A" w:rsidP="001A0C9A">
      <w:pPr>
        <w:numPr>
          <w:ilvl w:val="0"/>
          <w:numId w:val="13"/>
        </w:numPr>
      </w:pPr>
      <w:r w:rsidRPr="001A0C9A">
        <w:t>End-to-end encryption for device communication.</w:t>
      </w:r>
    </w:p>
    <w:p w14:paraId="2A69619C" w14:textId="77777777" w:rsidR="001A0C9A" w:rsidRPr="001A0C9A" w:rsidRDefault="001A0C9A" w:rsidP="001A0C9A">
      <w:pPr>
        <w:numPr>
          <w:ilvl w:val="0"/>
          <w:numId w:val="13"/>
        </w:numPr>
      </w:pPr>
      <w:r w:rsidRPr="001A0C9A">
        <w:t>Secure transport protocols and background checks for all field engineers.</w:t>
      </w:r>
    </w:p>
    <w:p w14:paraId="27D25C04" w14:textId="195BA898" w:rsidR="001A0C9A" w:rsidRPr="001A0C9A" w:rsidRDefault="001A0C9A" w:rsidP="001A0C9A"/>
    <w:p w14:paraId="4C20BDB9" w14:textId="77777777" w:rsidR="001A0C9A" w:rsidRPr="001A0C9A" w:rsidRDefault="001A0C9A" w:rsidP="001A0C9A">
      <w:pPr>
        <w:rPr>
          <w:b/>
          <w:bCs/>
        </w:rPr>
      </w:pPr>
      <w:r w:rsidRPr="001A0C9A">
        <w:rPr>
          <w:b/>
          <w:bCs/>
        </w:rPr>
        <w:t>4. Risk Mitigation Recommendations</w:t>
      </w:r>
    </w:p>
    <w:p w14:paraId="1F1B4BDC" w14:textId="77777777" w:rsidR="001A0C9A" w:rsidRPr="001A0C9A" w:rsidRDefault="001A0C9A" w:rsidP="001A0C9A">
      <w:r w:rsidRPr="001A0C9A">
        <w:rPr>
          <w:b/>
          <w:bCs/>
        </w:rPr>
        <w:t>Integrated Legal and Commercial Strategy: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6918"/>
      </w:tblGrid>
      <w:tr w:rsidR="001A0C9A" w:rsidRPr="001A0C9A" w14:paraId="7E68E2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39EEBE" w14:textId="77777777" w:rsidR="001A0C9A" w:rsidRPr="001A0C9A" w:rsidRDefault="001A0C9A" w:rsidP="001A0C9A">
            <w:pPr>
              <w:rPr>
                <w:b/>
                <w:bCs/>
              </w:rPr>
            </w:pPr>
            <w:r w:rsidRPr="001A0C9A">
              <w:rPr>
                <w:b/>
                <w:bCs/>
              </w:rPr>
              <w:t>Risk Category</w:t>
            </w:r>
          </w:p>
        </w:tc>
        <w:tc>
          <w:tcPr>
            <w:tcW w:w="0" w:type="auto"/>
            <w:vAlign w:val="center"/>
            <w:hideMark/>
          </w:tcPr>
          <w:p w14:paraId="4A88D53A" w14:textId="77777777" w:rsidR="001A0C9A" w:rsidRPr="001A0C9A" w:rsidRDefault="001A0C9A" w:rsidP="001A0C9A">
            <w:pPr>
              <w:rPr>
                <w:b/>
                <w:bCs/>
              </w:rPr>
            </w:pPr>
            <w:r w:rsidRPr="001A0C9A">
              <w:rPr>
                <w:b/>
                <w:bCs/>
              </w:rPr>
              <w:t>Mitigation Measures</w:t>
            </w:r>
          </w:p>
        </w:tc>
      </w:tr>
      <w:tr w:rsidR="001A0C9A" w:rsidRPr="001A0C9A" w14:paraId="0AA1C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AAB5B" w14:textId="77777777" w:rsidR="001A0C9A" w:rsidRPr="001A0C9A" w:rsidRDefault="001A0C9A" w:rsidP="001A0C9A">
            <w:r w:rsidRPr="001A0C9A">
              <w:t>IP &amp; Licensing</w:t>
            </w:r>
          </w:p>
        </w:tc>
        <w:tc>
          <w:tcPr>
            <w:tcW w:w="0" w:type="auto"/>
            <w:vAlign w:val="center"/>
            <w:hideMark/>
          </w:tcPr>
          <w:p w14:paraId="321C8186" w14:textId="77777777" w:rsidR="001A0C9A" w:rsidRPr="001A0C9A" w:rsidRDefault="001A0C9A" w:rsidP="001A0C9A">
            <w:r w:rsidRPr="001A0C9A">
              <w:t>Warranty &amp; indemnification; periodic license audits</w:t>
            </w:r>
          </w:p>
        </w:tc>
      </w:tr>
      <w:tr w:rsidR="001A0C9A" w:rsidRPr="001A0C9A" w14:paraId="6F00F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C28F1" w14:textId="77777777" w:rsidR="001A0C9A" w:rsidRPr="001A0C9A" w:rsidRDefault="001A0C9A" w:rsidP="001A0C9A">
            <w:r w:rsidRPr="001A0C9A">
              <w:t>Regulatory Compliance</w:t>
            </w:r>
          </w:p>
        </w:tc>
        <w:tc>
          <w:tcPr>
            <w:tcW w:w="0" w:type="auto"/>
            <w:vAlign w:val="center"/>
            <w:hideMark/>
          </w:tcPr>
          <w:p w14:paraId="682BAFB7" w14:textId="77777777" w:rsidR="001A0C9A" w:rsidRPr="001A0C9A" w:rsidRDefault="001A0C9A" w:rsidP="001A0C9A">
            <w:r w:rsidRPr="001A0C9A">
              <w:t>Quarterly reports; third-party audits; termination rights for non-compliance</w:t>
            </w:r>
          </w:p>
        </w:tc>
      </w:tr>
      <w:tr w:rsidR="001A0C9A" w:rsidRPr="001A0C9A" w14:paraId="5DDCE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D31DF" w14:textId="77777777" w:rsidR="001A0C9A" w:rsidRPr="001A0C9A" w:rsidRDefault="001A0C9A" w:rsidP="001A0C9A">
            <w:r w:rsidRPr="001A0C9A">
              <w:t>Liability &amp; Indemnity</w:t>
            </w:r>
          </w:p>
        </w:tc>
        <w:tc>
          <w:tcPr>
            <w:tcW w:w="0" w:type="auto"/>
            <w:vAlign w:val="center"/>
            <w:hideMark/>
          </w:tcPr>
          <w:p w14:paraId="593EEB7C" w14:textId="77777777" w:rsidR="001A0C9A" w:rsidRPr="001A0C9A" w:rsidRDefault="001A0C9A" w:rsidP="001A0C9A">
            <w:r w:rsidRPr="001A0C9A">
              <w:t xml:space="preserve">Cap on indirect </w:t>
            </w:r>
            <w:proofErr w:type="gramStart"/>
            <w:r w:rsidRPr="001A0C9A">
              <w:t>damages</w:t>
            </w:r>
            <w:proofErr w:type="gramEnd"/>
            <w:r w:rsidRPr="001A0C9A">
              <w:t>; unlimited liability for gross negligence</w:t>
            </w:r>
          </w:p>
        </w:tc>
      </w:tr>
      <w:tr w:rsidR="001A0C9A" w:rsidRPr="001A0C9A" w14:paraId="3391D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9BB04" w14:textId="77777777" w:rsidR="001A0C9A" w:rsidRPr="001A0C9A" w:rsidRDefault="001A0C9A" w:rsidP="001A0C9A">
            <w:r w:rsidRPr="001A0C9A">
              <w:t>Pricing &amp; Payment</w:t>
            </w:r>
          </w:p>
        </w:tc>
        <w:tc>
          <w:tcPr>
            <w:tcW w:w="0" w:type="auto"/>
            <w:vAlign w:val="center"/>
            <w:hideMark/>
          </w:tcPr>
          <w:p w14:paraId="30687D0B" w14:textId="77777777" w:rsidR="001A0C9A" w:rsidRPr="001A0C9A" w:rsidRDefault="001A0C9A" w:rsidP="001A0C9A">
            <w:r w:rsidRPr="001A0C9A">
              <w:t>Fixed pricing with escalation clauses; milestone-linked payments</w:t>
            </w:r>
          </w:p>
        </w:tc>
      </w:tr>
      <w:tr w:rsidR="001A0C9A" w:rsidRPr="001A0C9A" w14:paraId="5A451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1C3B9" w14:textId="77777777" w:rsidR="001A0C9A" w:rsidRPr="001A0C9A" w:rsidRDefault="001A0C9A" w:rsidP="001A0C9A">
            <w:r w:rsidRPr="001A0C9A">
              <w:t>Supply Chain</w:t>
            </w:r>
          </w:p>
        </w:tc>
        <w:tc>
          <w:tcPr>
            <w:tcW w:w="0" w:type="auto"/>
            <w:vAlign w:val="center"/>
            <w:hideMark/>
          </w:tcPr>
          <w:p w14:paraId="763E9773" w14:textId="77777777" w:rsidR="001A0C9A" w:rsidRPr="001A0C9A" w:rsidRDefault="001A0C9A" w:rsidP="001A0C9A">
            <w:proofErr w:type="gramStart"/>
            <w:r w:rsidRPr="001A0C9A">
              <w:t>Dual-sourcing</w:t>
            </w:r>
            <w:proofErr w:type="gramEnd"/>
            <w:r w:rsidRPr="001A0C9A">
              <w:t>; buffer stock; SLA penalties</w:t>
            </w:r>
          </w:p>
        </w:tc>
      </w:tr>
      <w:tr w:rsidR="001A0C9A" w:rsidRPr="001A0C9A" w14:paraId="4FC44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635FC" w14:textId="77777777" w:rsidR="001A0C9A" w:rsidRPr="001A0C9A" w:rsidRDefault="001A0C9A" w:rsidP="001A0C9A">
            <w:r w:rsidRPr="001A0C9A">
              <w:t>Warranty &amp; Maintenance</w:t>
            </w:r>
          </w:p>
        </w:tc>
        <w:tc>
          <w:tcPr>
            <w:tcW w:w="0" w:type="auto"/>
            <w:vAlign w:val="center"/>
            <w:hideMark/>
          </w:tcPr>
          <w:p w14:paraId="1D11D27A" w14:textId="77777777" w:rsidR="001A0C9A" w:rsidRPr="001A0C9A" w:rsidRDefault="001A0C9A" w:rsidP="001A0C9A">
            <w:r w:rsidRPr="001A0C9A">
              <w:t>24-month coverage; rapid on-site replacement; 24/7 support</w:t>
            </w:r>
          </w:p>
        </w:tc>
      </w:tr>
      <w:tr w:rsidR="001A0C9A" w:rsidRPr="001A0C9A" w14:paraId="345EE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C7AFD" w14:textId="77777777" w:rsidR="001A0C9A" w:rsidRPr="001A0C9A" w:rsidRDefault="001A0C9A" w:rsidP="001A0C9A">
            <w:r w:rsidRPr="001A0C9A">
              <w:t>Data Security</w:t>
            </w:r>
          </w:p>
        </w:tc>
        <w:tc>
          <w:tcPr>
            <w:tcW w:w="0" w:type="auto"/>
            <w:vAlign w:val="center"/>
            <w:hideMark/>
          </w:tcPr>
          <w:p w14:paraId="40771B4B" w14:textId="77777777" w:rsidR="001A0C9A" w:rsidRPr="001A0C9A" w:rsidRDefault="001A0C9A" w:rsidP="001A0C9A">
            <w:r w:rsidRPr="001A0C9A">
              <w:t>NDAs; encrypted communication; personnel vetting</w:t>
            </w:r>
          </w:p>
        </w:tc>
      </w:tr>
    </w:tbl>
    <w:p w14:paraId="38FDFC89" w14:textId="6C5F8132" w:rsidR="001A0C9A" w:rsidRPr="001A0C9A" w:rsidRDefault="001A0C9A" w:rsidP="001A0C9A"/>
    <w:p w14:paraId="02CDD75C" w14:textId="77777777" w:rsidR="001A0C9A" w:rsidRPr="001A0C9A" w:rsidRDefault="001A0C9A" w:rsidP="001A0C9A">
      <w:pPr>
        <w:rPr>
          <w:b/>
          <w:bCs/>
        </w:rPr>
      </w:pPr>
      <w:r w:rsidRPr="001A0C9A">
        <w:rPr>
          <w:b/>
          <w:bCs/>
        </w:rPr>
        <w:t>5. Observations and Lessons Learned</w:t>
      </w:r>
    </w:p>
    <w:p w14:paraId="2DCB91C1" w14:textId="77777777" w:rsidR="001A0C9A" w:rsidRPr="001A0C9A" w:rsidRDefault="001A0C9A" w:rsidP="001A0C9A">
      <w:pPr>
        <w:numPr>
          <w:ilvl w:val="0"/>
          <w:numId w:val="14"/>
        </w:numPr>
      </w:pPr>
      <w:r w:rsidRPr="001A0C9A">
        <w:t>Early integration of legal and commercial teams accelerated risk identification.</w:t>
      </w:r>
    </w:p>
    <w:p w14:paraId="75A36ED5" w14:textId="77777777" w:rsidR="001A0C9A" w:rsidRPr="001A0C9A" w:rsidRDefault="001A0C9A" w:rsidP="001A0C9A">
      <w:pPr>
        <w:numPr>
          <w:ilvl w:val="0"/>
          <w:numId w:val="14"/>
        </w:numPr>
      </w:pPr>
      <w:r w:rsidRPr="001A0C9A">
        <w:t>Explicit regulatory references minimized later compliance disputes.</w:t>
      </w:r>
    </w:p>
    <w:p w14:paraId="19DFCA6E" w14:textId="77777777" w:rsidR="001A0C9A" w:rsidRPr="001A0C9A" w:rsidRDefault="001A0C9A" w:rsidP="001A0C9A">
      <w:pPr>
        <w:numPr>
          <w:ilvl w:val="0"/>
          <w:numId w:val="14"/>
        </w:numPr>
      </w:pPr>
      <w:r w:rsidRPr="001A0C9A">
        <w:t>SLAs tied to measurable KPIs reduced negotiation friction.</w:t>
      </w:r>
    </w:p>
    <w:p w14:paraId="3965AAEA" w14:textId="77777777" w:rsidR="001A0C9A" w:rsidRPr="001A0C9A" w:rsidRDefault="001A0C9A" w:rsidP="001A0C9A">
      <w:pPr>
        <w:numPr>
          <w:ilvl w:val="0"/>
          <w:numId w:val="14"/>
        </w:numPr>
      </w:pPr>
      <w:r w:rsidRPr="001A0C9A">
        <w:t>Documented assessments serve as reference for future hardware procurement contracts.</w:t>
      </w:r>
    </w:p>
    <w:p w14:paraId="0C5A9B64" w14:textId="26EC3AED" w:rsidR="001A0C9A" w:rsidRPr="001A0C9A" w:rsidRDefault="001A0C9A" w:rsidP="001A0C9A"/>
    <w:p w14:paraId="0B0810A4" w14:textId="77777777" w:rsidR="001A0C9A" w:rsidRPr="001A0C9A" w:rsidRDefault="001A0C9A" w:rsidP="001A0C9A">
      <w:pPr>
        <w:rPr>
          <w:b/>
          <w:bCs/>
        </w:rPr>
      </w:pPr>
      <w:r w:rsidRPr="001A0C9A">
        <w:rPr>
          <w:b/>
          <w:bCs/>
        </w:rPr>
        <w:t>6. Conclusion</w:t>
      </w:r>
    </w:p>
    <w:p w14:paraId="4F7317BA" w14:textId="77777777" w:rsidR="001A0C9A" w:rsidRPr="001A0C9A" w:rsidRDefault="001A0C9A" w:rsidP="001A0C9A">
      <w:r w:rsidRPr="001A0C9A">
        <w:lastRenderedPageBreak/>
        <w:t>This comprehensive risk assessment facilitated transparent negotiations, ensured regulatory and operational compliance, and reduced exposure to financial and reputational risks. It provides a structured approach to drafting contracts in highly regulated BFSI contexts.</w:t>
      </w:r>
    </w:p>
    <w:p w14:paraId="4647E2D1" w14:textId="77777777" w:rsidR="004766F7" w:rsidRDefault="004766F7"/>
    <w:sectPr w:rsidR="004766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729F"/>
    <w:multiLevelType w:val="multilevel"/>
    <w:tmpl w:val="F704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35894"/>
    <w:multiLevelType w:val="multilevel"/>
    <w:tmpl w:val="F23E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F1B49"/>
    <w:multiLevelType w:val="multilevel"/>
    <w:tmpl w:val="D4D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03F07"/>
    <w:multiLevelType w:val="multilevel"/>
    <w:tmpl w:val="83B08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BE188F"/>
    <w:multiLevelType w:val="multilevel"/>
    <w:tmpl w:val="91AC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1C583E"/>
    <w:multiLevelType w:val="multilevel"/>
    <w:tmpl w:val="0046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6917A4"/>
    <w:multiLevelType w:val="multilevel"/>
    <w:tmpl w:val="36FC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124A61"/>
    <w:multiLevelType w:val="multilevel"/>
    <w:tmpl w:val="6A3E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7E68B0"/>
    <w:multiLevelType w:val="multilevel"/>
    <w:tmpl w:val="FA2E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CD2746"/>
    <w:multiLevelType w:val="multilevel"/>
    <w:tmpl w:val="CEDEC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507F0D"/>
    <w:multiLevelType w:val="multilevel"/>
    <w:tmpl w:val="F10C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7D5C94"/>
    <w:multiLevelType w:val="multilevel"/>
    <w:tmpl w:val="BE6C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69392A"/>
    <w:multiLevelType w:val="multilevel"/>
    <w:tmpl w:val="868A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131BA3"/>
    <w:multiLevelType w:val="multilevel"/>
    <w:tmpl w:val="D95A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6300101">
    <w:abstractNumId w:val="7"/>
  </w:num>
  <w:num w:numId="2" w16cid:durableId="1040978977">
    <w:abstractNumId w:val="11"/>
  </w:num>
  <w:num w:numId="3" w16cid:durableId="327515981">
    <w:abstractNumId w:val="12"/>
  </w:num>
  <w:num w:numId="4" w16cid:durableId="1623614628">
    <w:abstractNumId w:val="2"/>
  </w:num>
  <w:num w:numId="5" w16cid:durableId="2105955046">
    <w:abstractNumId w:val="9"/>
  </w:num>
  <w:num w:numId="6" w16cid:durableId="2046447067">
    <w:abstractNumId w:val="13"/>
  </w:num>
  <w:num w:numId="7" w16cid:durableId="1044867382">
    <w:abstractNumId w:val="5"/>
  </w:num>
  <w:num w:numId="8" w16cid:durableId="26376077">
    <w:abstractNumId w:val="4"/>
  </w:num>
  <w:num w:numId="9" w16cid:durableId="2063407376">
    <w:abstractNumId w:val="10"/>
  </w:num>
  <w:num w:numId="10" w16cid:durableId="1469277190">
    <w:abstractNumId w:val="6"/>
  </w:num>
  <w:num w:numId="11" w16cid:durableId="1170170874">
    <w:abstractNumId w:val="0"/>
  </w:num>
  <w:num w:numId="12" w16cid:durableId="1377506461">
    <w:abstractNumId w:val="8"/>
  </w:num>
  <w:num w:numId="13" w16cid:durableId="1859931948">
    <w:abstractNumId w:val="1"/>
  </w:num>
  <w:num w:numId="14" w16cid:durableId="2839992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C9A"/>
    <w:rsid w:val="000A0ED7"/>
    <w:rsid w:val="001A0C9A"/>
    <w:rsid w:val="004766F7"/>
    <w:rsid w:val="00A82EF5"/>
    <w:rsid w:val="00BE7A3D"/>
    <w:rsid w:val="00E70CC8"/>
    <w:rsid w:val="00F31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C7533"/>
  <w15:chartTrackingRefBased/>
  <w15:docId w15:val="{F80DE406-5C92-4A5F-8B50-E8A0E8E83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C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C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C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C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C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C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C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C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C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C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C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1128</Words>
  <Characters>6432</Characters>
  <Application>Microsoft Office Word</Application>
  <DocSecurity>0</DocSecurity>
  <Lines>53</Lines>
  <Paragraphs>15</Paragraphs>
  <ScaleCrop>false</ScaleCrop>
  <Company>PricewaterhouseCoopers</Company>
  <LinksUpToDate>false</LinksUpToDate>
  <CharactersWithSpaces>7545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Kumari Jaya (IN)</dc:creator>
  <cp:keywords/>
  <dc:description/>
  <cp:lastModifiedBy>Kumari Jaya (IN)</cp:lastModifiedBy>
  <cp:revision>2</cp:revision>
  <dcterms:created xsi:type="dcterms:W3CDTF">2025-12-11T06:31:00Z</dcterms:created>
  <dcterms:modified xsi:type="dcterms:W3CDTF">2025-12-12T06:29:00Z</dcterms:modified>
</cp:coreProperties>
</file>