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2"/>
        </w:rPr>
        <w:t>WIDEYA SCHOOL MONITORING SYSTEM</w:t>
      </w:r>
    </w:p>
    <w:p/>
    <w:p>
      <w:pPr>
        <w:jc w:val="center"/>
      </w:pPr>
      <w:r>
        <w:rPr>
          <w:color w:val="2E74B5"/>
          <w:sz w:val="36"/>
        </w:rPr>
        <w:t>Technical Documentation</w:t>
      </w:r>
    </w:p>
    <w:p/>
    <w:p/>
    <w:p>
      <w:pPr>
        <w:jc w:val="center"/>
      </w:pPr>
      <w:r>
        <w:rPr>
          <w:sz w:val="24"/>
        </w:rPr>
        <w:t>Prepared for: Ministry of Education, Sierra Leone</w:t>
        <w:br/>
        <w:t>System: Wideya (Android + Web)</w:t>
        <w:br/>
        <w:t>Classification: Internal Technical Reference</w:t>
      </w:r>
    </w:p>
    <w:p>
      <w:r>
        <w:br w:type="page"/>
      </w:r>
    </w:p>
    <w:p>
      <w:pPr>
        <w:pStyle w:val="Heading1"/>
      </w:pPr>
      <w:r>
        <w:t>Table of Contents</w:t>
      </w:r>
    </w:p>
    <w:p>
      <w:r>
        <w:rPr>
          <w:i/>
          <w:sz w:val="20"/>
        </w:rPr>
        <w:t>(Right-click this field and select 'Update Field' in Microsoft Word to generate the table of contents.)</w:t>
      </w:r>
    </w:p>
    <w:p>
      <w:pPr>
        <w:jc w:val="left"/>
      </w:pPr>
      <w:r>
        <w:fldChar w:fldCharType="begin"/>
        <w:instrText xml:space="preserve"> TOC \o "1-3" \h \z \u </w:instrText>
        <w:fldChar w:fldCharType="separate"/>
        <w:fldChar w:fldCharType="end"/>
      </w:r>
    </w:p>
    <w:p>
      <w:r>
        <w:br w:type="page"/>
      </w:r>
    </w:p>
    <w:p>
      <w:pPr>
        <w:pStyle w:val="Heading1"/>
      </w:pPr>
      <w:r>
        <w:t>1. Executive Summary</w:t>
      </w:r>
    </w:p>
    <w:p>
      <w:pPr/>
      <w:r>
        <w:t>Wideya is a government-grade education monitoring system built for Sierra Leone's Ministry of Education. It tracks teacher and learner attendance, school infrastructure, school feeding programmes, learner performance, disability assessments, and administrative compliance across all schools in every district.</w:t>
      </w:r>
    </w:p>
    <w:p>
      <w:pPr/>
      <w:r>
        <w:t>The system operates across two platforms: a Laravel web dashboard used by district officers, administrators, and ministry officials to view live analytics and manage data; and an Android mobile application used by head teachers and data entry officers in the field to collect data offline and synchronise it with the central server when connectivity is available.</w:t>
      </w:r>
    </w:p>
    <w:p>
      <w:pPr/>
      <w:r>
        <w:t>The two platforms share a bidirectional sync protocol that keeps data consistent regardless of whether a device is online or offline. The system manages four categories of people: teachers (payroll and non-payroll), learners, guardians, and system users. Around these people it tracks: enrolment, class assignment, daily attendance with biometric verification, academic performance, disability needs, and school resource supply chains.</w:t>
      </w:r>
    </w:p>
    <w:p>
      <w:pPr>
        <w:pStyle w:val="Heading1"/>
      </w:pPr>
      <w:r>
        <w:t>2. Languages, Frameworks and Technologies</w:t>
      </w:r>
    </w:p>
    <w:p>
      <w:pPr>
        <w:pStyle w:val="Heading2"/>
      </w:pPr>
      <w:r>
        <w:t>2.1 Web Backend (Server)</w:t>
      </w:r>
    </w:p>
    <w:tbl>
      <w:tblPr>
        <w:tblStyle w:val="TableGrid"/>
        <w:tblW w:type="auto" w:w="0"/>
        <w:tblLook w:firstColumn="1" w:firstRow="1" w:lastColumn="0" w:lastRow="0" w:noHBand="0" w:noVBand="1" w:val="04A0"/>
      </w:tblPr>
      <w:tblGrid>
        <w:gridCol w:w="4561"/>
        <w:gridCol w:w="4561"/>
      </w:tblGrid>
      <w:tr>
        <w:tc>
          <w:tcPr>
            <w:tcW w:type="dxa" w:w="3600"/>
            <w:shd w:val="clear" w:color="auto" w:fill="1F4E79"/>
          </w:tcPr>
          <w:p>
            <w:pPr>
              <w:jc w:val="center"/>
            </w:pPr>
            <w:r>
              <w:rPr>
                <w:b/>
                <w:color w:val="FFFFFF"/>
              </w:rPr>
              <w:t>Layer</w:t>
            </w:r>
          </w:p>
        </w:tc>
        <w:tc>
          <w:tcPr>
            <w:tcW w:type="dxa" w:w="5760"/>
            <w:shd w:val="clear" w:color="auto" w:fill="1F4E79"/>
          </w:tcPr>
          <w:p>
            <w:pPr>
              <w:jc w:val="center"/>
            </w:pPr>
            <w:r>
              <w:rPr>
                <w:b/>
                <w:color w:val="FFFFFF"/>
              </w:rPr>
              <w:t>Technology</w:t>
            </w:r>
          </w:p>
        </w:tc>
      </w:tr>
      <w:tr>
        <w:tc>
          <w:tcPr>
            <w:tcW w:type="dxa" w:w="3600"/>
          </w:tcPr>
          <w:p>
            <w:r>
              <w:t>Language</w:t>
            </w:r>
          </w:p>
        </w:tc>
        <w:tc>
          <w:tcPr>
            <w:tcW w:type="dxa" w:w="5760"/>
          </w:tcPr>
          <w:p>
            <w:r>
              <w:t>PHP 8</w:t>
            </w:r>
          </w:p>
        </w:tc>
      </w:tr>
      <w:tr>
        <w:tc>
          <w:tcPr>
            <w:tcW w:type="dxa" w:w="3600"/>
            <w:shd w:val="clear" w:color="auto" w:fill="D6E4F0"/>
          </w:tcPr>
          <w:p>
            <w:r>
              <w:t>Framework</w:t>
            </w:r>
          </w:p>
        </w:tc>
        <w:tc>
          <w:tcPr>
            <w:tcW w:type="dxa" w:w="5760"/>
            <w:shd w:val="clear" w:color="auto" w:fill="D6E4F0"/>
          </w:tcPr>
          <w:p>
            <w:r>
              <w:t>Laravel 9/10</w:t>
            </w:r>
          </w:p>
        </w:tc>
      </w:tr>
      <w:tr>
        <w:tc>
          <w:tcPr>
            <w:tcW w:type="dxa" w:w="3600"/>
          </w:tcPr>
          <w:p>
            <w:r>
              <w:t>Database</w:t>
            </w:r>
          </w:p>
        </w:tc>
        <w:tc>
          <w:tcPr>
            <w:tcW w:type="dxa" w:w="5760"/>
          </w:tcPr>
          <w:p>
            <w:r>
              <w:t>MySQL</w:t>
            </w:r>
          </w:p>
        </w:tc>
      </w:tr>
      <w:tr>
        <w:tc>
          <w:tcPr>
            <w:tcW w:type="dxa" w:w="3600"/>
            <w:shd w:val="clear" w:color="auto" w:fill="D6E4F0"/>
          </w:tcPr>
          <w:p>
            <w:r>
              <w:t>Authentication</w:t>
            </w:r>
          </w:p>
        </w:tc>
        <w:tc>
          <w:tcPr>
            <w:tcW w:type="dxa" w:w="5760"/>
            <w:shd w:val="clear" w:color="auto" w:fill="D6E4F0"/>
          </w:tcPr>
          <w:p>
            <w:r>
              <w:t>Laravel Breeze / Sanctum</w:t>
            </w:r>
          </w:p>
        </w:tc>
      </w:tr>
      <w:tr>
        <w:tc>
          <w:tcPr>
            <w:tcW w:type="dxa" w:w="3600"/>
          </w:tcPr>
          <w:p>
            <w:r>
              <w:t>Data Tables</w:t>
            </w:r>
          </w:p>
        </w:tc>
        <w:tc>
          <w:tcPr>
            <w:tcW w:type="dxa" w:w="5760"/>
          </w:tcPr>
          <w:p>
            <w:r>
              <w:t>jQuery DataTables with DataTable Editor (DTE)</w:t>
            </w:r>
          </w:p>
        </w:tc>
      </w:tr>
      <w:tr>
        <w:tc>
          <w:tcPr>
            <w:tcW w:type="dxa" w:w="3600"/>
            <w:shd w:val="clear" w:color="auto" w:fill="D6E4F0"/>
          </w:tcPr>
          <w:p>
            <w:r>
              <w:t>Charts</w:t>
            </w:r>
          </w:p>
        </w:tc>
        <w:tc>
          <w:tcPr>
            <w:tcW w:type="dxa" w:w="5760"/>
            <w:shd w:val="clear" w:color="auto" w:fill="D6E4F0"/>
          </w:tcPr>
          <w:p>
            <w:r>
              <w:t>Chart.js</w:t>
            </w:r>
          </w:p>
        </w:tc>
      </w:tr>
      <w:tr>
        <w:tc>
          <w:tcPr>
            <w:tcW w:type="dxa" w:w="3600"/>
          </w:tcPr>
          <w:p>
            <w:r>
              <w:t>Maps</w:t>
            </w:r>
          </w:p>
        </w:tc>
        <w:tc>
          <w:tcPr>
            <w:tcW w:type="dxa" w:w="5760"/>
          </w:tcPr>
          <w:p>
            <w:r>
              <w:t>Leaflet.js with custom GeoJSON district boundaries</w:t>
            </w:r>
          </w:p>
        </w:tc>
      </w:tr>
      <w:tr>
        <w:tc>
          <w:tcPr>
            <w:tcW w:type="dxa" w:w="3600"/>
            <w:shd w:val="clear" w:color="auto" w:fill="D6E4F0"/>
          </w:tcPr>
          <w:p>
            <w:r>
              <w:t>Templating</w:t>
            </w:r>
          </w:p>
        </w:tc>
        <w:tc>
          <w:tcPr>
            <w:tcW w:type="dxa" w:w="5760"/>
            <w:shd w:val="clear" w:color="auto" w:fill="D6E4F0"/>
          </w:tcPr>
          <w:p>
            <w:r>
              <w:t>Laravel Blade</w:t>
            </w:r>
          </w:p>
        </w:tc>
      </w:tr>
      <w:tr>
        <w:tc>
          <w:tcPr>
            <w:tcW w:type="dxa" w:w="3600"/>
          </w:tcPr>
          <w:p>
            <w:r>
              <w:t>ORM / Query Builder</w:t>
            </w:r>
          </w:p>
        </w:tc>
        <w:tc>
          <w:tcPr>
            <w:tcW w:type="dxa" w:w="5760"/>
          </w:tcPr>
          <w:p>
            <w:r>
              <w:t>Laravel Eloquent + raw DB facade</w:t>
            </w:r>
          </w:p>
        </w:tc>
      </w:tr>
      <w:tr>
        <w:tc>
          <w:tcPr>
            <w:tcW w:type="dxa" w:w="3600"/>
            <w:shd w:val="clear" w:color="auto" w:fill="D6E4F0"/>
          </w:tcPr>
          <w:p>
            <w:r>
              <w:t>API Transport</w:t>
            </w:r>
          </w:p>
        </w:tc>
        <w:tc>
          <w:tcPr>
            <w:tcW w:type="dxa" w:w="5760"/>
            <w:shd w:val="clear" w:color="auto" w:fill="D6E4F0"/>
          </w:tcPr>
          <w:p>
            <w:r>
              <w:t>JSON over HTTP POST</w:t>
            </w:r>
          </w:p>
        </w:tc>
      </w:tr>
      <w:tr>
        <w:tc>
          <w:tcPr>
            <w:tcW w:type="dxa" w:w="3600"/>
          </w:tcPr>
          <w:p>
            <w:r>
              <w:t>Deployment</w:t>
            </w:r>
          </w:p>
        </w:tc>
        <w:tc>
          <w:tcPr>
            <w:tcW w:type="dxa" w:w="5760"/>
          </w:tcPr>
          <w:p>
            <w:r>
              <w:t>Apache / Nginx on Linux</w:t>
            </w:r>
          </w:p>
        </w:tc>
      </w:tr>
    </w:tbl>
    <w:p/>
    <w:p>
      <w:pPr>
        <w:pStyle w:val="Heading2"/>
      </w:pPr>
      <w:r>
        <w:t>2.2 Android Mobile Application</w:t>
      </w:r>
    </w:p>
    <w:tbl>
      <w:tblPr>
        <w:tblStyle w:val="TableGrid"/>
        <w:tblW w:type="auto" w:w="0"/>
        <w:tblLook w:firstColumn="1" w:firstRow="1" w:lastColumn="0" w:lastRow="0" w:noHBand="0" w:noVBand="1" w:val="04A0"/>
      </w:tblPr>
      <w:tblGrid>
        <w:gridCol w:w="4561"/>
        <w:gridCol w:w="4561"/>
      </w:tblGrid>
      <w:tr>
        <w:tc>
          <w:tcPr>
            <w:tcW w:type="dxa" w:w="3600"/>
            <w:shd w:val="clear" w:color="auto" w:fill="1F4E79"/>
          </w:tcPr>
          <w:p>
            <w:pPr>
              <w:jc w:val="center"/>
            </w:pPr>
            <w:r>
              <w:rPr>
                <w:b/>
                <w:color w:val="FFFFFF"/>
              </w:rPr>
              <w:t>Layer</w:t>
            </w:r>
          </w:p>
        </w:tc>
        <w:tc>
          <w:tcPr>
            <w:tcW w:type="dxa" w:w="5760"/>
            <w:shd w:val="clear" w:color="auto" w:fill="1F4E79"/>
          </w:tcPr>
          <w:p>
            <w:pPr>
              <w:jc w:val="center"/>
            </w:pPr>
            <w:r>
              <w:rPr>
                <w:b/>
                <w:color w:val="FFFFFF"/>
              </w:rPr>
              <w:t>Technology</w:t>
            </w:r>
          </w:p>
        </w:tc>
      </w:tr>
      <w:tr>
        <w:tc>
          <w:tcPr>
            <w:tcW w:type="dxa" w:w="3600"/>
          </w:tcPr>
          <w:p>
            <w:r>
              <w:t>Language</w:t>
            </w:r>
          </w:p>
        </w:tc>
        <w:tc>
          <w:tcPr>
            <w:tcW w:type="dxa" w:w="5760"/>
          </w:tcPr>
          <w:p>
            <w:r>
              <w:t>Kotlin</w:t>
            </w:r>
          </w:p>
        </w:tc>
      </w:tr>
      <w:tr>
        <w:tc>
          <w:tcPr>
            <w:tcW w:type="dxa" w:w="3600"/>
            <w:shd w:val="clear" w:color="auto" w:fill="D6E4F0"/>
          </w:tcPr>
          <w:p>
            <w:r>
              <w:t>Architecture</w:t>
            </w:r>
          </w:p>
        </w:tc>
        <w:tc>
          <w:tcPr>
            <w:tcW w:type="dxa" w:w="5760"/>
            <w:shd w:val="clear" w:color="auto" w:fill="D6E4F0"/>
          </w:tcPr>
          <w:p>
            <w:r>
              <w:t>MVVM (Model-View-ViewModel)</w:t>
            </w:r>
          </w:p>
        </w:tc>
      </w:tr>
      <w:tr>
        <w:tc>
          <w:tcPr>
            <w:tcW w:type="dxa" w:w="3600"/>
          </w:tcPr>
          <w:p>
            <w:r>
              <w:t>UI</w:t>
            </w:r>
          </w:p>
        </w:tc>
        <w:tc>
          <w:tcPr>
            <w:tcW w:type="dxa" w:w="5760"/>
          </w:tcPr>
          <w:p>
            <w:r>
              <w:t>Android Fragments + ViewBinding</w:t>
            </w:r>
          </w:p>
        </w:tc>
      </w:tr>
      <w:tr>
        <w:tc>
          <w:tcPr>
            <w:tcW w:type="dxa" w:w="3600"/>
            <w:shd w:val="clear" w:color="auto" w:fill="D6E4F0"/>
          </w:tcPr>
          <w:p>
            <w:r>
              <w:t>Local Database</w:t>
            </w:r>
          </w:p>
        </w:tc>
        <w:tc>
          <w:tcPr>
            <w:tcW w:type="dxa" w:w="5760"/>
            <w:shd w:val="clear" w:color="auto" w:fill="D6E4F0"/>
          </w:tcPr>
          <w:p>
            <w:r>
              <w:t>Room (SQLite) encrypted with SQLCipher</w:t>
            </w:r>
          </w:p>
        </w:tc>
      </w:tr>
      <w:tr>
        <w:tc>
          <w:tcPr>
            <w:tcW w:type="dxa" w:w="3600"/>
          </w:tcPr>
          <w:p>
            <w:r>
              <w:t>Networking</w:t>
            </w:r>
          </w:p>
        </w:tc>
        <w:tc>
          <w:tcPr>
            <w:tcW w:type="dxa" w:w="5760"/>
          </w:tcPr>
          <w:p>
            <w:r>
              <w:t>Retrofit 2 with OkHttp</w:t>
            </w:r>
          </w:p>
        </w:tc>
      </w:tr>
      <w:tr>
        <w:tc>
          <w:tcPr>
            <w:tcW w:type="dxa" w:w="3600"/>
            <w:shd w:val="clear" w:color="auto" w:fill="D6E4F0"/>
          </w:tcPr>
          <w:p>
            <w:r>
              <w:t>Reactive Data</w:t>
            </w:r>
          </w:p>
        </w:tc>
        <w:tc>
          <w:tcPr>
            <w:tcW w:type="dxa" w:w="5760"/>
            <w:shd w:val="clear" w:color="auto" w:fill="D6E4F0"/>
          </w:tcPr>
          <w:p>
            <w:r>
              <w:t>Kotlin Coroutines + StateFlow / Flow</w:t>
            </w:r>
          </w:p>
        </w:tc>
      </w:tr>
      <w:tr>
        <w:tc>
          <w:tcPr>
            <w:tcW w:type="dxa" w:w="3600"/>
          </w:tcPr>
          <w:p>
            <w:r>
              <w:t>Navigation</w:t>
            </w:r>
          </w:p>
        </w:tc>
        <w:tc>
          <w:tcPr>
            <w:tcW w:type="dxa" w:w="5760"/>
          </w:tcPr>
          <w:p>
            <w:r>
              <w:t>Android Navigation Component</w:t>
            </w:r>
          </w:p>
        </w:tc>
      </w:tr>
      <w:tr>
        <w:tc>
          <w:tcPr>
            <w:tcW w:type="dxa" w:w="3600"/>
            <w:shd w:val="clear" w:color="auto" w:fill="D6E4F0"/>
          </w:tcPr>
          <w:p>
            <w:r>
              <w:t>Biometrics</w:t>
            </w:r>
          </w:p>
        </w:tc>
        <w:tc>
          <w:tcPr>
            <w:tcW w:type="dxa" w:w="5760"/>
            <w:shd w:val="clear" w:color="auto" w:fill="D6E4F0"/>
          </w:tcPr>
          <w:p>
            <w:r>
              <w:t>Android Fingerprint SDK</w:t>
            </w:r>
          </w:p>
        </w:tc>
      </w:tr>
      <w:tr>
        <w:tc>
          <w:tcPr>
            <w:tcW w:type="dxa" w:w="3600"/>
          </w:tcPr>
          <w:p>
            <w:r>
              <w:t>Camera</w:t>
            </w:r>
          </w:p>
        </w:tc>
        <w:tc>
          <w:tcPr>
            <w:tcW w:type="dxa" w:w="5760"/>
          </w:tcPr>
          <w:p>
            <w:r>
              <w:t>Android CameraX</w:t>
            </w:r>
          </w:p>
        </w:tc>
      </w:tr>
      <w:tr>
        <w:tc>
          <w:tcPr>
            <w:tcW w:type="dxa" w:w="3600"/>
            <w:shd w:val="clear" w:color="auto" w:fill="D6E4F0"/>
          </w:tcPr>
          <w:p>
            <w:r>
              <w:t>Location</w:t>
            </w:r>
          </w:p>
        </w:tc>
        <w:tc>
          <w:tcPr>
            <w:tcW w:type="dxa" w:w="5760"/>
            <w:shd w:val="clear" w:color="auto" w:fill="D6E4F0"/>
          </w:tcPr>
          <w:p>
            <w:r>
              <w:t>Android FusedLocationProvider</w:t>
            </w:r>
          </w:p>
        </w:tc>
      </w:tr>
      <w:tr>
        <w:tc>
          <w:tcPr>
            <w:tcW w:type="dxa" w:w="3600"/>
          </w:tcPr>
          <w:p>
            <w:r>
              <w:t>Image Handling</w:t>
            </w:r>
          </w:p>
        </w:tc>
        <w:tc>
          <w:tcPr>
            <w:tcW w:type="dxa" w:w="5760"/>
          </w:tcPr>
          <w:p>
            <w:r>
              <w:t>Base64 encoding for sync transport</w:t>
            </w:r>
          </w:p>
        </w:tc>
      </w:tr>
    </w:tbl>
    <w:p>
      <w:r>
        <w:br w:type="page"/>
      </w:r>
    </w:p>
    <w:p>
      <w:pPr>
        <w:pStyle w:val="Heading1"/>
      </w:pPr>
      <w:r>
        <w:t>3. System Architecture Overview</w:t>
      </w:r>
    </w:p>
    <w:p>
      <w:pPr/>
      <w:r>
        <w:t>The system follows an offline-first architecture. The Android application stores all data locally in an encrypted SQLite database and synchronises with the central MySQL server when network connectivity is available. The web dashboard reads directly from MySQL in real time.</w:t>
      </w:r>
    </w:p>
    <w:p>
      <w:pPr/>
      <w:r>
        <w:t>High-level data flow:</w:t>
      </w:r>
    </w:p>
    <w:p>
      <w:pPr>
        <w:pStyle w:val="ListBullet"/>
      </w:pPr>
      <w:r>
        <w:t>Field staff collect data on Android devices (attendance, profiles, feeding, performance).</w:t>
      </w:r>
    </w:p>
    <w:p>
      <w:pPr>
        <w:pStyle w:val="ListBullet"/>
      </w:pPr>
      <w:r>
        <w:t>Data is written to the local encrypted SQLite database and flagged for upload (sync_flag = 1).</w:t>
      </w:r>
    </w:p>
    <w:p>
      <w:pPr>
        <w:pStyle w:val="ListBullet"/>
      </w:pPr>
      <w:r>
        <w:t>During sync, flagged records are uploaded to the Laravel API server and saved to MySQL.</w:t>
      </w:r>
    </w:p>
    <w:p>
      <w:pPr>
        <w:pStyle w:val="ListBullet"/>
      </w:pPr>
      <w:r>
        <w:t>Reference data (option lists, teacher payroll, academic years, geographic data) is downloaded from the server to all devices.</w:t>
      </w:r>
    </w:p>
    <w:p>
      <w:pPr>
        <w:pStyle w:val="ListBullet"/>
      </w:pPr>
      <w:r>
        <w:t>The web dashboard reads from MySQL and presents analytics, maps, and compliance reports to district officers and ministry officials.</w:t>
      </w:r>
    </w:p>
    <w:p/>
    <w:p>
      <w:pPr>
        <w:pStyle w:val="Heading2"/>
      </w:pPr>
      <w:r>
        <w:t>3.1 API Endpoints</w:t>
      </w:r>
    </w:p>
    <w:tbl>
      <w:tblPr>
        <w:tblStyle w:val="TableGrid"/>
        <w:tblW w:type="auto" w:w="0"/>
        <w:tblLook w:firstColumn="1" w:firstRow="1" w:lastColumn="0" w:lastRow="0" w:noHBand="0" w:noVBand="1" w:val="04A0"/>
      </w:tblPr>
      <w:tblGrid>
        <w:gridCol w:w="3041"/>
        <w:gridCol w:w="3041"/>
        <w:gridCol w:w="3041"/>
      </w:tblGrid>
      <w:tr>
        <w:tc>
          <w:tcPr>
            <w:tcW w:type="dxa" w:w="4032"/>
            <w:shd w:val="clear" w:color="auto" w:fill="1F4E79"/>
          </w:tcPr>
          <w:p>
            <w:pPr>
              <w:jc w:val="center"/>
            </w:pPr>
            <w:r>
              <w:rPr>
                <w:b/>
                <w:color w:val="FFFFFF"/>
              </w:rPr>
              <w:t>Endpoint</w:t>
            </w:r>
          </w:p>
        </w:tc>
        <w:tc>
          <w:tcPr>
            <w:tcW w:type="dxa" w:w="1296"/>
            <w:shd w:val="clear" w:color="auto" w:fill="1F4E79"/>
          </w:tcPr>
          <w:p>
            <w:pPr>
              <w:jc w:val="center"/>
            </w:pPr>
            <w:r>
              <w:rPr>
                <w:b/>
                <w:color w:val="FFFFFF"/>
              </w:rPr>
              <w:t>Method</w:t>
            </w:r>
          </w:p>
        </w:tc>
        <w:tc>
          <w:tcPr>
            <w:tcW w:type="dxa" w:w="5472"/>
            <w:shd w:val="clear" w:color="auto" w:fill="1F4E79"/>
          </w:tcPr>
          <w:p>
            <w:pPr>
              <w:jc w:val="center"/>
            </w:pPr>
            <w:r>
              <w:rPr>
                <w:b/>
                <w:color w:val="FFFFFF"/>
              </w:rPr>
              <w:t>Purpose</w:t>
            </w:r>
          </w:p>
        </w:tc>
      </w:tr>
      <w:tr>
        <w:tc>
          <w:tcPr>
            <w:tcW w:type="dxa" w:w="4032"/>
          </w:tcPr>
          <w:p>
            <w:r>
              <w:t>/api/mobile/registration</w:t>
            </w:r>
          </w:p>
        </w:tc>
        <w:tc>
          <w:tcPr>
            <w:tcW w:type="dxa" w:w="1296"/>
          </w:tcPr>
          <w:p>
            <w:r>
              <w:t>POST</w:t>
            </w:r>
          </w:p>
        </w:tc>
        <w:tc>
          <w:tcPr>
            <w:tcW w:type="dxa" w:w="5472"/>
          </w:tcPr>
          <w:p>
            <w:r>
              <w:t>Login and token generation for Android devices</w:t>
            </w:r>
          </w:p>
        </w:tc>
      </w:tr>
      <w:tr>
        <w:tc>
          <w:tcPr>
            <w:tcW w:type="dxa" w:w="4032"/>
            <w:shd w:val="clear" w:color="auto" w:fill="D6E4F0"/>
          </w:tcPr>
          <w:p>
            <w:r>
              <w:t>/api/mobile/sync/checkin</w:t>
            </w:r>
          </w:p>
        </w:tc>
        <w:tc>
          <w:tcPr>
            <w:tcW w:type="dxa" w:w="1296"/>
            <w:shd w:val="clear" w:color="auto" w:fill="D6E4F0"/>
          </w:tcPr>
          <w:p>
            <w:r>
              <w:t>POST</w:t>
            </w:r>
          </w:p>
        </w:tc>
        <w:tc>
          <w:tcPr>
            <w:tcW w:type="dxa" w:w="5472"/>
            <w:shd w:val="clear" w:color="auto" w:fill="D6E4F0"/>
          </w:tcPr>
          <w:p>
            <w:r>
              <w:t>Device check-in and identification</w:t>
            </w:r>
          </w:p>
        </w:tc>
      </w:tr>
      <w:tr>
        <w:tc>
          <w:tcPr>
            <w:tcW w:type="dxa" w:w="4032"/>
          </w:tcPr>
          <w:p>
            <w:r>
              <w:t>/api/mobile/sync/token</w:t>
            </w:r>
          </w:p>
        </w:tc>
        <w:tc>
          <w:tcPr>
            <w:tcW w:type="dxa" w:w="1296"/>
          </w:tcPr>
          <w:p>
            <w:r>
              <w:t>POST</w:t>
            </w:r>
          </w:p>
        </w:tc>
        <w:tc>
          <w:tcPr>
            <w:tcW w:type="dxa" w:w="5472"/>
          </w:tcPr>
          <w:p>
            <w:r>
              <w:t>Token validation</w:t>
            </w:r>
          </w:p>
        </w:tc>
      </w:tr>
      <w:tr>
        <w:tc>
          <w:tcPr>
            <w:tcW w:type="dxa" w:w="4032"/>
            <w:shd w:val="clear" w:color="auto" w:fill="D6E4F0"/>
          </w:tcPr>
          <w:p>
            <w:r>
              <w:t>/api/mobile/sync/download</w:t>
            </w:r>
          </w:p>
        </w:tc>
        <w:tc>
          <w:tcPr>
            <w:tcW w:type="dxa" w:w="1296"/>
            <w:shd w:val="clear" w:color="auto" w:fill="D6E4F0"/>
          </w:tcPr>
          <w:p>
            <w:r>
              <w:t>POST</w:t>
            </w:r>
          </w:p>
        </w:tc>
        <w:tc>
          <w:tcPr>
            <w:tcW w:type="dxa" w:w="5472"/>
            <w:shd w:val="clear" w:color="auto" w:fill="D6E4F0"/>
          </w:tcPr>
          <w:p>
            <w:r>
              <w:t>Download data payload (up to 5,000 records per request)</w:t>
            </w:r>
          </w:p>
        </w:tc>
      </w:tr>
      <w:tr>
        <w:tc>
          <w:tcPr>
            <w:tcW w:type="dxa" w:w="4032"/>
          </w:tcPr>
          <w:p>
            <w:r>
              <w:t>/api/mobile/sync/upload</w:t>
            </w:r>
          </w:p>
        </w:tc>
        <w:tc>
          <w:tcPr>
            <w:tcW w:type="dxa" w:w="1296"/>
          </w:tcPr>
          <w:p>
            <w:r>
              <w:t>POST</w:t>
            </w:r>
          </w:p>
        </w:tc>
        <w:tc>
          <w:tcPr>
            <w:tcW w:type="dxa" w:w="5472"/>
          </w:tcPr>
          <w:p>
            <w:r>
              <w:t>Upload modified records from device to server</w:t>
            </w:r>
          </w:p>
        </w:tc>
      </w:tr>
      <w:tr>
        <w:tc>
          <w:tcPr>
            <w:tcW w:type="dxa" w:w="4032"/>
            <w:shd w:val="clear" w:color="auto" w:fill="D6E4F0"/>
          </w:tcPr>
          <w:p>
            <w:r>
              <w:t>/api/mobile/sync/upload-file</w:t>
            </w:r>
          </w:p>
        </w:tc>
        <w:tc>
          <w:tcPr>
            <w:tcW w:type="dxa" w:w="1296"/>
            <w:shd w:val="clear" w:color="auto" w:fill="D6E4F0"/>
          </w:tcPr>
          <w:p>
            <w:r>
              <w:t>POST</w:t>
            </w:r>
          </w:p>
        </w:tc>
        <w:tc>
          <w:tcPr>
            <w:tcW w:type="dxa" w:w="5472"/>
            <w:shd w:val="clear" w:color="auto" w:fill="D6E4F0"/>
          </w:tcPr>
          <w:p>
            <w:r>
              <w:t>Upload photos and fingerprint binary files</w:t>
            </w:r>
          </w:p>
        </w:tc>
      </w:tr>
      <w:tr>
        <w:tc>
          <w:tcPr>
            <w:tcW w:type="dxa" w:w="4032"/>
          </w:tcPr>
          <w:p>
            <w:r>
              <w:t>/api/mobile/sync/upload-db-receipt</w:t>
            </w:r>
          </w:p>
        </w:tc>
        <w:tc>
          <w:tcPr>
            <w:tcW w:type="dxa" w:w="1296"/>
          </w:tcPr>
          <w:p>
            <w:r>
              <w:t>POST</w:t>
            </w:r>
          </w:p>
        </w:tc>
        <w:tc>
          <w:tcPr>
            <w:tcW w:type="dxa" w:w="5472"/>
          </w:tcPr>
          <w:p>
            <w:r>
              <w:t>Confirm successful data receipt</w:t>
            </w:r>
          </w:p>
        </w:tc>
      </w:tr>
      <w:tr>
        <w:tc>
          <w:tcPr>
            <w:tcW w:type="dxa" w:w="4032"/>
            <w:shd w:val="clear" w:color="auto" w:fill="D6E4F0"/>
          </w:tcPr>
          <w:p>
            <w:r>
              <w:t>/api/mobile/teachers/search</w:t>
            </w:r>
          </w:p>
        </w:tc>
        <w:tc>
          <w:tcPr>
            <w:tcW w:type="dxa" w:w="1296"/>
            <w:shd w:val="clear" w:color="auto" w:fill="D6E4F0"/>
          </w:tcPr>
          <w:p>
            <w:r>
              <w:t>POST</w:t>
            </w:r>
          </w:p>
        </w:tc>
        <w:tc>
          <w:tcPr>
            <w:tcW w:type="dxa" w:w="5472"/>
            <w:shd w:val="clear" w:color="auto" w:fill="D6E4F0"/>
          </w:tcPr>
          <w:p>
            <w:r>
              <w:t>Search teacher payroll and non-payroll register</w:t>
            </w:r>
          </w:p>
        </w:tc>
      </w:tr>
      <w:tr>
        <w:tc>
          <w:tcPr>
            <w:tcW w:type="dxa" w:w="4032"/>
          </w:tcPr>
          <w:p>
            <w:r>
              <w:t>/api/mobile/password/reset</w:t>
            </w:r>
          </w:p>
        </w:tc>
        <w:tc>
          <w:tcPr>
            <w:tcW w:type="dxa" w:w="1296"/>
          </w:tcPr>
          <w:p>
            <w:r>
              <w:t>POST</w:t>
            </w:r>
          </w:p>
        </w:tc>
        <w:tc>
          <w:tcPr>
            <w:tcW w:type="dxa" w:w="5472"/>
          </w:tcPr>
          <w:p>
            <w:r>
              <w:t>Request password reset from device</w:t>
            </w:r>
          </w:p>
        </w:tc>
      </w:tr>
      <w:tr>
        <w:tc>
          <w:tcPr>
            <w:tcW w:type="dxa" w:w="4032"/>
            <w:shd w:val="clear" w:color="auto" w:fill="D6E4F0"/>
          </w:tcPr>
          <w:p>
            <w:r>
              <w:t>/api/mobile/check-app-version</w:t>
            </w:r>
          </w:p>
        </w:tc>
        <w:tc>
          <w:tcPr>
            <w:tcW w:type="dxa" w:w="1296"/>
            <w:shd w:val="clear" w:color="auto" w:fill="D6E4F0"/>
          </w:tcPr>
          <w:p>
            <w:r>
              <w:t>POST</w:t>
            </w:r>
          </w:p>
        </w:tc>
        <w:tc>
          <w:tcPr>
            <w:tcW w:type="dxa" w:w="5472"/>
            <w:shd w:val="clear" w:color="auto" w:fill="D6E4F0"/>
          </w:tcPr>
          <w:p>
            <w:r>
              <w:t>Check for available app updates</w:t>
            </w:r>
          </w:p>
        </w:tc>
      </w:tr>
    </w:tbl>
    <w:p>
      <w:r>
        <w:br w:type="page"/>
      </w:r>
    </w:p>
    <w:p>
      <w:pPr>
        <w:pStyle w:val="Heading1"/>
      </w:pPr>
      <w:r>
        <w:t>4. Functionality Breakdown</w:t>
      </w:r>
    </w:p>
    <w:p>
      <w:pPr>
        <w:pStyle w:val="Heading2"/>
      </w:pPr>
      <w:r>
        <w:t>4.1 User Authentication and Access Control</w:t>
      </w:r>
    </w:p>
    <w:p>
      <w:pPr>
        <w:pStyle w:val="Heading3"/>
      </w:pPr>
      <w:r>
        <w:t>What It Does</w:t>
      </w:r>
    </w:p>
    <w:p>
      <w:pPr/>
      <w:r>
        <w:t>The web dashboard uses standard Laravel authentication (email and password) with email verification and an additional admin-approval step. A newly registered web user cannot access any data until an administrator approves their account. Role-based scoping then limits which schools and districts each user can see.</w:t>
      </w:r>
    </w:p>
    <w:p>
      <w:pPr/>
      <w:r>
        <w:t>The Android app authenticates against the /api/mobile/registration endpoint. Credentials are transmitted using XOR obfuscation and the server returns an access token stored in the device's encrypted SharedPreferences. This token is sent with every subsequent sync request. The local SQLite database is encrypted with SQLCipher so data cannot be read if the device is lost or stolen.</w:t>
      </w:r>
    </w:p>
    <w:p>
      <w:pPr>
        <w:pStyle w:val="Heading3"/>
      </w:pPr>
      <w:r>
        <w:t>Why It Matters</w:t>
      </w:r>
    </w:p>
    <w:p>
      <w:pPr/>
      <w:r>
        <w:t>Education data in Sierra Leone is sensitive — learner identities, disability statuses, and teacher employment records must not be publicly accessible. The layered authentication (web approval + device token + encrypted storage) protects this data at multiple levels.</w:t>
      </w:r>
    </w:p>
    <w:p/>
    <w:p>
      <w:pPr>
        <w:pStyle w:val="Heading2"/>
      </w:pPr>
      <w:r>
        <w:t>4.2 School Profile and Facilities Management</w:t>
      </w:r>
    </w:p>
    <w:p>
      <w:pPr>
        <w:pStyle w:val="Heading3"/>
      </w:pPr>
      <w:r>
        <w:t>What It Does</w:t>
      </w:r>
    </w:p>
    <w:p>
      <w:pPr/>
      <w:r>
        <w:t>Every school in the system has a profile containing its EMIS identification number, Payroll School ID, geographic coordinates for map plotting, district, chiefdom, and section, head teacher assignment, and facilities information recorded as structured OID selections:</w:t>
      </w:r>
    </w:p>
    <w:p>
      <w:pPr>
        <w:pStyle w:val="ListBullet"/>
      </w:pPr>
      <w:r>
        <w:t>WASH — water, sanitation, and hygiene options available at the school</w:t>
      </w:r>
    </w:p>
    <w:p>
      <w:pPr>
        <w:pStyle w:val="ListBullet"/>
      </w:pPr>
      <w:r>
        <w:t>Electricity — grid, solar, generator, or none</w:t>
      </w:r>
    </w:p>
    <w:p>
      <w:pPr>
        <w:pStyle w:val="ListBullet"/>
      </w:pPr>
      <w:r>
        <w:t>MNO — mobile network operator coverage at the school location</w:t>
      </w:r>
    </w:p>
    <w:p>
      <w:pPr>
        <w:pStyle w:val="ListBullet"/>
      </w:pPr>
      <w:r>
        <w:t>Learning Materials — textbooks, slates, exercise books, etc.</w:t>
      </w:r>
    </w:p>
    <w:p>
      <w:pPr>
        <w:pStyle w:val="ListBullet"/>
      </w:pPr>
      <w:r>
        <w:t>School Feeding — whether the school participates in the government feeding programme</w:t>
      </w:r>
    </w:p>
    <w:p>
      <w:pPr/>
      <w:r>
        <w:t>On the Android app the school profile is displayed in a tabbed interface with six tabs: School details, Teachers, Classrooms, Learners, Feeding, and Performance.</w:t>
      </w:r>
    </w:p>
    <w:p>
      <w:pPr>
        <w:pStyle w:val="Heading3"/>
      </w:pPr>
      <w:r>
        <w:t>Server-Side Enforcement</w:t>
      </w:r>
    </w:p>
    <w:p>
      <w:pPr/>
      <w:r>
        <w:t>When the Android app submits facility data, the server enforces a 'None is exclusive' rule. If 'none' is selected alongside other options for WASH, electricity, MNO, or learning materials, the non-none values are stripped out before saving. This prevents logically inconsistent data such as recording both 'no water' and 'borehole water' simultaneously.</w:t>
      </w:r>
    </w:p>
    <w:p>
      <w:pPr>
        <w:pStyle w:val="Heading3"/>
      </w:pPr>
      <w:r>
        <w:t>Why It Matters</w:t>
      </w:r>
    </w:p>
    <w:p>
      <w:pPr/>
      <w:r>
        <w:t>School infrastructure data informs resource allocation decisions at the district and ministry level. A complete, accurate facilities inventory allows planners to prioritise schools without clean water, electricity, or learning materials.</w:t>
      </w:r>
    </w:p>
    <w:p/>
    <w:p>
      <w:pPr>
        <w:pStyle w:val="Heading2"/>
      </w:pPr>
      <w:r>
        <w:t>4.3 Academic Year Management</w:t>
      </w:r>
    </w:p>
    <w:p>
      <w:pPr>
        <w:pStyle w:val="Heading3"/>
      </w:pPr>
      <w:r>
        <w:t>What It Does</w:t>
      </w:r>
    </w:p>
    <w:p>
      <w:pPr/>
      <w:r>
        <w:t>Administrators define academic years with a name, start date, and end date. One academic year is marked as active at a time and drives all enrolment, attendance, and performance data.</w:t>
      </w:r>
    </w:p>
    <w:p>
      <w:pPr/>
      <w:r>
        <w:t>The following protections are built in:</w:t>
      </w:r>
    </w:p>
    <w:p>
      <w:pPr>
        <w:pStyle w:val="ListBullet"/>
      </w:pPr>
      <w:r>
        <w:t>No date overlap — if a new academic year's date range overlaps with any existing year, the system rejects it and displays which year it conflicts with and what the conflicting dates are.</w:t>
      </w:r>
    </w:p>
    <w:p>
      <w:pPr>
        <w:pStyle w:val="ListBullet"/>
      </w:pPr>
      <w:r>
        <w:t>Past years are read-only — academic years whose end date has already passed cannot be edited or activated. On the web UI, past years show a red 'Past' badge and the Edit and Activate buttons are hidden.</w:t>
      </w:r>
    </w:p>
    <w:p>
      <w:pPr>
        <w:pStyle w:val="ListBullet"/>
      </w:pPr>
      <w:r>
        <w:t>Server-side guards — even if someone bypasses the UI, saveAcademicYear and activateAcademicYear independently validate these rules on the server.</w:t>
      </w:r>
    </w:p>
    <w:p>
      <w:pPr>
        <w:pStyle w:val="ListBullet"/>
      </w:pPr>
      <w:r>
        <w:t>One active year — activating a new year automatically deactivates any previously active year.</w:t>
      </w:r>
    </w:p>
    <w:p>
      <w:pPr>
        <w:pStyle w:val="Heading3"/>
      </w:pPr>
      <w:r>
        <w:t>Why It Matters</w:t>
      </w:r>
    </w:p>
    <w:p>
      <w:pPr/>
      <w:r>
        <w:t>The academic year is the central context for all attendance, enrolment, and performance records. If past years were editable or overlapping years were allowed, it would be impossible to accurately query attendance or enrolment figures because the date boundaries would be ambiguous or corrupted.</w:t>
      </w:r>
    </w:p>
    <w:p/>
    <w:p>
      <w:pPr>
        <w:pStyle w:val="Heading2"/>
      </w:pPr>
      <w:r>
        <w:t>4.4 Class and Classroom (School Group) Management</w:t>
      </w:r>
    </w:p>
    <w:p>
      <w:pPr>
        <w:pStyle w:val="Heading3"/>
      </w:pPr>
      <w:r>
        <w:t>What It Does</w:t>
      </w:r>
    </w:p>
    <w:p>
      <w:pPr/>
      <w:r>
        <w:t>Schools are organised into classes called 'school groups.' Each group has a name (e.g. Class 4A, JSS 2), an assigned teacher, a list of enrolled learners for the current academic year, and an education level (primary, JSS, SSS).</w:t>
      </w:r>
    </w:p>
    <w:p>
      <w:pPr/>
      <w:r>
        <w:t>A teacher is assigned to one group as their primary class but may appear in multiple groups via the timetable. Learners are assigned to one group per academic year. A learner without a group assignment is considered 'unassigned' and appears in a dedicated unassigned learners list.</w:t>
      </w:r>
    </w:p>
    <w:p>
      <w:pPr>
        <w:pStyle w:val="Heading3"/>
      </w:pPr>
      <w:r>
        <w:t>Why It Matters</w:t>
      </w:r>
    </w:p>
    <w:p>
      <w:pPr/>
      <w:r>
        <w:t>Class assignment is required before attendance can be taken for learners. The system uses class-level grouping to calculate class-size statistics, teacher-to-learner ratios, and to scope attendance and performance reporting to meaningful educational units.</w:t>
      </w:r>
    </w:p>
    <w:p/>
    <w:p>
      <w:pPr>
        <w:pStyle w:val="Heading2"/>
      </w:pPr>
      <w:r>
        <w:t>4.5 Teacher Management</w:t>
      </w:r>
    </w:p>
    <w:p>
      <w:pPr>
        <w:pStyle w:val="Heading3"/>
      </w:pPr>
      <w:r>
        <w:t>What It Does</w:t>
      </w:r>
    </w:p>
    <w:p>
      <w:pPr/>
      <w:r>
        <w:t>The system distinguishes two types of teachers:</w:t>
      </w:r>
    </w:p>
    <w:p>
      <w:pPr>
        <w:pStyle w:val="ListBullet"/>
      </w:pPr>
      <w:r>
        <w:t>Payroll teachers — on the government payroll register, identified by a unique PIN. When a head teacher adds a payroll teacher they search the payroll register by name or PIN. The system filters out teachers who are already registered at the school.</w:t>
      </w:r>
    </w:p>
    <w:p>
      <w:pPr>
        <w:pStyle w:val="ListBullet"/>
      </w:pPr>
      <w:r>
        <w:t>Non-payroll teachers — teaching staff not on the government payroll, sourced from the teacher_payroll table entries with no PIN. The same school-level exclusion filter applies — once a non-payroll teacher is registered at a school (matched by NIN via the person table), they are hidden from the add-list until removed.</w:t>
      </w:r>
    </w:p>
    <w:p>
      <w:pPr/>
      <w:r>
        <w:t>Each teacher profile records:</w:t>
      </w:r>
    </w:p>
    <w:p>
      <w:pPr>
        <w:pStyle w:val="ListBullet"/>
      </w:pPr>
      <w:r>
        <w:t>Full name, NIN, date of birth, sex</w:t>
      </w:r>
    </w:p>
    <w:p>
      <w:pPr>
        <w:pStyle w:val="ListBullet"/>
      </w:pPr>
      <w:r>
        <w:t>NASSIT number, TSC licence ID</w:t>
      </w:r>
    </w:p>
    <w:p>
      <w:pPr>
        <w:pStyle w:val="ListBullet"/>
      </w:pPr>
      <w:r>
        <w:t>Employment status (payroll / non-payroll / volunteer)</w:t>
      </w:r>
    </w:p>
    <w:p>
      <w:pPr>
        <w:pStyle w:val="ListBullet"/>
      </w:pPr>
      <w:r>
        <w:t>Teacher role (class teacher, subject teacher, administrator)</w:t>
      </w:r>
    </w:p>
    <w:p>
      <w:pPr>
        <w:pStyle w:val="ListBullet"/>
      </w:pPr>
      <w:r>
        <w:t>Portrait photo</w:t>
      </w:r>
    </w:p>
    <w:p>
      <w:pPr>
        <w:pStyle w:val="ListBullet"/>
      </w:pPr>
      <w:r>
        <w:t>Up to 10 fingerprints for biometric attendance verification</w:t>
      </w:r>
    </w:p>
    <w:p>
      <w:pPr>
        <w:pStyle w:val="ListBullet"/>
      </w:pPr>
      <w:r>
        <w:t>School timetable (subjects and classes taught)</w:t>
      </w:r>
    </w:p>
    <w:p>
      <w:pPr>
        <w:pStyle w:val="ListBullet"/>
      </w:pPr>
      <w:r>
        <w:t>Attendance history with absence reasons</w:t>
      </w:r>
    </w:p>
    <w:p>
      <w:pPr>
        <w:pStyle w:val="ListBullet"/>
      </w:pPr>
      <w:r>
        <w:t>Start date and, if applicable, end date and reason for leaving</w:t>
      </w:r>
    </w:p>
    <w:p>
      <w:pPr>
        <w:pStyle w:val="Heading3"/>
      </w:pPr>
      <w:r>
        <w:t>Payroll Compliance Reports</w:t>
      </w:r>
    </w:p>
    <w:p>
      <w:pPr/>
      <w:r>
        <w:t>The web dashboard surfaces four teacher compliance reports:</w:t>
      </w:r>
    </w:p>
    <w:tbl>
      <w:tblPr>
        <w:tblStyle w:val="TableGrid"/>
        <w:tblW w:type="auto" w:w="0"/>
        <w:tblLook w:firstColumn="1" w:firstRow="1" w:lastColumn="0" w:lastRow="0" w:noHBand="0" w:noVBand="1" w:val="04A0"/>
      </w:tblPr>
      <w:tblGrid>
        <w:gridCol w:w="4561"/>
        <w:gridCol w:w="4561"/>
      </w:tblGrid>
      <w:tr>
        <w:tc>
          <w:tcPr>
            <w:tcW w:type="dxa" w:w="3168"/>
            <w:shd w:val="clear" w:color="auto" w:fill="1F4E79"/>
          </w:tcPr>
          <w:p>
            <w:pPr>
              <w:jc w:val="center"/>
            </w:pPr>
            <w:r>
              <w:rPr>
                <w:b/>
                <w:color w:val="FFFFFF"/>
              </w:rPr>
              <w:t>Report</w:t>
            </w:r>
          </w:p>
        </w:tc>
        <w:tc>
          <w:tcPr>
            <w:tcW w:type="dxa" w:w="7632"/>
            <w:shd w:val="clear" w:color="auto" w:fill="1F4E79"/>
          </w:tcPr>
          <w:p>
            <w:pPr>
              <w:jc w:val="center"/>
            </w:pPr>
            <w:r>
              <w:rPr>
                <w:b/>
                <w:color w:val="FFFFFF"/>
              </w:rPr>
              <w:t>Description</w:t>
            </w:r>
          </w:p>
        </w:tc>
      </w:tr>
      <w:tr>
        <w:tc>
          <w:tcPr>
            <w:tcW w:type="dxa" w:w="3168"/>
          </w:tcPr>
          <w:p>
            <w:r>
              <w:t>Sanctions Eligibility</w:t>
            </w:r>
          </w:p>
        </w:tc>
        <w:tc>
          <w:tcPr>
            <w:tcW w:type="dxa" w:w="7632"/>
          </w:tcPr>
          <w:p>
            <w:r>
              <w:t>Teachers who have accumulated enough unauthorised absences to qualify for disciplinary action</w:t>
            </w:r>
          </w:p>
        </w:tc>
      </w:tr>
      <w:tr>
        <w:tc>
          <w:tcPr>
            <w:tcW w:type="dxa" w:w="3168"/>
            <w:shd w:val="clear" w:color="auto" w:fill="D6E4F0"/>
          </w:tcPr>
          <w:p>
            <w:r>
              <w:t>Unauthorised Transfers</w:t>
            </w:r>
          </w:p>
        </w:tc>
        <w:tc>
          <w:tcPr>
            <w:tcW w:type="dxa" w:w="7632"/>
            <w:shd w:val="clear" w:color="auto" w:fill="D6E4F0"/>
          </w:tcPr>
          <w:p>
            <w:r>
              <w:t>Teachers physically present at a school different from their payroll assignment</w:t>
            </w:r>
          </w:p>
        </w:tc>
      </w:tr>
      <w:tr>
        <w:tc>
          <w:tcPr>
            <w:tcW w:type="dxa" w:w="3168"/>
          </w:tcPr>
          <w:p>
            <w:r>
              <w:t>Removal Candidates</w:t>
            </w:r>
          </w:p>
        </w:tc>
        <w:tc>
          <w:tcPr>
            <w:tcW w:type="dxa" w:w="7632"/>
          </w:tcPr>
          <w:p>
            <w:r>
              <w:t>Teachers who have been long-term absent with no satisfactory reason</w:t>
            </w:r>
          </w:p>
        </w:tc>
      </w:tr>
      <w:tr>
        <w:tc>
          <w:tcPr>
            <w:tcW w:type="dxa" w:w="3168"/>
            <w:shd w:val="clear" w:color="auto" w:fill="D6E4F0"/>
          </w:tcPr>
          <w:p>
            <w:r>
              <w:t>Active Teacher List</w:t>
            </w:r>
          </w:p>
        </w:tc>
        <w:tc>
          <w:tcPr>
            <w:tcW w:type="dxa" w:w="7632"/>
            <w:shd w:val="clear" w:color="auto" w:fill="D6E4F0"/>
          </w:tcPr>
          <w:p>
            <w:r>
              <w:t>Full list of current teachers with status, contact details, and school assignment</w:t>
            </w:r>
          </w:p>
        </w:tc>
      </w:tr>
    </w:tbl>
    <w:p>
      <w:pPr>
        <w:pStyle w:val="Heading3"/>
      </w:pPr>
      <w:r>
        <w:t>Why It Matters</w:t>
      </w:r>
    </w:p>
    <w:p>
      <w:pPr/>
      <w:r>
        <w:t>Teacher presence is one of the strongest predictors of learning outcomes. Biometric verification prevents proxy attendance (someone signing in for an absent colleague). The payroll-linked records allow the ministry to identify ghost teachers, unauthorised transfers, and teachers requiring disciplinary review from the same data source.</w:t>
      </w:r>
    </w:p>
    <w:p/>
    <w:p>
      <w:pPr>
        <w:pStyle w:val="Heading2"/>
      </w:pPr>
      <w:r>
        <w:t>4.6 Learner Admission and Enrolment Management</w:t>
      </w:r>
    </w:p>
    <w:p>
      <w:pPr>
        <w:pStyle w:val="Heading3"/>
      </w:pPr>
      <w:r>
        <w:t>What It Does</w:t>
      </w:r>
    </w:p>
    <w:p>
      <w:pPr/>
      <w:r>
        <w:t>Learner management operates across two layers:</w:t>
      </w:r>
    </w:p>
    <w:p>
      <w:pPr>
        <w:pStyle w:val="ListBullet"/>
      </w:pPr>
      <w:r>
        <w:t>Admission (school_learner_admission) — records that a learner attends this school and captures entry date, exit date, and exit reason. A learner can have admissions at multiple schools over their education history.</w:t>
      </w:r>
    </w:p>
    <w:p>
      <w:pPr>
        <w:pStyle w:val="ListBullet"/>
      </w:pPr>
      <w:r>
        <w:t>Enrolment (school_learner_enrolment) — records the learner in a specific class group for a specific academic year. This is the record that links attendance, performance, and disability data to an academic context.</w:t>
      </w:r>
    </w:p>
    <w:p>
      <w:pPr/>
      <w:r>
        <w:t>Each learner profile records:</w:t>
      </w:r>
    </w:p>
    <w:p>
      <w:pPr>
        <w:pStyle w:val="ListBullet"/>
      </w:pPr>
      <w:r>
        <w:t>Full name (first, middle, last), NIN, date of birth, sex</w:t>
      </w:r>
    </w:p>
    <w:p>
      <w:pPr>
        <w:pStyle w:val="ListBullet"/>
      </w:pPr>
      <w:r>
        <w:t>Unique learner ID (auto-generated with school-scoped sequence)</w:t>
      </w:r>
    </w:p>
    <w:p>
      <w:pPr>
        <w:pStyle w:val="ListBullet"/>
      </w:pPr>
      <w:r>
        <w:t>Admission number</w:t>
      </w:r>
    </w:p>
    <w:p>
      <w:pPr>
        <w:pStyle w:val="ListBullet"/>
      </w:pPr>
      <w:r>
        <w:t>Strongest language spoken</w:t>
      </w:r>
    </w:p>
    <w:p>
      <w:pPr>
        <w:pStyle w:val="ListBullet"/>
      </w:pPr>
      <w:r>
        <w:t>Maternal/pregnancy status for female learners</w:t>
      </w:r>
    </w:p>
    <w:p>
      <w:pPr>
        <w:pStyle w:val="ListBullet"/>
      </w:pPr>
      <w:r>
        <w:t>Guardian details (name, relation, NIN, phone, address)</w:t>
      </w:r>
    </w:p>
    <w:p>
      <w:pPr>
        <w:pStyle w:val="ListBullet"/>
      </w:pPr>
      <w:r>
        <w:t>Class assignment for the current academic year</w:t>
      </w:r>
    </w:p>
    <w:p>
      <w:pPr>
        <w:pStyle w:val="ListBullet"/>
      </w:pPr>
      <w:r>
        <w:t>Previous year's class for continuity tracking</w:t>
      </w:r>
    </w:p>
    <w:p>
      <w:pPr/>
      <w:r>
        <w:t>Learner search allows finding a learner by name, NIN, learner ID, or phone number across all schools the user has access to. Duplicate detection flags learners with matching NIN or learner ID at the same school to prevent double-counting.</w:t>
      </w:r>
    </w:p>
    <w:p>
      <w:pPr>
        <w:pStyle w:val="Heading3"/>
      </w:pPr>
      <w:r>
        <w:t>Why It Matters</w:t>
      </w:r>
    </w:p>
    <w:p>
      <w:pPr/>
      <w:r>
        <w:t>Accurate enrolment records are the foundation of all education statistics. Without reliable learner counts and class assignments, attendance rates, gender ratios, disability prevalence, and performance averages cannot be meaningfully computed.</w:t>
      </w:r>
    </w:p>
    <w:p/>
    <w:p>
      <w:pPr>
        <w:pStyle w:val="Heading2"/>
      </w:pPr>
      <w:r>
        <w:t>4.7 Learner Needs Assessment (Disability Tracking)</w:t>
      </w:r>
    </w:p>
    <w:p>
      <w:pPr>
        <w:pStyle w:val="Heading3"/>
      </w:pPr>
      <w:r>
        <w:t>What It Does</w:t>
      </w:r>
    </w:p>
    <w:p>
      <w:pPr/>
      <w:r>
        <w:t>Each learner has a Needs Assessment section that captures the Washington Group Short Set of disability indicators — the international standard for school-level disability data collection. Six domains are assessed:</w:t>
      </w:r>
    </w:p>
    <w:tbl>
      <w:tblPr>
        <w:tblStyle w:val="TableGrid"/>
        <w:tblW w:type="auto" w:w="0"/>
        <w:tblLook w:firstColumn="1" w:firstRow="1" w:lastColumn="0" w:lastRow="0" w:noHBand="0" w:noVBand="1" w:val="04A0"/>
      </w:tblPr>
      <w:tblGrid>
        <w:gridCol w:w="4561"/>
        <w:gridCol w:w="4561"/>
      </w:tblGrid>
      <w:tr>
        <w:tc>
          <w:tcPr>
            <w:tcW w:type="dxa" w:w="2160"/>
            <w:shd w:val="clear" w:color="auto" w:fill="1F4E79"/>
          </w:tcPr>
          <w:p>
            <w:pPr>
              <w:jc w:val="center"/>
            </w:pPr>
            <w:r>
              <w:rPr>
                <w:b/>
                <w:color w:val="FFFFFF"/>
              </w:rPr>
              <w:t>Domain</w:t>
            </w:r>
          </w:p>
        </w:tc>
        <w:tc>
          <w:tcPr>
            <w:tcW w:type="dxa" w:w="8640"/>
            <w:shd w:val="clear" w:color="auto" w:fill="1F4E79"/>
          </w:tcPr>
          <w:p>
            <w:pPr>
              <w:jc w:val="center"/>
            </w:pPr>
            <w:r>
              <w:rPr>
                <w:b/>
                <w:color w:val="FFFFFF"/>
              </w:rPr>
              <w:t>Question Prompt</w:t>
            </w:r>
          </w:p>
        </w:tc>
      </w:tr>
      <w:tr>
        <w:tc>
          <w:tcPr>
            <w:tcW w:type="dxa" w:w="2160"/>
          </w:tcPr>
          <w:p>
            <w:r>
              <w:t>Vision</w:t>
            </w:r>
          </w:p>
        </w:tc>
        <w:tc>
          <w:tcPr>
            <w:tcW w:type="dxa" w:w="8640"/>
          </w:tcPr>
          <w:p>
            <w:r>
              <w:t>Do they have difficulty seeing, even with glasses?</w:t>
            </w:r>
          </w:p>
        </w:tc>
      </w:tr>
      <w:tr>
        <w:tc>
          <w:tcPr>
            <w:tcW w:type="dxa" w:w="2160"/>
            <w:shd w:val="clear" w:color="auto" w:fill="D6E4F0"/>
          </w:tcPr>
          <w:p>
            <w:r>
              <w:t>Hearing</w:t>
            </w:r>
          </w:p>
        </w:tc>
        <w:tc>
          <w:tcPr>
            <w:tcW w:type="dxa" w:w="8640"/>
            <w:shd w:val="clear" w:color="auto" w:fill="D6E4F0"/>
          </w:tcPr>
          <w:p>
            <w:r>
              <w:t>Do they have difficulty hearing, even with a hearing aid?</w:t>
            </w:r>
          </w:p>
        </w:tc>
      </w:tr>
      <w:tr>
        <w:tc>
          <w:tcPr>
            <w:tcW w:type="dxa" w:w="2160"/>
          </w:tcPr>
          <w:p>
            <w:r>
              <w:t>Mobility</w:t>
            </w:r>
          </w:p>
        </w:tc>
        <w:tc>
          <w:tcPr>
            <w:tcW w:type="dxa" w:w="8640"/>
          </w:tcPr>
          <w:p>
            <w:r>
              <w:t>Do they have difficulty walking or climbing steps?</w:t>
            </w:r>
          </w:p>
        </w:tc>
      </w:tr>
      <w:tr>
        <w:tc>
          <w:tcPr>
            <w:tcW w:type="dxa" w:w="2160"/>
            <w:shd w:val="clear" w:color="auto" w:fill="D6E4F0"/>
          </w:tcPr>
          <w:p>
            <w:r>
              <w:t>Cognition</w:t>
            </w:r>
          </w:p>
        </w:tc>
        <w:tc>
          <w:tcPr>
            <w:tcW w:type="dxa" w:w="8640"/>
            <w:shd w:val="clear" w:color="auto" w:fill="D6E4F0"/>
          </w:tcPr>
          <w:p>
            <w:r>
              <w:t>Do they have difficulty remembering or concentrating?</w:t>
            </w:r>
          </w:p>
        </w:tc>
      </w:tr>
      <w:tr>
        <w:tc>
          <w:tcPr>
            <w:tcW w:type="dxa" w:w="2160"/>
          </w:tcPr>
          <w:p>
            <w:r>
              <w:t>Self-Care</w:t>
            </w:r>
          </w:p>
        </w:tc>
        <w:tc>
          <w:tcPr>
            <w:tcW w:type="dxa" w:w="8640"/>
          </w:tcPr>
          <w:p>
            <w:r>
              <w:t>Do they have difficulty washing or dressing themselves?</w:t>
            </w:r>
          </w:p>
        </w:tc>
      </w:tr>
      <w:tr>
        <w:tc>
          <w:tcPr>
            <w:tcW w:type="dxa" w:w="2160"/>
            <w:shd w:val="clear" w:color="auto" w:fill="D6E4F0"/>
          </w:tcPr>
          <w:p>
            <w:r>
              <w:t>Communication</w:t>
            </w:r>
          </w:p>
        </w:tc>
        <w:tc>
          <w:tcPr>
            <w:tcW w:type="dxa" w:w="8640"/>
            <w:shd w:val="clear" w:color="auto" w:fill="D6E4F0"/>
          </w:tcPr>
          <w:p>
            <w:r>
              <w:t>Do they have difficulty communicating in their usual language?</w:t>
            </w:r>
          </w:p>
        </w:tc>
      </w:tr>
    </w:tbl>
    <w:p/>
    <w:p>
      <w:pPr/>
      <w:r>
        <w:t>Each domain is rated on a four-point severity scale:</w:t>
      </w:r>
    </w:p>
    <w:p>
      <w:pPr>
        <w:pStyle w:val="ListBullet"/>
      </w:pPr>
      <w:r>
        <w:t>No Difficulty</w:t>
      </w:r>
    </w:p>
    <w:p>
      <w:pPr>
        <w:pStyle w:val="ListBullet"/>
      </w:pPr>
      <w:r>
        <w:t>Some Difficulty</w:t>
      </w:r>
    </w:p>
    <w:p>
      <w:pPr>
        <w:pStyle w:val="ListBullet"/>
      </w:pPr>
      <w:r>
        <w:t>A Lot of Difficulty</w:t>
      </w:r>
    </w:p>
    <w:p>
      <w:pPr>
        <w:pStyle w:val="ListBullet"/>
      </w:pPr>
      <w:r>
        <w:t>Cannot Do At All</w:t>
      </w:r>
    </w:p>
    <w:p>
      <w:pPr/>
      <w:r>
        <w:t>A seventh field records other common conditions such as sickle cell or albinism.</w:t>
      </w:r>
    </w:p>
    <w:p>
      <w:pPr>
        <w:pStyle w:val="Heading3"/>
      </w:pPr>
      <w:r>
        <w:t>No Difficulty for All Shortcut</w:t>
      </w:r>
    </w:p>
    <w:p>
      <w:pPr/>
      <w:r>
        <w:t>A checkbox at the top of the Needs Assessment section lets the data entry officer set all six domains to 'No Difficulty' in a single tap — the most common outcome for learners without any disability. The checkbox auto-checks itself if all six fields are individually set to 'No Difficulty', and automatically unchecks if any single field is changed to a different severity level.</w:t>
      </w:r>
    </w:p>
    <w:p>
      <w:pPr>
        <w:pStyle w:val="Heading3"/>
      </w:pPr>
      <w:r>
        <w:t>Why It Matters</w:t>
      </w:r>
    </w:p>
    <w:p>
      <w:pPr/>
      <w:r>
        <w:t>Sierra Leone's Ministry of Education is committed to inclusive education. This data identifies schools with high concentrations of learners with disabilities so targeted support (specialist teachers, adapted materials, physical accessibility improvements) can be directed where needed. The Washington Group methodology ensures the data is internationally comparable.</w:t>
      </w:r>
    </w:p>
    <w:p/>
    <w:p>
      <w:pPr>
        <w:pStyle w:val="Heading2"/>
      </w:pPr>
      <w:r>
        <w:t>4.8 Attendance Recording</w:t>
      </w:r>
    </w:p>
    <w:p>
      <w:pPr>
        <w:pStyle w:val="Heading3"/>
      </w:pPr>
      <w:r>
        <w:t>What It Does</w:t>
      </w:r>
    </w:p>
    <w:p>
      <w:pPr/>
      <w:r>
        <w:t>Attendance is recorded daily for both teachers and learners. Each attendance record captures:</w:t>
      </w:r>
    </w:p>
    <w:p>
      <w:pPr>
        <w:pStyle w:val="ListBullet"/>
      </w:pPr>
      <w:r>
        <w:t>Person UUID (teacher or learner)</w:t>
      </w:r>
    </w:p>
    <w:p>
      <w:pPr>
        <w:pStyle w:val="ListBullet"/>
      </w:pPr>
      <w:r>
        <w:t>Date and school</w:t>
      </w:r>
    </w:p>
    <w:p>
      <w:pPr>
        <w:pStyle w:val="ListBullet"/>
      </w:pPr>
      <w:r>
        <w:t>AM and PM session (teachers are marked twice daily)</w:t>
      </w:r>
    </w:p>
    <w:p>
      <w:pPr>
        <w:pStyle w:val="ListBullet"/>
      </w:pPr>
      <w:r>
        <w:t>Status: Present, Absent, or Late</w:t>
      </w:r>
    </w:p>
    <w:p>
      <w:pPr>
        <w:pStyle w:val="ListBullet"/>
      </w:pPr>
      <w:r>
        <w:t>Absence reason from the option list (sick, family emergency, unauthorised, etc.)</w:t>
      </w:r>
    </w:p>
    <w:p>
      <w:pPr>
        <w:pStyle w:val="ListBullet"/>
      </w:pPr>
      <w:r>
        <w:t>Biometric method used: fingerprint scan, photo capture, or manual entry</w:t>
      </w:r>
    </w:p>
    <w:p>
      <w:pPr>
        <w:pStyle w:val="ListBullet"/>
      </w:pPr>
      <w:r>
        <w:t>GPS coordinates of the recording device at the moment of marking</w:t>
      </w:r>
    </w:p>
    <w:p>
      <w:pPr>
        <w:pStyle w:val="ListBullet"/>
      </w:pPr>
      <w:r>
        <w:t>Photo evidence (base64 encoded, synced separately as a binary file)</w:t>
      </w:r>
    </w:p>
    <w:p>
      <w:pPr>
        <w:pStyle w:val="Heading3"/>
      </w:pPr>
      <w:r>
        <w:t>Biometric Verification</w:t>
      </w:r>
    </w:p>
    <w:p>
      <w:pPr/>
      <w:r>
        <w:t>Fingerprint attendance uses the device's fingerprint scanner. Up to 10 enrolled fingerprints per person are stored locally and matched entirely on-device — no internet connection is required for verification. Photo attendance captures an image of the teacher or learner as proof of presence.</w:t>
      </w:r>
    </w:p>
    <w:p>
      <w:pPr>
        <w:pStyle w:val="Heading3"/>
      </w:pPr>
      <w:r>
        <w:t>Web Dashboard Attendance Analytics</w:t>
      </w:r>
    </w:p>
    <w:p>
      <w:pPr>
        <w:pStyle w:val="ListBullet"/>
      </w:pPr>
      <w:r>
        <w:t>School-level daily, weekly, and monthly attendance rates</w:t>
      </w:r>
    </w:p>
    <w:p>
      <w:pPr>
        <w:pStyle w:val="ListBullet"/>
      </w:pPr>
      <w:r>
        <w:t>Teacher absenteeism trends with reason breakdown</w:t>
      </w:r>
    </w:p>
    <w:p>
      <w:pPr>
        <w:pStyle w:val="ListBullet"/>
      </w:pPr>
      <w:r>
        <w:t>Learner absenteeism with at-risk identification</w:t>
      </w:r>
    </w:p>
    <w:p>
      <w:pPr>
        <w:pStyle w:val="ListBullet"/>
      </w:pPr>
      <w:r>
        <w:t>District-level heat maps showing attendance patterns geographically</w:t>
      </w:r>
    </w:p>
    <w:p>
      <w:pPr>
        <w:pStyle w:val="ListBullet"/>
      </w:pPr>
      <w:r>
        <w:t>Sanctions eligibility (teachers with too many unauthorised absences)</w:t>
      </w:r>
    </w:p>
    <w:p>
      <w:pPr>
        <w:pStyle w:val="Heading3"/>
      </w:pPr>
      <w:r>
        <w:t>Why It Matters</w:t>
      </w:r>
    </w:p>
    <w:p>
      <w:pPr/>
      <w:r>
        <w:t>Teacher attendance is directly correlated with learning outcomes. Biometric verification prevents proxy sign-in and ghost teacher fraud. GPS coordinates add a further layer of verifiability. The data feeds directly into payroll compliance monitoring at the ministry level.</w:t>
      </w:r>
    </w:p>
    <w:p/>
    <w:p>
      <w:pPr>
        <w:pStyle w:val="Heading2"/>
      </w:pPr>
      <w:r>
        <w:t>4.9 Timetable Management</w:t>
      </w:r>
    </w:p>
    <w:p>
      <w:pPr>
        <w:pStyle w:val="Heading3"/>
      </w:pPr>
      <w:r>
        <w:t>What It Does</w:t>
      </w:r>
    </w:p>
    <w:p>
      <w:pPr/>
      <w:r>
        <w:t>Each teacher can have a weekly timetable recorded showing which subjects they teach, in which classes, on which days, and at what times. The timetable is stored in teacher_timetable and displayed on the teacher's profile on both the Android app and web dashboard.</w:t>
      </w:r>
    </w:p>
    <w:p>
      <w:pPr>
        <w:pStyle w:val="Heading3"/>
      </w:pPr>
      <w:r>
        <w:t>Why It Matters</w:t>
      </w:r>
    </w:p>
    <w:p>
      <w:pPr/>
      <w:r>
        <w:t>Timetable data helps district officers verify that subjects are being taught, identify teachers with very light schedules (a possible ghost teacher indicator), and assess whether a school has adequate subject coverage across all classes.</w:t>
      </w:r>
    </w:p>
    <w:p/>
    <w:p>
      <w:pPr>
        <w:pStyle w:val="Heading2"/>
      </w:pPr>
      <w:r>
        <w:t>4.10 School Feeding Programme</w:t>
      </w:r>
    </w:p>
    <w:p>
      <w:pPr>
        <w:pStyle w:val="Heading3"/>
      </w:pPr>
      <w:r>
        <w:t>What It Does</w:t>
      </w:r>
    </w:p>
    <w:p>
      <w:pPr/>
      <w:r>
        <w:t>Schools participating in the government feeding programme receive periodic food deliveries. The system tracks:</w:t>
      </w:r>
    </w:p>
    <w:p>
      <w:pPr>
        <w:pStyle w:val="ListBullet"/>
      </w:pPr>
      <w:r>
        <w:t>Supplier name and feeding period (start and end dates)</w:t>
      </w:r>
    </w:p>
    <w:p>
      <w:pPr>
        <w:pStyle w:val="ListBullet"/>
      </w:pPr>
      <w:r>
        <w:t>Quantities received in kg: rice, beans, gari (cassava flour), vegetable oil, and salt</w:t>
      </w:r>
    </w:p>
    <w:p>
      <w:pPr>
        <w:pStyle w:val="ListBullet"/>
      </w:pPr>
      <w:r>
        <w:t>Whether the school actually received the feeding in this period</w:t>
      </w:r>
    </w:p>
    <w:p>
      <w:pPr>
        <w:pStyle w:val="ListBullet"/>
      </w:pPr>
      <w:r>
        <w:t>Monthly stock levels for each commodity</w:t>
      </w:r>
    </w:p>
    <w:p>
      <w:pPr/>
      <w:r>
        <w:t>The web dashboard provides two dedicated views:</w:t>
      </w:r>
    </w:p>
    <w:p>
      <w:pPr>
        <w:pStyle w:val="ListBullet"/>
      </w:pPr>
      <w:r>
        <w:t>School feeding report — per-school history of deliveries, suppliers, quantities, and periods</w:t>
      </w:r>
    </w:p>
    <w:p>
      <w:pPr>
        <w:pStyle w:val="ListBullet"/>
      </w:pPr>
      <w:r>
        <w:t>Secretariat view — district-level overview showing all schools' feeding status in a single table for district feeding coordinators</w:t>
      </w:r>
    </w:p>
    <w:p>
      <w:pPr>
        <w:pStyle w:val="Heading3"/>
      </w:pPr>
      <w:r>
        <w:t>Why It Matters</w:t>
      </w:r>
    </w:p>
    <w:p>
      <w:pPr/>
      <w:r>
        <w:t>The school feeding programme is a major learner retention tool, particularly in rural areas where hunger is a significant dropout factor. Tracking whether food actually arrived at schools allows the ministry to identify supply chain failures, under-reporting, or schools claiming food they did not receive.</w:t>
      </w:r>
    </w:p>
    <w:p/>
    <w:p>
      <w:pPr>
        <w:pStyle w:val="Heading2"/>
      </w:pPr>
      <w:r>
        <w:t>4.11 Learner Performance and Assessment</w:t>
      </w:r>
    </w:p>
    <w:p>
      <w:pPr>
        <w:pStyle w:val="Heading3"/>
      </w:pPr>
      <w:r>
        <w:t>What It Does</w:t>
      </w:r>
    </w:p>
    <w:p>
      <w:pPr/>
      <w:r>
        <w:t>Each learner's academic performance is tracked per subject, per term, per assessment. The assessment structure is:</w:t>
      </w:r>
    </w:p>
    <w:p>
      <w:pPr>
        <w:pStyle w:val="ListBullet"/>
      </w:pPr>
      <w:r>
        <w:t>Three terms: First Term, Second Term, Third Term</w:t>
      </w:r>
    </w:p>
    <w:p>
      <w:pPr>
        <w:pStyle w:val="ListBullet"/>
      </w:pPr>
      <w:r>
        <w:t>Two assessments per term — First Assessment and Second Assessment for terms 1 and 2; First Assessment and Final Exam for term 3</w:t>
      </w:r>
    </w:p>
    <w:p>
      <w:pPr>
        <w:pStyle w:val="ListBullet"/>
      </w:pPr>
      <w:r>
        <w:t>One score per subject per assessment</w:t>
      </w:r>
    </w:p>
    <w:p>
      <w:pPr/>
      <w:r>
        <w:t>The Learner Performance tab (embedded as the sixth tab in the School Profile on Android) lists all learners with a class filter dropdown. Tapping a learner opens the assessment entry screen where the user selects a term and assessment type, and a list of subjects for that class level is shown. Each subject row has an editable score field. Scores already saved are locked and cannot be re-edited. Average and grade (A/B/C/D/F) are calculated live as scores are entered.</w:t>
      </w:r>
    </w:p>
    <w:p>
      <w:pPr>
        <w:pStyle w:val="Heading3"/>
      </w:pPr>
      <w:r>
        <w:t>Save Marks Workflow</w:t>
      </w:r>
    </w:p>
    <w:tbl>
      <w:tblPr>
        <w:tblStyle w:val="TableGrid"/>
        <w:tblW w:type="auto" w:w="0"/>
        <w:tblLook w:firstColumn="1" w:firstRow="1" w:lastColumn="0" w:lastRow="0" w:noHBand="0" w:noVBand="1" w:val="04A0"/>
      </w:tblPr>
      <w:tblGrid>
        <w:gridCol w:w="4561"/>
        <w:gridCol w:w="4561"/>
      </w:tblGrid>
      <w:tr>
        <w:tc>
          <w:tcPr>
            <w:tcW w:type="dxa" w:w="3600"/>
            <w:shd w:val="clear" w:color="auto" w:fill="1F4E79"/>
          </w:tcPr>
          <w:p>
            <w:pPr>
              <w:jc w:val="center"/>
            </w:pPr>
            <w:r>
              <w:rPr>
                <w:b/>
                <w:color w:val="FFFFFF"/>
              </w:rPr>
              <w:t>Scenario</w:t>
            </w:r>
          </w:p>
        </w:tc>
        <w:tc>
          <w:tcPr>
            <w:tcW w:type="dxa" w:w="7200"/>
            <w:shd w:val="clear" w:color="auto" w:fill="1F4E79"/>
          </w:tcPr>
          <w:p>
            <w:pPr>
              <w:jc w:val="center"/>
            </w:pPr>
            <w:r>
              <w:rPr>
                <w:b/>
                <w:color w:val="FFFFFF"/>
              </w:rPr>
              <w:t>Behaviour</w:t>
            </w:r>
          </w:p>
        </w:tc>
      </w:tr>
      <w:tr>
        <w:tc>
          <w:tcPr>
            <w:tcW w:type="dxa" w:w="3600"/>
          </w:tcPr>
          <w:p>
            <w:r>
              <w:t>All subjects have scores entered</w:t>
            </w:r>
          </w:p>
        </w:tc>
        <w:tc>
          <w:tcPr>
            <w:tcW w:type="dxa" w:w="7200"/>
          </w:tcPr>
          <w:p>
            <w:r>
              <w:t>A confirmation dialog appears: 'Do you confirm that the entered grades are correct?' The user must explicitly confirm before saving.</w:t>
            </w:r>
          </w:p>
        </w:tc>
      </w:tr>
      <w:tr>
        <w:tc>
          <w:tcPr>
            <w:tcW w:type="dxa" w:w="3600"/>
            <w:shd w:val="clear" w:color="auto" w:fill="D6E4F0"/>
          </w:tcPr>
          <w:p>
            <w:r>
              <w:t>Some subjects have no score</w:t>
            </w:r>
          </w:p>
        </w:tc>
        <w:tc>
          <w:tcPr>
            <w:tcW w:type="dxa" w:w="7200"/>
            <w:shd w:val="clear" w:color="auto" w:fill="D6E4F0"/>
          </w:tcPr>
          <w:p>
            <w:r>
              <w:t>A warning dialog lists which subjects are blank. The user can go back to fill them in, or save with the blanks intentionally.</w:t>
            </w:r>
          </w:p>
        </w:tc>
      </w:tr>
    </w:tbl>
    <w:p/>
    <w:p>
      <w:pPr>
        <w:pStyle w:val="Heading3"/>
      </w:pPr>
      <w:r>
        <w:t>Web Dashboard Performance Analytics</w:t>
      </w:r>
    </w:p>
    <w:p>
      <w:pPr>
        <w:pStyle w:val="ListBullet"/>
      </w:pPr>
      <w:r>
        <w:t>Average scores by education level and term</w:t>
      </w:r>
    </w:p>
    <w:p>
      <w:pPr>
        <w:pStyle w:val="ListBullet"/>
      </w:pPr>
      <w:r>
        <w:t>Subject-level performance comparison across terms</w:t>
      </w:r>
    </w:p>
    <w:p>
      <w:pPr>
        <w:pStyle w:val="ListBullet"/>
      </w:pPr>
      <w:r>
        <w:t>Poor performer identification (learners below passing threshold)</w:t>
      </w:r>
    </w:p>
    <w:p>
      <w:pPr>
        <w:pStyle w:val="ListBullet"/>
      </w:pPr>
      <w:r>
        <w:t>District and school-level performance trends over time</w:t>
      </w:r>
    </w:p>
    <w:p>
      <w:pPr>
        <w:pStyle w:val="Heading3"/>
      </w:pPr>
      <w:r>
        <w:t>Why It Matters</w:t>
      </w:r>
    </w:p>
    <w:p>
      <w:pPr/>
      <w:r>
        <w:t>Learner performance data allows the education system to identify schools with consistently low scores, subjects where learning gaps are widespread, and individual learners at risk of failing. This informs teacher training priorities, curriculum support, and targeted interventions.</w:t>
      </w:r>
    </w:p>
    <w:p/>
    <w:p>
      <w:pPr>
        <w:pStyle w:val="Heading2"/>
      </w:pPr>
      <w:r>
        <w:t>4.12 Bidirectional Data Synchronisation</w:t>
      </w:r>
    </w:p>
    <w:p>
      <w:pPr>
        <w:pStyle w:val="Heading3"/>
      </w:pPr>
      <w:r>
        <w:t>What It Does</w:t>
      </w:r>
    </w:p>
    <w:p>
      <w:pPr/>
      <w:r>
        <w:t>This is the core infrastructure that makes the entire system work offline-first. The sync mechanism operates in two directions:</w:t>
      </w:r>
    </w:p>
    <w:p>
      <w:pPr>
        <w:pStyle w:val="Heading3"/>
      </w:pPr>
      <w:r>
        <w:t>Download (Server to Device)</w:t>
      </w:r>
    </w:p>
    <w:p>
      <w:pPr>
        <w:pStyle w:val="ListBullet"/>
      </w:pPr>
      <w:r>
        <w:t>The device sends its current table state — for each table it reports the max_synced_at timestamp and max_pk of the last record received.</w:t>
      </w:r>
    </w:p>
    <w:p>
      <w:pPr>
        <w:pStyle w:val="ListBullet"/>
      </w:pPr>
      <w:r>
        <w:t>The server queries all records newer than those timestamps and returns up to 5,000 records per request.</w:t>
      </w:r>
    </w:p>
    <w:p>
      <w:pPr>
        <w:pStyle w:val="ListBullet"/>
      </w:pPr>
      <w:r>
        <w:t>The device upserts all received records into its local SQLite database and updates its table state for the next cycle.</w:t>
      </w:r>
    </w:p>
    <w:p>
      <w:pPr>
        <w:pStyle w:val="Heading3"/>
      </w:pPr>
      <w:r>
        <w:t>Upload (Device to Server)</w:t>
      </w:r>
    </w:p>
    <w:p>
      <w:pPr>
        <w:pStyle w:val="ListBullet"/>
      </w:pPr>
      <w:r>
        <w:t>Records modified on the device are flagged with sync_flag = 1.</w:t>
      </w:r>
    </w:p>
    <w:p>
      <w:pPr>
        <w:pStyle w:val="ListBullet"/>
      </w:pPr>
      <w:r>
        <w:t>During sync, all flagged records are bundled and POST-ed to the upload endpoint.</w:t>
      </w:r>
    </w:p>
    <w:p>
      <w:pPr>
        <w:pStyle w:val="ListBullet"/>
      </w:pPr>
      <w:r>
        <w:t>The server upserts each record, recording synced_at, synced_by, and synced_by_install_id.</w:t>
      </w:r>
    </w:p>
    <w:p>
      <w:pPr>
        <w:pStyle w:val="ListBullet"/>
      </w:pPr>
      <w:r>
        <w:t>Successfully uploaded records have their sync_flag cleared.</w:t>
      </w:r>
    </w:p>
    <w:p>
      <w:pPr>
        <w:pStyle w:val="Heading3"/>
      </w:pPr>
      <w:r>
        <w:t>Data Categories</w:t>
      </w:r>
    </w:p>
    <w:tbl>
      <w:tblPr>
        <w:tblStyle w:val="TableGrid"/>
        <w:tblW w:type="auto" w:w="0"/>
        <w:tblLook w:firstColumn="1" w:firstRow="1" w:lastColumn="0" w:lastRow="0" w:noHBand="0" w:noVBand="1" w:val="04A0"/>
      </w:tblPr>
      <w:tblGrid>
        <w:gridCol w:w="3041"/>
        <w:gridCol w:w="3041"/>
        <w:gridCol w:w="3041"/>
      </w:tblGrid>
      <w:tr>
        <w:tc>
          <w:tcPr>
            <w:tcW w:type="dxa" w:w="2880"/>
            <w:shd w:val="clear" w:color="auto" w:fill="1F4E79"/>
          </w:tcPr>
          <w:p>
            <w:pPr>
              <w:jc w:val="center"/>
            </w:pPr>
            <w:r>
              <w:rPr>
                <w:b/>
                <w:color w:val="FFFFFF"/>
              </w:rPr>
              <w:t>Category</w:t>
            </w:r>
          </w:p>
        </w:tc>
        <w:tc>
          <w:tcPr>
            <w:tcW w:type="dxa" w:w="6480"/>
            <w:shd w:val="clear" w:color="auto" w:fill="1F4E79"/>
          </w:tcPr>
          <w:p>
            <w:pPr>
              <w:jc w:val="center"/>
            </w:pPr>
            <w:r>
              <w:rPr>
                <w:b/>
                <w:color w:val="FFFFFF"/>
              </w:rPr>
              <w:t>Tables</w:t>
            </w:r>
          </w:p>
        </w:tc>
        <w:tc>
          <w:tcPr>
            <w:tcW w:type="dxa" w:w="2160"/>
            <w:shd w:val="clear" w:color="auto" w:fill="1F4E79"/>
          </w:tcPr>
          <w:p>
            <w:pPr>
              <w:jc w:val="center"/>
            </w:pPr>
            <w:r>
              <w:rPr>
                <w:b/>
                <w:color w:val="FFFFFF"/>
              </w:rPr>
              <w:t>Direction</w:t>
            </w:r>
          </w:p>
        </w:tc>
      </w:tr>
      <w:tr>
        <w:tc>
          <w:tcPr>
            <w:tcW w:type="dxa" w:w="2880"/>
          </w:tcPr>
          <w:p>
            <w:r>
              <w:t>Universal (shared across all devices)</w:t>
            </w:r>
          </w:p>
        </w:tc>
        <w:tc>
          <w:tcPr>
            <w:tcW w:type="dxa" w:w="6480"/>
          </w:tcPr>
          <w:p>
            <w:r>
              <w:t>Option lists, teacher payroll, non-payroll teachers, academic years, district offices, geographic boundaries</w:t>
            </w:r>
          </w:p>
        </w:tc>
        <w:tc>
          <w:tcPr>
            <w:tcW w:type="dxa" w:w="2160"/>
          </w:tcPr>
          <w:p>
            <w:r>
              <w:t>Server → Device only</w:t>
            </w:r>
          </w:p>
        </w:tc>
      </w:tr>
      <w:tr>
        <w:tc>
          <w:tcPr>
            <w:tcW w:type="dxa" w:w="2880"/>
            <w:shd w:val="clear" w:color="auto" w:fill="D6E4F0"/>
          </w:tcPr>
          <w:p>
            <w:r>
              <w:t>Binary (school-scoped)</w:t>
            </w:r>
          </w:p>
        </w:tc>
        <w:tc>
          <w:tcPr>
            <w:tcW w:type="dxa" w:w="6480"/>
            <w:shd w:val="clear" w:color="auto" w:fill="D6E4F0"/>
          </w:tcPr>
          <w:p>
            <w:r>
              <w:t>School details, teachers, learners, attendance, enrolments, performance, timetables, feeding, photos</w:t>
            </w:r>
          </w:p>
        </w:tc>
        <w:tc>
          <w:tcPr>
            <w:tcW w:type="dxa" w:w="2160"/>
            <w:shd w:val="clear" w:color="auto" w:fill="D6E4F0"/>
          </w:tcPr>
          <w:p>
            <w:r>
              <w:t>Bidirectional</w:t>
            </w:r>
          </w:p>
        </w:tc>
      </w:tr>
    </w:tbl>
    <w:p/>
    <w:p>
      <w:pPr>
        <w:pStyle w:val="Heading3"/>
      </w:pPr>
      <w:r>
        <w:t>File Sync</w:t>
      </w:r>
    </w:p>
    <w:p>
      <w:pPr/>
      <w:r>
        <w:t>Photos and fingerprint templates are uploaded separately via a dedicated file endpoint. They are referenced by UUID in attendance and person records. Each sync operation is logged with record counts and timestamps, visible to the user in the Sync screen.</w:t>
      </w:r>
    </w:p>
    <w:p>
      <w:pPr>
        <w:pStyle w:val="Heading3"/>
      </w:pPr>
      <w:r>
        <w:t>Why It Matters</w:t>
      </w:r>
    </w:p>
    <w:p>
      <w:pPr/>
      <w:r>
        <w:t>Most schools in Sierra Leone have unreliable or absent internet connectivity. The offline-first architecture means data collection is never blocked by network availability. Teachers can record attendance for an entire week and sync it all when the device comes into range of a WiFi hotspot or mobile data signal. The sync protocol ensures nothing is lost and the server always ends up with a complete, accurate picture.</w:t>
      </w:r>
    </w:p>
    <w:p/>
    <w:p>
      <w:pPr>
        <w:pStyle w:val="Heading2"/>
      </w:pPr>
      <w:r>
        <w:t>4.13 Biometric Fingerprint Verification</w:t>
      </w:r>
    </w:p>
    <w:p>
      <w:pPr>
        <w:pStyle w:val="Heading3"/>
      </w:pPr>
      <w:r>
        <w:t>What It Does</w:t>
      </w:r>
    </w:p>
    <w:p>
      <w:pPr/>
      <w:r>
        <w:t>The app supports registering up to 10 fingerprint templates per person (all fingers on both hands). Fingerprints are stored in the person_fingerprint table locally and synced to the server.</w:t>
      </w:r>
    </w:p>
    <w:p>
      <w:pPr/>
      <w:r>
        <w:t>During attendance recording, the system verifies the person's identity by matching a live fingerprint scan against stored templates entirely on-device — no internet connection required. A successful match records the method as 'fingerprint' in the attendance record alongside GPS coordinates and timestamp.</w:t>
      </w:r>
    </w:p>
    <w:p>
      <w:pPr>
        <w:pStyle w:val="Heading3"/>
      </w:pPr>
      <w:r>
        <w:t>Why It Matters</w:t>
      </w:r>
    </w:p>
    <w:p>
      <w:pPr/>
      <w:r>
        <w:t>Fingerprint verification eliminates proxy attendance. On-device matching means the verification works in remote areas with no connectivity. The data about how attendance was verified (fingerprint, photo, manual) is preserved permanently for audit purposes.</w:t>
      </w:r>
    </w:p>
    <w:p/>
    <w:p>
      <w:pPr>
        <w:pStyle w:val="Heading2"/>
      </w:pPr>
      <w:r>
        <w:t>4.14 Geographic Mapping and District Analytics</w:t>
      </w:r>
    </w:p>
    <w:p>
      <w:pPr>
        <w:pStyle w:val="Heading3"/>
      </w:pPr>
      <w:r>
        <w:t>What It Does</w:t>
      </w:r>
    </w:p>
    <w:p>
      <w:pPr/>
      <w:r>
        <w:t>The web dashboard includes interactive Leaflet.js maps that display:</w:t>
      </w:r>
    </w:p>
    <w:p>
      <w:pPr>
        <w:pStyle w:val="ListBullet"/>
      </w:pPr>
      <w:r>
        <w:t>School locations as pins coloured by attendance rate (green = good, amber = moderate, red = poor)</w:t>
      </w:r>
    </w:p>
    <w:p>
      <w:pPr>
        <w:pStyle w:val="ListBullet"/>
      </w:pPr>
      <w:r>
        <w:t>Sierra Leone district boundaries from a custom-simplified GeoJSON file</w:t>
      </w:r>
    </w:p>
    <w:p>
      <w:pPr>
        <w:pStyle w:val="ListBullet"/>
      </w:pPr>
      <w:r>
        <w:t>Learner distribution by disability and maternal status plotted by school coordinates</w:t>
      </w:r>
    </w:p>
    <w:p>
      <w:pPr>
        <w:pStyle w:val="ListBullet"/>
      </w:pPr>
      <w:r>
        <w:t>District-level filtering — clicking a district zooms in and filters all charts and tables to that district</w:t>
      </w:r>
    </w:p>
    <w:p>
      <w:pPr/>
      <w:r>
        <w:t>Charts accompanying the maps include:</w:t>
      </w:r>
    </w:p>
    <w:p>
      <w:pPr>
        <w:pStyle w:val="ListBullet"/>
      </w:pPr>
      <w:r>
        <w:t>Teacher attendance bar charts by school</w:t>
      </w:r>
    </w:p>
    <w:p>
      <w:pPr>
        <w:pStyle w:val="ListBullet"/>
      </w:pPr>
      <w:r>
        <w:t>Gender ratio distributions</w:t>
      </w:r>
    </w:p>
    <w:p>
      <w:pPr>
        <w:pStyle w:val="ListBullet"/>
      </w:pPr>
      <w:r>
        <w:t>Disability prevalence by domain</w:t>
      </w:r>
    </w:p>
    <w:p>
      <w:pPr>
        <w:pStyle w:val="ListBullet"/>
      </w:pPr>
      <w:r>
        <w:t>Absenteeism trends over time</w:t>
      </w:r>
    </w:p>
    <w:p>
      <w:pPr>
        <w:pStyle w:val="Heading3"/>
      </w:pPr>
      <w:r>
        <w:t>Why It Matters</w:t>
      </w:r>
    </w:p>
    <w:p>
      <w:pPr/>
      <w:r>
        <w:t>Geographic visualisation makes systemic patterns visible that are impossible to see in tables. A cluster of red dots in a specific district immediately tells a planner where to focus district-level supervision and resource deployment.</w:t>
      </w:r>
    </w:p>
    <w:p/>
    <w:p>
      <w:pPr>
        <w:pStyle w:val="Heading2"/>
      </w:pPr>
      <w:r>
        <w:t>4.15 Administrative User and Scope Management</w:t>
      </w:r>
    </w:p>
    <w:p>
      <w:pPr>
        <w:pStyle w:val="Heading3"/>
      </w:pPr>
      <w:r>
        <w:t>What It Does</w:t>
      </w:r>
    </w:p>
    <w:p>
      <w:pPr/>
      <w:r>
        <w:t>The administration module covers five areas:</w:t>
      </w:r>
    </w:p>
    <w:p>
      <w:pPr>
        <w:pStyle w:val="ListBullet"/>
      </w:pPr>
      <w:r>
        <w:t>User management — administrators approve, reject, or deactivate web dashboard users. Approved users are assigned to scope groups.</w:t>
      </w:r>
    </w:p>
    <w:p>
      <w:pPr>
        <w:pStyle w:val="ListBullet"/>
      </w:pPr>
      <w:r>
        <w:t>Scope groups — define which schools and districts a user can see. Scope is enforced on every query so no user can access data outside their permitted schools.</w:t>
      </w:r>
    </w:p>
    <w:p>
      <w:pPr>
        <w:pStyle w:val="ListBullet"/>
      </w:pPr>
      <w:r>
        <w:t>District office management — district education offices (DEBS, DEOs) are maintained and linked to schools for organisational reporting.</w:t>
      </w:r>
    </w:p>
    <w:p>
      <w:pPr>
        <w:pStyle w:val="ListBullet"/>
      </w:pPr>
      <w:r>
        <w:t>Mobile password reset administration — field users who forget their Android app passwords submit a reset request, which a web administrator reviews and approves.</w:t>
      </w:r>
    </w:p>
    <w:p>
      <w:pPr>
        <w:pStyle w:val="ListBullet"/>
      </w:pPr>
      <w:r>
        <w:t>Learner bulk upload — administrators can import learner records via a validated CSV template, reducing data entry burden for large schools.</w:t>
      </w:r>
    </w:p>
    <w:p>
      <w:pPr>
        <w:pStyle w:val="Heading3"/>
      </w:pPr>
      <w:r>
        <w:t>Why It Matters</w:t>
      </w:r>
    </w:p>
    <w:p>
      <w:pPr/>
      <w:r>
        <w:t>Granular access control is essential for a national system. A teacher in Kenema should not be able to see attendance records for schools in Freetown. Scope groups enforce this without requiring individual permissions per school — scopes can be defined once at the district level and all schools in that district are automatically included.</w:t>
      </w:r>
    </w:p>
    <w:p/>
    <w:p>
      <w:pPr>
        <w:pStyle w:val="Heading2"/>
      </w:pPr>
      <w:r>
        <w:t>4.16 Reports and Compliance Monitoring</w:t>
      </w:r>
    </w:p>
    <w:p>
      <w:pPr>
        <w:pStyle w:val="Heading3"/>
      </w:pPr>
      <w:r>
        <w:t>Teacher Reports</w:t>
      </w:r>
    </w:p>
    <w:tbl>
      <w:tblPr>
        <w:tblStyle w:val="TableGrid"/>
        <w:tblW w:type="auto" w:w="0"/>
        <w:tblLook w:firstColumn="1" w:firstRow="1" w:lastColumn="0" w:lastRow="0" w:noHBand="0" w:noVBand="1" w:val="04A0"/>
      </w:tblPr>
      <w:tblGrid>
        <w:gridCol w:w="4561"/>
        <w:gridCol w:w="4561"/>
      </w:tblGrid>
      <w:tr>
        <w:tc>
          <w:tcPr>
            <w:tcW w:type="dxa" w:w="3168"/>
            <w:shd w:val="clear" w:color="auto" w:fill="1F4E79"/>
          </w:tcPr>
          <w:p>
            <w:pPr>
              <w:jc w:val="center"/>
            </w:pPr>
            <w:r>
              <w:rPr>
                <w:b/>
                <w:color w:val="FFFFFF"/>
              </w:rPr>
              <w:t>Report</w:t>
            </w:r>
          </w:p>
        </w:tc>
        <w:tc>
          <w:tcPr>
            <w:tcW w:type="dxa" w:w="7632"/>
            <w:shd w:val="clear" w:color="auto" w:fill="1F4E79"/>
          </w:tcPr>
          <w:p>
            <w:pPr>
              <w:jc w:val="center"/>
            </w:pPr>
            <w:r>
              <w:rPr>
                <w:b/>
                <w:color w:val="FFFFFF"/>
              </w:rPr>
              <w:t>Description</w:t>
            </w:r>
          </w:p>
        </w:tc>
      </w:tr>
      <w:tr>
        <w:tc>
          <w:tcPr>
            <w:tcW w:type="dxa" w:w="3168"/>
          </w:tcPr>
          <w:p>
            <w:r>
              <w:t>Sanctions Eligibility</w:t>
            </w:r>
          </w:p>
        </w:tc>
        <w:tc>
          <w:tcPr>
            <w:tcW w:type="dxa" w:w="7632"/>
          </w:tcPr>
          <w:p>
            <w:r>
              <w:t>Teachers who have accumulated enough unauthorised absences to qualify for disciplinary action, with full absence counts and details</w:t>
            </w:r>
          </w:p>
        </w:tc>
      </w:tr>
      <w:tr>
        <w:tc>
          <w:tcPr>
            <w:tcW w:type="dxa" w:w="3168"/>
            <w:shd w:val="clear" w:color="auto" w:fill="D6E4F0"/>
          </w:tcPr>
          <w:p>
            <w:r>
              <w:t>Unauthorised Transfers</w:t>
            </w:r>
          </w:p>
        </w:tc>
        <w:tc>
          <w:tcPr>
            <w:tcW w:type="dxa" w:w="7632"/>
            <w:shd w:val="clear" w:color="auto" w:fill="D6E4F0"/>
          </w:tcPr>
          <w:p>
            <w:r>
              <w:t>Teachers physically present at a school different from their payroll assignment</w:t>
            </w:r>
          </w:p>
        </w:tc>
      </w:tr>
      <w:tr>
        <w:tc>
          <w:tcPr>
            <w:tcW w:type="dxa" w:w="3168"/>
          </w:tcPr>
          <w:p>
            <w:r>
              <w:t>Removal Candidates</w:t>
            </w:r>
          </w:p>
        </w:tc>
        <w:tc>
          <w:tcPr>
            <w:tcW w:type="dxa" w:w="7632"/>
          </w:tcPr>
          <w:p>
            <w:r>
              <w:t>Teachers who have been long-term absent with no satisfactory reason</w:t>
            </w:r>
          </w:p>
        </w:tc>
      </w:tr>
      <w:tr>
        <w:tc>
          <w:tcPr>
            <w:tcW w:type="dxa" w:w="3168"/>
            <w:shd w:val="clear" w:color="auto" w:fill="D6E4F0"/>
          </w:tcPr>
          <w:p>
            <w:r>
              <w:t>Active Teacher List</w:t>
            </w:r>
          </w:p>
        </w:tc>
        <w:tc>
          <w:tcPr>
            <w:tcW w:type="dxa" w:w="7632"/>
            <w:shd w:val="clear" w:color="auto" w:fill="D6E4F0"/>
          </w:tcPr>
          <w:p>
            <w:r>
              <w:t>Full list of current teachers with employment status, contact details, and school assignment</w:t>
            </w:r>
          </w:p>
        </w:tc>
      </w:tr>
    </w:tbl>
    <w:p/>
    <w:p>
      <w:pPr>
        <w:pStyle w:val="Heading3"/>
      </w:pPr>
      <w:r>
        <w:t>Learner Reports</w:t>
      </w:r>
    </w:p>
    <w:tbl>
      <w:tblPr>
        <w:tblStyle w:val="TableGrid"/>
        <w:tblW w:type="auto" w:w="0"/>
        <w:tblLook w:firstColumn="1" w:firstRow="1" w:lastColumn="0" w:lastRow="0" w:noHBand="0" w:noVBand="1" w:val="04A0"/>
      </w:tblPr>
      <w:tblGrid>
        <w:gridCol w:w="4561"/>
        <w:gridCol w:w="4561"/>
      </w:tblGrid>
      <w:tr>
        <w:tc>
          <w:tcPr>
            <w:tcW w:type="dxa" w:w="3168"/>
            <w:shd w:val="clear" w:color="auto" w:fill="1F4E79"/>
          </w:tcPr>
          <w:p>
            <w:pPr>
              <w:jc w:val="center"/>
            </w:pPr>
            <w:r>
              <w:rPr>
                <w:b/>
                <w:color w:val="FFFFFF"/>
              </w:rPr>
              <w:t>Report</w:t>
            </w:r>
          </w:p>
        </w:tc>
        <w:tc>
          <w:tcPr>
            <w:tcW w:type="dxa" w:w="7632"/>
            <w:shd w:val="clear" w:color="auto" w:fill="1F4E79"/>
          </w:tcPr>
          <w:p>
            <w:pPr>
              <w:jc w:val="center"/>
            </w:pPr>
            <w:r>
              <w:rPr>
                <w:b/>
                <w:color w:val="FFFFFF"/>
              </w:rPr>
              <w:t>Description</w:t>
            </w:r>
          </w:p>
        </w:tc>
      </w:tr>
      <w:tr>
        <w:tc>
          <w:tcPr>
            <w:tcW w:type="dxa" w:w="3168"/>
          </w:tcPr>
          <w:p>
            <w:r>
              <w:t>At-Risk Learners</w:t>
            </w:r>
          </w:p>
        </w:tc>
        <w:tc>
          <w:tcPr>
            <w:tcW w:type="dxa" w:w="7632"/>
          </w:tcPr>
          <w:p>
            <w:r>
              <w:t>Learners with attendance rates below a threshold or performance scores below the passing mark</w:t>
            </w:r>
          </w:p>
        </w:tc>
      </w:tr>
      <w:tr>
        <w:tc>
          <w:tcPr>
            <w:tcW w:type="dxa" w:w="3168"/>
            <w:shd w:val="clear" w:color="auto" w:fill="D6E4F0"/>
          </w:tcPr>
          <w:p>
            <w:r>
              <w:t>Learners with Disabilities</w:t>
            </w:r>
          </w:p>
        </w:tc>
        <w:tc>
          <w:tcPr>
            <w:tcW w:type="dxa" w:w="7632"/>
            <w:shd w:val="clear" w:color="auto" w:fill="D6E4F0"/>
          </w:tcPr>
          <w:p>
            <w:r>
              <w:t>Filterable by domain, severity, school, and district using Washington Group indicators</w:t>
            </w:r>
          </w:p>
        </w:tc>
      </w:tr>
      <w:tr>
        <w:tc>
          <w:tcPr>
            <w:tcW w:type="dxa" w:w="3168"/>
          </w:tcPr>
          <w:p>
            <w:r>
              <w:t>Unassigned Learners</w:t>
            </w:r>
          </w:p>
        </w:tc>
        <w:tc>
          <w:tcPr>
            <w:tcW w:type="dxa" w:w="7632"/>
          </w:tcPr>
          <w:p>
            <w:r>
              <w:t>Learners admitted to a school but not placed in a class — prevents attendance from being taken</w:t>
            </w:r>
          </w:p>
        </w:tc>
      </w:tr>
      <w:tr>
        <w:tc>
          <w:tcPr>
            <w:tcW w:type="dxa" w:w="3168"/>
            <w:shd w:val="clear" w:color="auto" w:fill="D6E4F0"/>
          </w:tcPr>
          <w:p>
            <w:r>
              <w:t>Duplicate Enrolments</w:t>
            </w:r>
          </w:p>
        </w:tc>
        <w:tc>
          <w:tcPr>
            <w:tcW w:type="dxa" w:w="7632"/>
            <w:shd w:val="clear" w:color="auto" w:fill="D6E4F0"/>
          </w:tcPr>
          <w:p>
            <w:r>
              <w:t>Learners who appear to be enrolled at more than one school simultaneously</w:t>
            </w:r>
          </w:p>
        </w:tc>
      </w:tr>
    </w:tbl>
    <w:p/>
    <w:p>
      <w:pPr>
        <w:pStyle w:val="Heading3"/>
      </w:pPr>
      <w:r>
        <w:t>Why It Matters</w:t>
      </w:r>
    </w:p>
    <w:p>
      <w:pPr/>
      <w:r>
        <w:t>These reports are the action layer of the system. They translate raw data into specific, actionable lists. A district education officer can open the sanctions eligibility report and immediately know which teachers need letters issued that week. An unassigned learners report shows which schools need to complete their class lists before attendance data becomes meaningful.</w:t>
      </w:r>
    </w:p>
    <w:p/>
    <w:p>
      <w:pPr>
        <w:pStyle w:val="Heading2"/>
      </w:pPr>
      <w:r>
        <w:t>4.17 Profile Completion Tracking</w:t>
      </w:r>
    </w:p>
    <w:p>
      <w:pPr>
        <w:pStyle w:val="Heading3"/>
      </w:pPr>
      <w:r>
        <w:t>What It Does</w:t>
      </w:r>
    </w:p>
    <w:p>
      <w:pPr/>
      <w:r>
        <w:t>The system calculates a profile completion percentage for both teachers and learners at each school. A complete teacher profile includes: full name, NIN, date of birth, sex, employment status, contact details, portrait photo, and at least one fingerprint registered. A complete learner profile includes: full name, NIN, date of birth, sex, guardian information, class assignment, and disability assessment.</w:t>
      </w:r>
    </w:p>
    <w:p>
      <w:pPr/>
      <w:r>
        <w:t>Schools and districts are ranked by completion percentage. Schools with low completion rates are flagged for follow-up data entry work.</w:t>
      </w:r>
    </w:p>
    <w:p>
      <w:pPr>
        <w:pStyle w:val="Heading3"/>
      </w:pPr>
      <w:r>
        <w:t>Why It Matters</w:t>
      </w:r>
    </w:p>
    <w:p>
      <w:pPr/>
      <w:r>
        <w:t>Incomplete profiles reduce the quality of every downstream report. A learner without a NIN cannot be de-duplicated against other schools. A teacher without a fingerprint cannot participate in biometric attendance. Surfacing completion rates at the school level creates accountability and helps data quality managers prioritise where field visits are needed.</w:t>
      </w:r>
    </w:p>
    <w:p>
      <w:r>
        <w:br w:type="page"/>
      </w:r>
    </w:p>
    <w:p>
      <w:pPr>
        <w:pStyle w:val="Heading1"/>
      </w:pPr>
      <w:r>
        <w:t>5. Database Schema Overview</w:t>
      </w:r>
    </w:p>
    <w:p>
      <w:pPr/>
      <w:r>
        <w:t>The central MySQL database and the Android SQLite database share the same logical schema. The following table lists the key entities.</w:t>
      </w:r>
    </w:p>
    <w:tbl>
      <w:tblPr>
        <w:tblStyle w:val="TableGrid"/>
        <w:tblW w:type="auto" w:w="0"/>
        <w:tblLook w:firstColumn="1" w:firstRow="1" w:lastColumn="0" w:lastRow="0" w:noHBand="0" w:noVBand="1" w:val="04A0"/>
      </w:tblPr>
      <w:tblGrid>
        <w:gridCol w:w="3041"/>
        <w:gridCol w:w="3041"/>
        <w:gridCol w:w="3041"/>
      </w:tblGrid>
      <w:tr>
        <w:tc>
          <w:tcPr>
            <w:tcW w:type="dxa" w:w="3600"/>
            <w:shd w:val="clear" w:color="auto" w:fill="1F4E79"/>
          </w:tcPr>
          <w:p>
            <w:pPr>
              <w:jc w:val="center"/>
            </w:pPr>
            <w:r>
              <w:rPr>
                <w:b/>
                <w:color w:val="FFFFFF"/>
              </w:rPr>
              <w:t>Table</w:t>
            </w:r>
          </w:p>
        </w:tc>
        <w:tc>
          <w:tcPr>
            <w:tcW w:type="dxa" w:w="864"/>
            <w:shd w:val="clear" w:color="auto" w:fill="1F4E79"/>
          </w:tcPr>
          <w:p>
            <w:pPr>
              <w:jc w:val="center"/>
            </w:pPr>
            <w:r>
              <w:rPr>
                <w:b/>
                <w:color w:val="FFFFFF"/>
              </w:rPr>
              <w:t>Type</w:t>
            </w:r>
          </w:p>
        </w:tc>
        <w:tc>
          <w:tcPr>
            <w:tcW w:type="dxa" w:w="6336"/>
            <w:shd w:val="clear" w:color="auto" w:fill="1F4E79"/>
          </w:tcPr>
          <w:p>
            <w:pPr>
              <w:jc w:val="center"/>
            </w:pPr>
            <w:r>
              <w:rPr>
                <w:b/>
                <w:color w:val="FFFFFF"/>
              </w:rPr>
              <w:t>Purpose</w:t>
            </w:r>
          </w:p>
        </w:tc>
      </w:tr>
      <w:tr>
        <w:tc>
          <w:tcPr>
            <w:tcW w:type="dxa" w:w="3600"/>
          </w:tcPr>
          <w:p>
            <w:r>
              <w:t>person</w:t>
            </w:r>
          </w:p>
        </w:tc>
        <w:tc>
          <w:tcPr>
            <w:tcW w:type="dxa" w:w="864"/>
          </w:tcPr>
          <w:p>
            <w:r>
              <w:t>Bi</w:t>
            </w:r>
          </w:p>
        </w:tc>
        <w:tc>
          <w:tcPr>
            <w:tcW w:type="dxa" w:w="6336"/>
          </w:tcPr>
          <w:p>
            <w:r>
              <w:t>Base individual record for all teachers, learners, and guardians</w:t>
            </w:r>
          </w:p>
        </w:tc>
      </w:tr>
      <w:tr>
        <w:tc>
          <w:tcPr>
            <w:tcW w:type="dxa" w:w="3600"/>
            <w:shd w:val="clear" w:color="auto" w:fill="D6E4F0"/>
          </w:tcPr>
          <w:p>
            <w:r>
              <w:t>teacher</w:t>
            </w:r>
          </w:p>
        </w:tc>
        <w:tc>
          <w:tcPr>
            <w:tcW w:type="dxa" w:w="864"/>
            <w:shd w:val="clear" w:color="auto" w:fill="D6E4F0"/>
          </w:tcPr>
          <w:p>
            <w:r>
              <w:t>Bi</w:t>
            </w:r>
          </w:p>
        </w:tc>
        <w:tc>
          <w:tcPr>
            <w:tcW w:type="dxa" w:w="6336"/>
            <w:shd w:val="clear" w:color="auto" w:fill="D6E4F0"/>
          </w:tcPr>
          <w:p>
            <w:r>
              <w:t>Teacher-specific fields: PIN, nassit, employment status, school, role</w:t>
            </w:r>
          </w:p>
        </w:tc>
      </w:tr>
      <w:tr>
        <w:tc>
          <w:tcPr>
            <w:tcW w:type="dxa" w:w="3600"/>
          </w:tcPr>
          <w:p>
            <w:r>
              <w:t>teacher_payroll</w:t>
            </w:r>
          </w:p>
        </w:tc>
        <w:tc>
          <w:tcPr>
            <w:tcW w:type="dxa" w:w="864"/>
          </w:tcPr>
          <w:p>
            <w:r>
              <w:t>Uni</w:t>
            </w:r>
          </w:p>
        </w:tc>
        <w:tc>
          <w:tcPr>
            <w:tcW w:type="dxa" w:w="6336"/>
          </w:tcPr>
          <w:p>
            <w:r>
              <w:t>Government payroll register (source of truth for payroll teachers and non-payroll candidates)</w:t>
            </w:r>
          </w:p>
        </w:tc>
      </w:tr>
      <w:tr>
        <w:tc>
          <w:tcPr>
            <w:tcW w:type="dxa" w:w="3600"/>
            <w:shd w:val="clear" w:color="auto" w:fill="D6E4F0"/>
          </w:tcPr>
          <w:p>
            <w:r>
              <w:t>learner</w:t>
            </w:r>
          </w:p>
        </w:tc>
        <w:tc>
          <w:tcPr>
            <w:tcW w:type="dxa" w:w="864"/>
            <w:shd w:val="clear" w:color="auto" w:fill="D6E4F0"/>
          </w:tcPr>
          <w:p>
            <w:r>
              <w:t>Bi</w:t>
            </w:r>
          </w:p>
        </w:tc>
        <w:tc>
          <w:tcPr>
            <w:tcW w:type="dxa" w:w="6336"/>
            <w:shd w:val="clear" w:color="auto" w:fill="D6E4F0"/>
          </w:tcPr>
          <w:p>
            <w:r>
              <w:t>Learner-specific fields: disabilities, maternal status, guardian link, language</w:t>
            </w:r>
          </w:p>
        </w:tc>
      </w:tr>
      <w:tr>
        <w:tc>
          <w:tcPr>
            <w:tcW w:type="dxa" w:w="3600"/>
          </w:tcPr>
          <w:p>
            <w:r>
              <w:t>school</w:t>
            </w:r>
          </w:p>
        </w:tc>
        <w:tc>
          <w:tcPr>
            <w:tcW w:type="dxa" w:w="864"/>
          </w:tcPr>
          <w:p>
            <w:r>
              <w:t>Bi</w:t>
            </w:r>
          </w:p>
        </w:tc>
        <w:tc>
          <w:tcPr>
            <w:tcW w:type="dxa" w:w="6336"/>
          </w:tcPr>
          <w:p>
            <w:r>
              <w:t>School records: EMIS ID, payroll SID, facilities OIDs, coordinates</w:t>
            </w:r>
          </w:p>
        </w:tc>
      </w:tr>
      <w:tr>
        <w:tc>
          <w:tcPr>
            <w:tcW w:type="dxa" w:w="3600"/>
            <w:shd w:val="clear" w:color="auto" w:fill="D6E4F0"/>
          </w:tcPr>
          <w:p>
            <w:r>
              <w:t>school_group</w:t>
            </w:r>
          </w:p>
        </w:tc>
        <w:tc>
          <w:tcPr>
            <w:tcW w:type="dxa" w:w="864"/>
            <w:shd w:val="clear" w:color="auto" w:fill="D6E4F0"/>
          </w:tcPr>
          <w:p>
            <w:r>
              <w:t>Bi</w:t>
            </w:r>
          </w:p>
        </w:tc>
        <w:tc>
          <w:tcPr>
            <w:tcW w:type="dxa" w:w="6336"/>
            <w:shd w:val="clear" w:color="auto" w:fill="D6E4F0"/>
          </w:tcPr>
          <w:p>
            <w:r>
              <w:t>Class/group organisation with teacher assignment and learner counts</w:t>
            </w:r>
          </w:p>
        </w:tc>
      </w:tr>
      <w:tr>
        <w:tc>
          <w:tcPr>
            <w:tcW w:type="dxa" w:w="3600"/>
          </w:tcPr>
          <w:p>
            <w:r>
              <w:t>school_learner_admission</w:t>
            </w:r>
          </w:p>
        </w:tc>
        <w:tc>
          <w:tcPr>
            <w:tcW w:type="dxa" w:w="864"/>
          </w:tcPr>
          <w:p>
            <w:r>
              <w:t>Bi</w:t>
            </w:r>
          </w:p>
        </w:tc>
        <w:tc>
          <w:tcPr>
            <w:tcW w:type="dxa" w:w="6336"/>
          </w:tcPr>
          <w:p>
            <w:r>
              <w:t>School entry and exit records per learner</w:t>
            </w:r>
          </w:p>
        </w:tc>
      </w:tr>
      <w:tr>
        <w:tc>
          <w:tcPr>
            <w:tcW w:type="dxa" w:w="3600"/>
            <w:shd w:val="clear" w:color="auto" w:fill="D6E4F0"/>
          </w:tcPr>
          <w:p>
            <w:r>
              <w:t>school_learner_enrolment</w:t>
            </w:r>
          </w:p>
        </w:tc>
        <w:tc>
          <w:tcPr>
            <w:tcW w:type="dxa" w:w="864"/>
            <w:shd w:val="clear" w:color="auto" w:fill="D6E4F0"/>
          </w:tcPr>
          <w:p>
            <w:r>
              <w:t>Bi</w:t>
            </w:r>
          </w:p>
        </w:tc>
        <w:tc>
          <w:tcPr>
            <w:tcW w:type="dxa" w:w="6336"/>
            <w:shd w:val="clear" w:color="auto" w:fill="D6E4F0"/>
          </w:tcPr>
          <w:p>
            <w:r>
              <w:t>Learner enrolment in a class for a specific academic year</w:t>
            </w:r>
          </w:p>
        </w:tc>
      </w:tr>
      <w:tr>
        <w:tc>
          <w:tcPr>
            <w:tcW w:type="dxa" w:w="3600"/>
          </w:tcPr>
          <w:p>
            <w:r>
              <w:t>person_attendance</w:t>
            </w:r>
          </w:p>
        </w:tc>
        <w:tc>
          <w:tcPr>
            <w:tcW w:type="dxa" w:w="864"/>
          </w:tcPr>
          <w:p>
            <w:r>
              <w:t>Bi</w:t>
            </w:r>
          </w:p>
        </w:tc>
        <w:tc>
          <w:tcPr>
            <w:tcW w:type="dxa" w:w="6336"/>
          </w:tcPr>
          <w:p>
            <w:r>
              <w:t>Daily attendance with biometric method and GPS location</w:t>
            </w:r>
          </w:p>
        </w:tc>
      </w:tr>
      <w:tr>
        <w:tc>
          <w:tcPr>
            <w:tcW w:type="dxa" w:w="3600"/>
            <w:shd w:val="clear" w:color="auto" w:fill="D6E4F0"/>
          </w:tcPr>
          <w:p>
            <w:r>
              <w:t>teacher_timetable</w:t>
            </w:r>
          </w:p>
        </w:tc>
        <w:tc>
          <w:tcPr>
            <w:tcW w:type="dxa" w:w="864"/>
            <w:shd w:val="clear" w:color="auto" w:fill="D6E4F0"/>
          </w:tcPr>
          <w:p>
            <w:r>
              <w:t>Bi</w:t>
            </w:r>
          </w:p>
        </w:tc>
        <w:tc>
          <w:tcPr>
            <w:tcW w:type="dxa" w:w="6336"/>
            <w:shd w:val="clear" w:color="auto" w:fill="D6E4F0"/>
          </w:tcPr>
          <w:p>
            <w:r>
              <w:t>Teacher lesson schedule by subject, class, day, and time</w:t>
            </w:r>
          </w:p>
        </w:tc>
      </w:tr>
      <w:tr>
        <w:tc>
          <w:tcPr>
            <w:tcW w:type="dxa" w:w="3600"/>
          </w:tcPr>
          <w:p>
            <w:r>
              <w:t>school_academic_year</w:t>
            </w:r>
          </w:p>
        </w:tc>
        <w:tc>
          <w:tcPr>
            <w:tcW w:type="dxa" w:w="864"/>
          </w:tcPr>
          <w:p>
            <w:r>
              <w:t>Uni</w:t>
            </w:r>
          </w:p>
        </w:tc>
        <w:tc>
          <w:tcPr>
            <w:tcW w:type="dxa" w:w="6336"/>
          </w:tcPr>
          <w:p>
            <w:r>
              <w:t>Active academic year definition with date boundaries</w:t>
            </w:r>
          </w:p>
        </w:tc>
      </w:tr>
      <w:tr>
        <w:tc>
          <w:tcPr>
            <w:tcW w:type="dxa" w:w="3600"/>
            <w:shd w:val="clear" w:color="auto" w:fill="D6E4F0"/>
          </w:tcPr>
          <w:p>
            <w:r>
              <w:t>school_feeding</w:t>
            </w:r>
          </w:p>
        </w:tc>
        <w:tc>
          <w:tcPr>
            <w:tcW w:type="dxa" w:w="864"/>
            <w:shd w:val="clear" w:color="auto" w:fill="D6E4F0"/>
          </w:tcPr>
          <w:p>
            <w:r>
              <w:t>Bi</w:t>
            </w:r>
          </w:p>
        </w:tc>
        <w:tc>
          <w:tcPr>
            <w:tcW w:type="dxa" w:w="6336"/>
            <w:shd w:val="clear" w:color="auto" w:fill="D6E4F0"/>
          </w:tcPr>
          <w:p>
            <w:r>
              <w:t>Food supply records per school per feeding period</w:t>
            </w:r>
          </w:p>
        </w:tc>
      </w:tr>
      <w:tr>
        <w:tc>
          <w:tcPr>
            <w:tcW w:type="dxa" w:w="3600"/>
          </w:tcPr>
          <w:p>
            <w:r>
              <w:t>school_feeding_stock</w:t>
            </w:r>
          </w:p>
        </w:tc>
        <w:tc>
          <w:tcPr>
            <w:tcW w:type="dxa" w:w="864"/>
          </w:tcPr>
          <w:p>
            <w:r>
              <w:t>Bi</w:t>
            </w:r>
          </w:p>
        </w:tc>
        <w:tc>
          <w:tcPr>
            <w:tcW w:type="dxa" w:w="6336"/>
          </w:tcPr>
          <w:p>
            <w:r>
              <w:t>Monthly stock levels for each commodity</w:t>
            </w:r>
          </w:p>
        </w:tc>
      </w:tr>
      <w:tr>
        <w:tc>
          <w:tcPr>
            <w:tcW w:type="dxa" w:w="3600"/>
            <w:shd w:val="clear" w:color="auto" w:fill="D6E4F0"/>
          </w:tcPr>
          <w:p>
            <w:r>
              <w:t>learner_performance</w:t>
            </w:r>
          </w:p>
        </w:tc>
        <w:tc>
          <w:tcPr>
            <w:tcW w:type="dxa" w:w="864"/>
            <w:shd w:val="clear" w:color="auto" w:fill="D6E4F0"/>
          </w:tcPr>
          <w:p>
            <w:r>
              <w:t>Bi</w:t>
            </w:r>
          </w:p>
        </w:tc>
        <w:tc>
          <w:tcPr>
            <w:tcW w:type="dxa" w:w="6336"/>
            <w:shd w:val="clear" w:color="auto" w:fill="D6E4F0"/>
          </w:tcPr>
          <w:p>
            <w:r>
              <w:t>Assessment scores by term, subject, and assessment number</w:t>
            </w:r>
          </w:p>
        </w:tc>
      </w:tr>
      <w:tr>
        <w:tc>
          <w:tcPr>
            <w:tcW w:type="dxa" w:w="3600"/>
          </w:tcPr>
          <w:p>
            <w:r>
              <w:t>media_photo</w:t>
            </w:r>
          </w:p>
        </w:tc>
        <w:tc>
          <w:tcPr>
            <w:tcW w:type="dxa" w:w="864"/>
          </w:tcPr>
          <w:p>
            <w:r>
              <w:t>Bi</w:t>
            </w:r>
          </w:p>
        </w:tc>
        <w:tc>
          <w:tcPr>
            <w:tcW w:type="dxa" w:w="6336"/>
          </w:tcPr>
          <w:p>
            <w:r>
              <w:t>Base64-encoded photos (portraits and attendance evidence)</w:t>
            </w:r>
          </w:p>
        </w:tc>
      </w:tr>
      <w:tr>
        <w:tc>
          <w:tcPr>
            <w:tcW w:type="dxa" w:w="3600"/>
            <w:shd w:val="clear" w:color="auto" w:fill="D6E4F0"/>
          </w:tcPr>
          <w:p>
            <w:r>
              <w:t>person_fingerprint</w:t>
            </w:r>
          </w:p>
        </w:tc>
        <w:tc>
          <w:tcPr>
            <w:tcW w:type="dxa" w:w="864"/>
            <w:shd w:val="clear" w:color="auto" w:fill="D6E4F0"/>
          </w:tcPr>
          <w:p>
            <w:r>
              <w:t>Bi</w:t>
            </w:r>
          </w:p>
        </w:tc>
        <w:tc>
          <w:tcPr>
            <w:tcW w:type="dxa" w:w="6336"/>
            <w:shd w:val="clear" w:color="auto" w:fill="D6E4F0"/>
          </w:tcPr>
          <w:p>
            <w:r>
              <w:t>Biometric fingerprint template data (up to 10 per person)</w:t>
            </w:r>
          </w:p>
        </w:tc>
      </w:tr>
      <w:tr>
        <w:tc>
          <w:tcPr>
            <w:tcW w:type="dxa" w:w="3600"/>
          </w:tcPr>
          <w:p>
            <w:r>
              <w:t>option_list</w:t>
            </w:r>
          </w:p>
        </w:tc>
        <w:tc>
          <w:tcPr>
            <w:tcW w:type="dxa" w:w="864"/>
          </w:tcPr>
          <w:p>
            <w:r>
              <w:t>Uni</w:t>
            </w:r>
          </w:p>
        </w:tc>
        <w:tc>
          <w:tcPr>
            <w:tcW w:type="dxa" w:w="6336"/>
          </w:tcPr>
          <w:p>
            <w:r>
              <w:t>Master OID definitions (employment status, disability levels, absence reasons, etc.)</w:t>
            </w:r>
          </w:p>
        </w:tc>
      </w:tr>
      <w:tr>
        <w:tc>
          <w:tcPr>
            <w:tcW w:type="dxa" w:w="3600"/>
            <w:shd w:val="clear" w:color="auto" w:fill="D6E4F0"/>
          </w:tcPr>
          <w:p>
            <w:r>
              <w:t>geo</w:t>
            </w:r>
          </w:p>
        </w:tc>
        <w:tc>
          <w:tcPr>
            <w:tcW w:type="dxa" w:w="864"/>
            <w:shd w:val="clear" w:color="auto" w:fill="D6E4F0"/>
          </w:tcPr>
          <w:p>
            <w:r>
              <w:t>Uni</w:t>
            </w:r>
          </w:p>
        </w:tc>
        <w:tc>
          <w:tcPr>
            <w:tcW w:type="dxa" w:w="6336"/>
            <w:shd w:val="clear" w:color="auto" w:fill="D6E4F0"/>
          </w:tcPr>
          <w:p>
            <w:r>
              <w:t>Geographic boundaries and place names</w:t>
            </w:r>
          </w:p>
        </w:tc>
      </w:tr>
      <w:tr>
        <w:tc>
          <w:tcPr>
            <w:tcW w:type="dxa" w:w="3600"/>
          </w:tcPr>
          <w:p>
            <w:r>
              <w:t>district_office</w:t>
            </w:r>
          </w:p>
        </w:tc>
        <w:tc>
          <w:tcPr>
            <w:tcW w:type="dxa" w:w="864"/>
          </w:tcPr>
          <w:p>
            <w:r>
              <w:t>Uni</w:t>
            </w:r>
          </w:p>
        </w:tc>
        <w:tc>
          <w:tcPr>
            <w:tcW w:type="dxa" w:w="6336"/>
          </w:tcPr>
          <w:p>
            <w:r>
              <w:t>District education offices and their details</w:t>
            </w:r>
          </w:p>
        </w:tc>
      </w:tr>
    </w:tbl>
    <w:p/>
    <w:p>
      <w:pPr/>
      <w:r>
        <w:t>Type key: Uni = unidirectional (server to device only).  Bi = bidirectional (device and server).</w:t>
      </w:r>
    </w:p>
    <w:p>
      <w:r>
        <w:br w:type="page"/>
      </w:r>
    </w:p>
    <w:p>
      <w:pPr>
        <w:pStyle w:val="Heading1"/>
      </w:pPr>
      <w:r>
        <w:t>6. Key Design Decisions</w:t>
      </w:r>
    </w:p>
    <w:tbl>
      <w:tblPr>
        <w:tblStyle w:val="TableGrid"/>
        <w:tblW w:type="auto" w:w="0"/>
        <w:tblLook w:firstColumn="1" w:firstRow="1" w:lastColumn="0" w:lastRow="0" w:noHBand="0" w:noVBand="1" w:val="04A0"/>
      </w:tblPr>
      <w:tblGrid>
        <w:gridCol w:w="4561"/>
        <w:gridCol w:w="4561"/>
      </w:tblGrid>
      <w:tr>
        <w:tc>
          <w:tcPr>
            <w:tcW w:type="dxa" w:w="4320"/>
            <w:shd w:val="clear" w:color="auto" w:fill="1F4E79"/>
          </w:tcPr>
          <w:p>
            <w:pPr>
              <w:jc w:val="center"/>
            </w:pPr>
            <w:r>
              <w:rPr>
                <w:b/>
                <w:color w:val="FFFFFF"/>
              </w:rPr>
              <w:t>Decision</w:t>
            </w:r>
          </w:p>
        </w:tc>
        <w:tc>
          <w:tcPr>
            <w:tcW w:type="dxa" w:w="6480"/>
            <w:shd w:val="clear" w:color="auto" w:fill="1F4E79"/>
          </w:tcPr>
          <w:p>
            <w:pPr>
              <w:jc w:val="center"/>
            </w:pPr>
            <w:r>
              <w:rPr>
                <w:b/>
                <w:color w:val="FFFFFF"/>
              </w:rPr>
              <w:t>Rationale</w:t>
            </w:r>
          </w:p>
        </w:tc>
      </w:tr>
      <w:tr>
        <w:tc>
          <w:tcPr>
            <w:tcW w:type="dxa" w:w="4320"/>
          </w:tcPr>
          <w:p>
            <w:r>
              <w:t>Offline-first with sync</w:t>
            </w:r>
          </w:p>
        </w:tc>
        <w:tc>
          <w:tcPr>
            <w:tcW w:type="dxa" w:w="6480"/>
          </w:tcPr>
          <w:p>
            <w:r>
              <w:t>Unreliable or absent internet connectivity in Sierra Leone schools</w:t>
            </w:r>
          </w:p>
        </w:tc>
      </w:tr>
      <w:tr>
        <w:tc>
          <w:tcPr>
            <w:tcW w:type="dxa" w:w="4320"/>
            <w:shd w:val="clear" w:color="auto" w:fill="D6E4F0"/>
          </w:tcPr>
          <w:p>
            <w:r>
              <w:t>SQLCipher database encryption</w:t>
            </w:r>
          </w:p>
        </w:tc>
        <w:tc>
          <w:tcPr>
            <w:tcW w:type="dxa" w:w="6480"/>
            <w:shd w:val="clear" w:color="auto" w:fill="D6E4F0"/>
          </w:tcPr>
          <w:p>
            <w:r>
              <w:t>Sensitive education data on devices that may be lost or stolen</w:t>
            </w:r>
          </w:p>
        </w:tc>
      </w:tr>
      <w:tr>
        <w:tc>
          <w:tcPr>
            <w:tcW w:type="dxa" w:w="4320"/>
          </w:tcPr>
          <w:p>
            <w:r>
              <w:t>UUIDs as primary keys</w:t>
            </w:r>
          </w:p>
        </w:tc>
        <w:tc>
          <w:tcPr>
            <w:tcW w:type="dxa" w:w="6480"/>
          </w:tcPr>
          <w:p>
            <w:r>
              <w:t>Enables conflict-free merging of records created on multiple offline devices</w:t>
            </w:r>
          </w:p>
        </w:tc>
      </w:tr>
      <w:tr>
        <w:tc>
          <w:tcPr>
            <w:tcW w:type="dxa" w:w="4320"/>
            <w:shd w:val="clear" w:color="auto" w:fill="D6E4F0"/>
          </w:tcPr>
          <w:p>
            <w:r>
              <w:t>Biometric attendance</w:t>
            </w:r>
          </w:p>
        </w:tc>
        <w:tc>
          <w:tcPr>
            <w:tcW w:type="dxa" w:w="6480"/>
            <w:shd w:val="clear" w:color="auto" w:fill="D6E4F0"/>
          </w:tcPr>
          <w:p>
            <w:r>
              <w:t>Prevents proxy sign-in and ghost teacher fraud</w:t>
            </w:r>
          </w:p>
        </w:tc>
      </w:tr>
      <w:tr>
        <w:tc>
          <w:tcPr>
            <w:tcW w:type="dxa" w:w="4320"/>
          </w:tcPr>
          <w:p>
            <w:r>
              <w:t>Soft deletes (deleted_at)</w:t>
            </w:r>
          </w:p>
        </w:tc>
        <w:tc>
          <w:tcPr>
            <w:tcW w:type="dxa" w:w="6480"/>
          </w:tcPr>
          <w:p>
            <w:r>
              <w:t>Preserves full audit trail; no data is ever permanently destroyed</w:t>
            </w:r>
          </w:p>
        </w:tc>
      </w:tr>
      <w:tr>
        <w:tc>
          <w:tcPr>
            <w:tcW w:type="dxa" w:w="4320"/>
            <w:shd w:val="clear" w:color="auto" w:fill="D6E4F0"/>
          </w:tcPr>
          <w:p>
            <w:r>
              <w:t>Scope-based access control</w:t>
            </w:r>
          </w:p>
        </w:tc>
        <w:tc>
          <w:tcPr>
            <w:tcW w:type="dxa" w:w="6480"/>
            <w:shd w:val="clear" w:color="auto" w:fill="D6E4F0"/>
          </w:tcPr>
          <w:p>
            <w:r>
              <w:t>District officers only see their district; no cross-district data leakage</w:t>
            </w:r>
          </w:p>
        </w:tc>
      </w:tr>
      <w:tr>
        <w:tc>
          <w:tcPr>
            <w:tcW w:type="dxa" w:w="4320"/>
          </w:tcPr>
          <w:p>
            <w:r>
              <w:t>'None is exclusive' enforcement</w:t>
            </w:r>
          </w:p>
        </w:tc>
        <w:tc>
          <w:tcPr>
            <w:tcW w:type="dxa" w:w="6480"/>
          </w:tcPr>
          <w:p>
            <w:r>
              <w:t>Prevents logically contradictory facility data from entering the record</w:t>
            </w:r>
          </w:p>
        </w:tc>
      </w:tr>
      <w:tr>
        <w:tc>
          <w:tcPr>
            <w:tcW w:type="dxa" w:w="4320"/>
            <w:shd w:val="clear" w:color="auto" w:fill="D6E4F0"/>
          </w:tcPr>
          <w:p>
            <w:r>
              <w:t>Versioned sync protocol (V0/V1/V3)</w:t>
            </w:r>
          </w:p>
        </w:tc>
        <w:tc>
          <w:tcPr>
            <w:tcW w:type="dxa" w:w="6480"/>
            <w:shd w:val="clear" w:color="auto" w:fill="D6E4F0"/>
          </w:tcPr>
          <w:p>
            <w:r>
              <w:t>Allows gradual migration of field devices across protocol versions without forcing simultaneous updates</w:t>
            </w:r>
          </w:p>
        </w:tc>
      </w:tr>
      <w:tr>
        <w:tc>
          <w:tcPr>
            <w:tcW w:type="dxa" w:w="4320"/>
          </w:tcPr>
          <w:p>
            <w:r>
              <w:t>Washington Group disability indicators</w:t>
            </w:r>
          </w:p>
        </w:tc>
        <w:tc>
          <w:tcPr>
            <w:tcW w:type="dxa" w:w="6480"/>
          </w:tcPr>
          <w:p>
            <w:r>
              <w:t>Internationally recognised methodology for school-level disability tracking, enabling Sierra Leone data to be compared globally</w:t>
            </w:r>
          </w:p>
        </w:tc>
      </w:tr>
      <w:tr>
        <w:tc>
          <w:tcPr>
            <w:tcW w:type="dxa" w:w="4320"/>
            <w:shd w:val="clear" w:color="auto" w:fill="D6E4F0"/>
          </w:tcPr>
          <w:p>
            <w:r>
              <w:t>Server-side academic year guards</w:t>
            </w:r>
          </w:p>
        </w:tc>
        <w:tc>
          <w:tcPr>
            <w:tcW w:type="dxa" w:w="6480"/>
            <w:shd w:val="clear" w:color="auto" w:fill="D6E4F0"/>
          </w:tcPr>
          <w:p>
            <w:r>
              <w:t>Prevents past years being edited or activated even if the UI is bypassed</w:t>
            </w:r>
          </w:p>
        </w:tc>
      </w:tr>
      <w:tr>
        <w:tc>
          <w:tcPr>
            <w:tcW w:type="dxa" w:w="4320"/>
          </w:tcPr>
          <w:p>
            <w:r>
              <w:t>Non-payroll teacher NIN exclusion filter</w:t>
            </w:r>
          </w:p>
        </w:tc>
        <w:tc>
          <w:tcPr>
            <w:tcW w:type="dxa" w:w="6480"/>
          </w:tcPr>
          <w:p>
            <w:r>
              <w:t>Mirrors payroll PIN exclusion logic so non-payroll teachers cannot be double-registered at a school</w:t>
            </w:r>
          </w:p>
        </w:tc>
      </w:tr>
      <w:tr>
        <w:tc>
          <w:tcPr>
            <w:tcW w:type="dxa" w:w="4320"/>
            <w:shd w:val="clear" w:color="auto" w:fill="D6E4F0"/>
          </w:tcPr>
          <w:p>
            <w:r>
              <w:t>Confirmation dialogs before saving grades</w:t>
            </w:r>
          </w:p>
        </w:tc>
        <w:tc>
          <w:tcPr>
            <w:tcW w:type="dxa" w:w="6480"/>
            <w:shd w:val="clear" w:color="auto" w:fill="D6E4F0"/>
          </w:tcPr>
          <w:p>
            <w:r>
              <w:t>Reduces accidental incomplete or incorrect grade submissions</w:t>
            </w:r>
          </w:p>
        </w:tc>
      </w:tr>
    </w:tbl>
    <w:p>
      <w:r>
        <w:br w:type="page"/>
      </w:r>
    </w:p>
    <w:p>
      <w:pPr>
        <w:pStyle w:val="Heading1"/>
      </w:pPr>
      <w:r>
        <w:t>7. Data Flow Summary</w:t>
      </w:r>
    </w:p>
    <w:tbl>
      <w:tblPr>
        <w:tblStyle w:val="TableGrid"/>
        <w:tblW w:type="auto" w:w="0"/>
        <w:tblLook w:firstColumn="1" w:firstRow="1" w:lastColumn="0" w:lastRow="0" w:noHBand="0" w:noVBand="1" w:val="04A0"/>
      </w:tblPr>
      <w:tblGrid>
        <w:gridCol w:w="3041"/>
        <w:gridCol w:w="3041"/>
        <w:gridCol w:w="3041"/>
      </w:tblGrid>
      <w:tr>
        <w:tc>
          <w:tcPr>
            <w:tcW w:type="dxa" w:w="2592"/>
            <w:shd w:val="clear" w:color="auto" w:fill="1F4E79"/>
          </w:tcPr>
          <w:p>
            <w:pPr>
              <w:jc w:val="center"/>
            </w:pPr>
            <w:r>
              <w:rPr>
                <w:b/>
                <w:color w:val="FFFFFF"/>
              </w:rPr>
              <w:t>Stage</w:t>
            </w:r>
          </w:p>
        </w:tc>
        <w:tc>
          <w:tcPr>
            <w:tcW w:type="dxa" w:w="3168"/>
            <w:shd w:val="clear" w:color="auto" w:fill="1F4E79"/>
          </w:tcPr>
          <w:p>
            <w:pPr>
              <w:jc w:val="center"/>
            </w:pPr>
            <w:r>
              <w:rPr>
                <w:b/>
                <w:color w:val="FFFFFF"/>
              </w:rPr>
              <w:t>Actor</w:t>
            </w:r>
          </w:p>
        </w:tc>
        <w:tc>
          <w:tcPr>
            <w:tcW w:type="dxa" w:w="5040"/>
            <w:shd w:val="clear" w:color="auto" w:fill="1F4E79"/>
          </w:tcPr>
          <w:p>
            <w:pPr>
              <w:jc w:val="center"/>
            </w:pPr>
            <w:r>
              <w:rPr>
                <w:b/>
                <w:color w:val="FFFFFF"/>
              </w:rPr>
              <w:t>Action</w:t>
            </w:r>
          </w:p>
        </w:tc>
      </w:tr>
      <w:tr>
        <w:tc>
          <w:tcPr>
            <w:tcW w:type="dxa" w:w="2592"/>
          </w:tcPr>
          <w:p>
            <w:r>
              <w:t>1. Data Collection</w:t>
            </w:r>
          </w:p>
        </w:tc>
        <w:tc>
          <w:tcPr>
            <w:tcW w:type="dxa" w:w="3168"/>
          </w:tcPr>
          <w:p>
            <w:r>
              <w:t>Head teacher / data officer (Android)</w:t>
            </w:r>
          </w:p>
        </w:tc>
        <w:tc>
          <w:tcPr>
            <w:tcW w:type="dxa" w:w="5040"/>
          </w:tcPr>
          <w:p>
            <w:r>
              <w:t>Records attendance, profiles, feeding, and performance locally on device</w:t>
            </w:r>
          </w:p>
        </w:tc>
      </w:tr>
      <w:tr>
        <w:tc>
          <w:tcPr>
            <w:tcW w:type="dxa" w:w="2592"/>
            <w:shd w:val="clear" w:color="auto" w:fill="D6E4F0"/>
          </w:tcPr>
          <w:p>
            <w:r>
              <w:t>2. Local Storage</w:t>
            </w:r>
          </w:p>
        </w:tc>
        <w:tc>
          <w:tcPr>
            <w:tcW w:type="dxa" w:w="3168"/>
            <w:shd w:val="clear" w:color="auto" w:fill="D6E4F0"/>
          </w:tcPr>
          <w:p>
            <w:r>
              <w:t>Android SQLite (SQLCipher)</w:t>
            </w:r>
          </w:p>
        </w:tc>
        <w:tc>
          <w:tcPr>
            <w:tcW w:type="dxa" w:w="5040"/>
            <w:shd w:val="clear" w:color="auto" w:fill="D6E4F0"/>
          </w:tcPr>
          <w:p>
            <w:r>
              <w:t>All records saved with sync_flag = 1 (pending upload)</w:t>
            </w:r>
          </w:p>
        </w:tc>
      </w:tr>
      <w:tr>
        <w:tc>
          <w:tcPr>
            <w:tcW w:type="dxa" w:w="2592"/>
          </w:tcPr>
          <w:p>
            <w:r>
              <w:t>3. Sync Upload</w:t>
            </w:r>
          </w:p>
        </w:tc>
        <w:tc>
          <w:tcPr>
            <w:tcW w:type="dxa" w:w="3168"/>
          </w:tcPr>
          <w:p>
            <w:r>
              <w:t>Android → Laravel API</w:t>
            </w:r>
          </w:p>
        </w:tc>
        <w:tc>
          <w:tcPr>
            <w:tcW w:type="dxa" w:w="5040"/>
          </w:tcPr>
          <w:p>
            <w:r>
              <w:t>Flagged records POSTed to /mobile/sync/upload; sync_flag cleared on success</w:t>
            </w:r>
          </w:p>
        </w:tc>
      </w:tr>
      <w:tr>
        <w:tc>
          <w:tcPr>
            <w:tcW w:type="dxa" w:w="2592"/>
            <w:shd w:val="clear" w:color="auto" w:fill="D6E4F0"/>
          </w:tcPr>
          <w:p>
            <w:r>
              <w:t>4. Server Storage</w:t>
            </w:r>
          </w:p>
        </w:tc>
        <w:tc>
          <w:tcPr>
            <w:tcW w:type="dxa" w:w="3168"/>
            <w:shd w:val="clear" w:color="auto" w:fill="D6E4F0"/>
          </w:tcPr>
          <w:p>
            <w:r>
              <w:t>Laravel + MySQL</w:t>
            </w:r>
          </w:p>
        </w:tc>
        <w:tc>
          <w:tcPr>
            <w:tcW w:type="dxa" w:w="5040"/>
            <w:shd w:val="clear" w:color="auto" w:fill="D6E4F0"/>
          </w:tcPr>
          <w:p>
            <w:r>
              <w:t>Records upserted with synced_at, synced_by, synced_by_install_id</w:t>
            </w:r>
          </w:p>
        </w:tc>
      </w:tr>
      <w:tr>
        <w:tc>
          <w:tcPr>
            <w:tcW w:type="dxa" w:w="2592"/>
          </w:tcPr>
          <w:p>
            <w:r>
              <w:t>5. Reference Sync</w:t>
            </w:r>
          </w:p>
        </w:tc>
        <w:tc>
          <w:tcPr>
            <w:tcW w:type="dxa" w:w="3168"/>
          </w:tcPr>
          <w:p>
            <w:r>
              <w:t>Laravel API → Android</w:t>
            </w:r>
          </w:p>
        </w:tc>
        <w:tc>
          <w:tcPr>
            <w:tcW w:type="dxa" w:w="5040"/>
          </w:tcPr>
          <w:p>
            <w:r>
              <w:t>Option lists, academic years, payroll register downloaded to device</w:t>
            </w:r>
          </w:p>
        </w:tc>
      </w:tr>
      <w:tr>
        <w:tc>
          <w:tcPr>
            <w:tcW w:type="dxa" w:w="2592"/>
            <w:shd w:val="clear" w:color="auto" w:fill="D6E4F0"/>
          </w:tcPr>
          <w:p>
            <w:r>
              <w:t>6. Web Reporting</w:t>
            </w:r>
          </w:p>
        </w:tc>
        <w:tc>
          <w:tcPr>
            <w:tcW w:type="dxa" w:w="3168"/>
            <w:shd w:val="clear" w:color="auto" w:fill="D6E4F0"/>
          </w:tcPr>
          <w:p>
            <w:r>
              <w:t>Laravel + MySQL → Browser</w:t>
            </w:r>
          </w:p>
        </w:tc>
        <w:tc>
          <w:tcPr>
            <w:tcW w:type="dxa" w:w="5040"/>
            <w:shd w:val="clear" w:color="auto" w:fill="D6E4F0"/>
          </w:tcPr>
          <w:p>
            <w:r>
              <w:t>District officers and ministry staff view live analytics, maps, and reports</w:t>
            </w:r>
          </w:p>
        </w:tc>
      </w:tr>
      <w:tr>
        <w:tc>
          <w:tcPr>
            <w:tcW w:type="dxa" w:w="2592"/>
          </w:tcPr>
          <w:p>
            <w:r>
              <w:t>7. Admin Actions</w:t>
            </w:r>
          </w:p>
        </w:tc>
        <w:tc>
          <w:tcPr>
            <w:tcW w:type="dxa" w:w="3168"/>
          </w:tcPr>
          <w:p>
            <w:r>
              <w:t>Web dashboard → MySQL</w:t>
            </w:r>
          </w:p>
        </w:tc>
        <w:tc>
          <w:tcPr>
            <w:tcW w:type="dxa" w:w="5040"/>
          </w:tcPr>
          <w:p>
            <w:r>
              <w:t>User management, scope groups, academic years, bulk uploads</w:t>
            </w:r>
          </w:p>
        </w:tc>
      </w:tr>
    </w:tbl>
    <w:p>
      <w:r>
        <w:br w:type="page"/>
      </w:r>
    </w:p>
    <w:p>
      <w:pPr>
        <w:pStyle w:val="Heading1"/>
      </w:pPr>
      <w:r>
        <w:t>8. User Roles</w:t>
      </w:r>
    </w:p>
    <w:tbl>
      <w:tblPr>
        <w:tblStyle w:val="TableGrid"/>
        <w:tblW w:type="auto" w:w="0"/>
        <w:tblLook w:firstColumn="1" w:firstRow="1" w:lastColumn="0" w:lastRow="0" w:noHBand="0" w:noVBand="1" w:val="04A0"/>
      </w:tblPr>
      <w:tblGrid>
        <w:gridCol w:w="3041"/>
        <w:gridCol w:w="3041"/>
        <w:gridCol w:w="3041"/>
      </w:tblGrid>
      <w:tr>
        <w:tc>
          <w:tcPr>
            <w:tcW w:type="dxa" w:w="2880"/>
            <w:shd w:val="clear" w:color="auto" w:fill="1F4E79"/>
          </w:tcPr>
          <w:p>
            <w:pPr>
              <w:jc w:val="center"/>
            </w:pPr>
            <w:r>
              <w:rPr>
                <w:b/>
                <w:color w:val="FFFFFF"/>
              </w:rPr>
              <w:t>Role</w:t>
            </w:r>
          </w:p>
        </w:tc>
        <w:tc>
          <w:tcPr>
            <w:tcW w:type="dxa" w:w="1728"/>
            <w:shd w:val="clear" w:color="auto" w:fill="1F4E79"/>
          </w:tcPr>
          <w:p>
            <w:pPr>
              <w:jc w:val="center"/>
            </w:pPr>
            <w:r>
              <w:rPr>
                <w:b/>
                <w:color w:val="FFFFFF"/>
              </w:rPr>
              <w:t>Platform</w:t>
            </w:r>
          </w:p>
        </w:tc>
        <w:tc>
          <w:tcPr>
            <w:tcW w:type="dxa" w:w="6192"/>
            <w:shd w:val="clear" w:color="auto" w:fill="1F4E79"/>
          </w:tcPr>
          <w:p>
            <w:pPr>
              <w:jc w:val="center"/>
            </w:pPr>
            <w:r>
              <w:rPr>
                <w:b/>
                <w:color w:val="FFFFFF"/>
              </w:rPr>
              <w:t>Permissions</w:t>
            </w:r>
          </w:p>
        </w:tc>
      </w:tr>
      <w:tr>
        <w:tc>
          <w:tcPr>
            <w:tcW w:type="dxa" w:w="2880"/>
          </w:tcPr>
          <w:p>
            <w:r>
              <w:t>Head Teacher / Data Officer</w:t>
            </w:r>
          </w:p>
        </w:tc>
        <w:tc>
          <w:tcPr>
            <w:tcW w:type="dxa" w:w="1728"/>
          </w:tcPr>
          <w:p>
            <w:r>
              <w:t>Android</w:t>
            </w:r>
          </w:p>
        </w:tc>
        <w:tc>
          <w:tcPr>
            <w:tcW w:type="dxa" w:w="6192"/>
          </w:tcPr>
          <w:p>
            <w:r>
              <w:t>Record attendance for teachers and learners; manage school profile, classes, and feeding data; enter performance scores; add/remove teachers and learners</w:t>
            </w:r>
          </w:p>
        </w:tc>
      </w:tr>
      <w:tr>
        <w:tc>
          <w:tcPr>
            <w:tcW w:type="dxa" w:w="2880"/>
            <w:shd w:val="clear" w:color="auto" w:fill="D6E4F0"/>
          </w:tcPr>
          <w:p>
            <w:r>
              <w:t>District Education Officer</w:t>
            </w:r>
          </w:p>
        </w:tc>
        <w:tc>
          <w:tcPr>
            <w:tcW w:type="dxa" w:w="1728"/>
            <w:shd w:val="clear" w:color="auto" w:fill="D6E4F0"/>
          </w:tcPr>
          <w:p>
            <w:r>
              <w:t>Web</w:t>
            </w:r>
          </w:p>
        </w:tc>
        <w:tc>
          <w:tcPr>
            <w:tcW w:type="dxa" w:w="6192"/>
            <w:shd w:val="clear" w:color="auto" w:fill="D6E4F0"/>
          </w:tcPr>
          <w:p>
            <w:r>
              <w:t>View attendance, reports, and analytics for all schools in their scoped district; view compliance reports</w:t>
            </w:r>
          </w:p>
        </w:tc>
      </w:tr>
      <w:tr>
        <w:tc>
          <w:tcPr>
            <w:tcW w:type="dxa" w:w="2880"/>
          </w:tcPr>
          <w:p>
            <w:r>
              <w:t>Ministry Official</w:t>
            </w:r>
          </w:p>
        </w:tc>
        <w:tc>
          <w:tcPr>
            <w:tcW w:type="dxa" w:w="1728"/>
          </w:tcPr>
          <w:p>
            <w:r>
              <w:t>Web</w:t>
            </w:r>
          </w:p>
        </w:tc>
        <w:tc>
          <w:tcPr>
            <w:tcW w:type="dxa" w:w="6192"/>
          </w:tcPr>
          <w:p>
            <w:r>
              <w:t>National-level dashboard with all districts; view all reports and analytics</w:t>
            </w:r>
          </w:p>
        </w:tc>
      </w:tr>
      <w:tr>
        <w:tc>
          <w:tcPr>
            <w:tcW w:type="dxa" w:w="2880"/>
            <w:shd w:val="clear" w:color="auto" w:fill="D6E4F0"/>
          </w:tcPr>
          <w:p>
            <w:r>
              <w:t>System Administrator</w:t>
            </w:r>
          </w:p>
        </w:tc>
        <w:tc>
          <w:tcPr>
            <w:tcW w:type="dxa" w:w="1728"/>
            <w:shd w:val="clear" w:color="auto" w:fill="D6E4F0"/>
          </w:tcPr>
          <w:p>
            <w:r>
              <w:t>Web</w:t>
            </w:r>
          </w:p>
        </w:tc>
        <w:tc>
          <w:tcPr>
            <w:tcW w:type="dxa" w:w="6192"/>
            <w:shd w:val="clear" w:color="auto" w:fill="D6E4F0"/>
          </w:tcPr>
          <w:p>
            <w:r>
              <w:t>Full access: user management, scope groups, academic years, district offices, bulk uploads, mobile password resets</w:t>
            </w:r>
          </w:p>
        </w:tc>
      </w:tr>
    </w:tbl>
    <w:p>
      <w:r>
        <w:br w:type="page"/>
      </w:r>
    </w:p>
    <w:p>
      <w:pPr>
        <w:pStyle w:val="Heading1"/>
      </w:pPr>
      <w:r>
        <w:t>Document Information</w:t>
      </w:r>
    </w:p>
    <w:tbl>
      <w:tblPr>
        <w:tblStyle w:val="TableGrid"/>
        <w:tblW w:type="auto" w:w="0"/>
        <w:tblLook w:firstColumn="1" w:firstRow="1" w:lastColumn="0" w:lastRow="0" w:noHBand="0" w:noVBand="1" w:val="04A0"/>
      </w:tblPr>
      <w:tblGrid>
        <w:gridCol w:w="4561"/>
        <w:gridCol w:w="4561"/>
      </w:tblGrid>
      <w:tr>
        <w:tc>
          <w:tcPr>
            <w:tcW w:type="dxa" w:w="3600"/>
            <w:shd w:val="clear" w:color="auto" w:fill="1F4E79"/>
          </w:tcPr>
          <w:p>
            <w:pPr>
              <w:jc w:val="center"/>
            </w:pPr>
            <w:r>
              <w:rPr>
                <w:b/>
                <w:color w:val="FFFFFF"/>
              </w:rPr>
              <w:t>Field</w:t>
            </w:r>
          </w:p>
        </w:tc>
        <w:tc>
          <w:tcPr>
            <w:tcW w:type="dxa" w:w="7200"/>
            <w:shd w:val="clear" w:color="auto" w:fill="1F4E79"/>
          </w:tcPr>
          <w:p>
            <w:pPr>
              <w:jc w:val="center"/>
            </w:pPr>
            <w:r>
              <w:rPr>
                <w:b/>
                <w:color w:val="FFFFFF"/>
              </w:rPr>
              <w:t>Value</w:t>
            </w:r>
          </w:p>
        </w:tc>
      </w:tr>
      <w:tr>
        <w:tc>
          <w:tcPr>
            <w:tcW w:type="dxa" w:w="3600"/>
          </w:tcPr>
          <w:p>
            <w:r>
              <w:t>Document Title</w:t>
            </w:r>
          </w:p>
        </w:tc>
        <w:tc>
          <w:tcPr>
            <w:tcW w:type="dxa" w:w="7200"/>
          </w:tcPr>
          <w:p>
            <w:r>
              <w:t>Wideya School Monitoring System — Technical Documentation</w:t>
            </w:r>
          </w:p>
        </w:tc>
      </w:tr>
      <w:tr>
        <w:tc>
          <w:tcPr>
            <w:tcW w:type="dxa" w:w="3600"/>
            <w:shd w:val="clear" w:color="auto" w:fill="D6E4F0"/>
          </w:tcPr>
          <w:p>
            <w:r>
              <w:t>Version</w:t>
            </w:r>
          </w:p>
        </w:tc>
        <w:tc>
          <w:tcPr>
            <w:tcW w:type="dxa" w:w="7200"/>
            <w:shd w:val="clear" w:color="auto" w:fill="D6E4F0"/>
          </w:tcPr>
          <w:p>
            <w:r>
              <w:t>1.0</w:t>
            </w:r>
          </w:p>
        </w:tc>
      </w:tr>
      <w:tr>
        <w:tc>
          <w:tcPr>
            <w:tcW w:type="dxa" w:w="3600"/>
          </w:tcPr>
          <w:p>
            <w:r>
              <w:t>Classification</w:t>
            </w:r>
          </w:p>
        </w:tc>
        <w:tc>
          <w:tcPr>
            <w:tcW w:type="dxa" w:w="7200"/>
          </w:tcPr>
          <w:p>
            <w:r>
              <w:t>Internal Technical Reference</w:t>
            </w:r>
          </w:p>
        </w:tc>
      </w:tr>
      <w:tr>
        <w:tc>
          <w:tcPr>
            <w:tcW w:type="dxa" w:w="3600"/>
            <w:shd w:val="clear" w:color="auto" w:fill="D6E4F0"/>
          </w:tcPr>
          <w:p>
            <w:r>
              <w:t>Organisation</w:t>
            </w:r>
          </w:p>
        </w:tc>
        <w:tc>
          <w:tcPr>
            <w:tcW w:type="dxa" w:w="7200"/>
            <w:shd w:val="clear" w:color="auto" w:fill="D6E4F0"/>
          </w:tcPr>
          <w:p>
            <w:r>
              <w:t>CGA Technologies / Ministry of Education, Sierra Leone</w:t>
            </w:r>
          </w:p>
        </w:tc>
      </w:tr>
      <w:tr>
        <w:tc>
          <w:tcPr>
            <w:tcW w:type="dxa" w:w="3600"/>
          </w:tcPr>
          <w:p>
            <w:r>
              <w:t>Platforms Covered</w:t>
            </w:r>
          </w:p>
        </w:tc>
        <w:tc>
          <w:tcPr>
            <w:tcW w:type="dxa" w:w="7200"/>
          </w:tcPr>
          <w:p>
            <w:r>
              <w:t>Laravel Web Backend + Android Mobile Application</w:t>
            </w:r>
          </w:p>
        </w:tc>
      </w:tr>
      <w:tr>
        <w:tc>
          <w:tcPr>
            <w:tcW w:type="dxa" w:w="3600"/>
            <w:shd w:val="clear" w:color="auto" w:fill="D6E4F0"/>
          </w:tcPr>
          <w:p>
            <w:r>
              <w:t>Primary Technologies</w:t>
            </w:r>
          </w:p>
        </w:tc>
        <w:tc>
          <w:tcPr>
            <w:tcW w:type="dxa" w:w="7200"/>
            <w:shd w:val="clear" w:color="auto" w:fill="D6E4F0"/>
          </w:tcPr>
          <w:p>
            <w:r>
              <w:t>PHP 8 / Laravel, Kotlin / Android, MySQL, SQLite</w:t>
            </w:r>
          </w:p>
        </w:tc>
      </w:tr>
    </w:tbl>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