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AI BUSINESS PLAN</w:t>
      </w:r>
    </w:p>
    <w:p>
      <w:pPr>
        <w:pStyle w:val="Title"/>
        <w:jc w:val="center"/>
      </w:pPr>
      <w:r>
        <w:t>talabat Group</w:t>
        <w:br/>
        <w:t>AI-Enabled Investment Allocation</w:t>
      </w:r>
    </w:p>
    <w:p>
      <w:pPr>
        <w:spacing w:before="320" w:after="480"/>
        <w:jc w:val="center"/>
      </w:pPr>
      <w:r>
        <w:t>How to allocate and govern the 2026 USD175 million programme across Everyday App and Food-leadership initiatives to maximize profitable growth and long-term platform economics.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FF2E8"/>
            <w:vAlign w:val="center"/>
          </w:tcPr>
          <w:p>
            <w:pPr>
              <w:spacing w:after="40"/>
            </w:pPr>
            <w:r>
              <w:rPr>
                <w:rFonts w:ascii="Calibri" w:hAnsi="Calibri"/>
                <w:b/>
                <w:sz w:val="17"/>
              </w:rPr>
              <w:t>Programme</w:t>
            </w:r>
          </w:p>
        </w:tc>
        <w:tc>
          <w:tcPr>
            <w:tcW w:type="dxa" w:w="4680"/>
            <w:shd w:fill="E8EEF5"/>
            <w:vAlign w:val="center"/>
          </w:tcPr>
          <w:p>
            <w:pPr>
              <w:spacing w:after="40"/>
            </w:pPr>
            <w:r>
              <w:rPr>
                <w:rFonts w:ascii="Calibri" w:hAnsi="Calibri"/>
                <w:b/>
                <w:sz w:val="17"/>
              </w:rPr>
              <w:t>AASTMT MBA · AI for Business Organizations</w:t>
            </w:r>
          </w:p>
        </w:tc>
      </w:tr>
      <w:tr>
        <w:tc>
          <w:tcPr>
            <w:tcW w:type="dxa" w:w="4680"/>
            <w:vAlign w:val="center"/>
            <w:shd w:fill="FFF2E8"/>
          </w:tcPr>
          <w:p>
            <w:pPr>
              <w:spacing w:after="40"/>
            </w:pPr>
            <w:r>
              <w:rPr>
                <w:rFonts w:ascii="Calibri" w:hAnsi="Calibri"/>
                <w:b/>
                <w:sz w:val="17"/>
              </w:rPr>
              <w:t>Team</w:t>
            </w:r>
          </w:p>
        </w:tc>
        <w:tc>
          <w:tcPr>
            <w:tcW w:type="dxa" w:w="4680"/>
            <w:vAlign w:val="center"/>
          </w:tcPr>
          <w:p>
            <w:pPr>
              <w:spacing w:after="40"/>
            </w:pPr>
            <w:r>
              <w:rPr>
                <w:rFonts w:ascii="Calibri" w:hAnsi="Calibri"/>
                <w:sz w:val="17"/>
              </w:rPr>
              <w:t>Group G02</w:t>
            </w:r>
          </w:p>
        </w:tc>
      </w:tr>
      <w:tr>
        <w:tc>
          <w:tcPr>
            <w:tcW w:type="dxa" w:w="4680"/>
            <w:vAlign w:val="center"/>
            <w:shd w:fill="FFF2E8"/>
          </w:tcPr>
          <w:p>
            <w:pPr>
              <w:spacing w:after="40"/>
            </w:pPr>
            <w:r>
              <w:rPr>
                <w:rFonts w:ascii="Calibri" w:hAnsi="Calibri"/>
                <w:b/>
                <w:sz w:val="17"/>
              </w:rPr>
              <w:t>Scope</w:t>
            </w:r>
          </w:p>
        </w:tc>
        <w:tc>
          <w:tcPr>
            <w:tcW w:type="dxa" w:w="4680"/>
            <w:vAlign w:val="center"/>
          </w:tcPr>
          <w:p>
            <w:pPr>
              <w:spacing w:after="40"/>
            </w:pPr>
            <w:r>
              <w:rPr>
                <w:rFonts w:ascii="Calibri" w:hAnsi="Calibri"/>
                <w:sz w:val="17"/>
              </w:rPr>
              <w:t>talabat Group · eight operating markets</w:t>
            </w:r>
          </w:p>
        </w:tc>
      </w:tr>
      <w:tr>
        <w:tc>
          <w:tcPr>
            <w:tcW w:type="dxa" w:w="4680"/>
            <w:vAlign w:val="center"/>
            <w:shd w:fill="FFF2E8"/>
          </w:tcPr>
          <w:p>
            <w:pPr>
              <w:spacing w:after="40"/>
            </w:pPr>
            <w:r>
              <w:rPr>
                <w:rFonts w:ascii="Calibri" w:hAnsi="Calibri"/>
                <w:b/>
                <w:sz w:val="17"/>
              </w:rPr>
              <w:t>Decision horizon</w:t>
            </w:r>
          </w:p>
        </w:tc>
        <w:tc>
          <w:tcPr>
            <w:tcW w:type="dxa" w:w="4680"/>
            <w:vAlign w:val="center"/>
          </w:tcPr>
          <w:p>
            <w:pPr>
              <w:spacing w:after="40"/>
            </w:pPr>
            <w:r>
              <w:rPr>
                <w:rFonts w:ascii="Calibri" w:hAnsi="Calibri"/>
                <w:sz w:val="17"/>
              </w:rPr>
              <w:t>2026 investment programme</w:t>
            </w:r>
          </w:p>
        </w:tc>
      </w:tr>
      <w:tr>
        <w:tc>
          <w:tcPr>
            <w:tcW w:type="dxa" w:w="4680"/>
            <w:vAlign w:val="center"/>
            <w:shd w:fill="FFF2E8"/>
          </w:tcPr>
          <w:p>
            <w:pPr>
              <w:spacing w:after="40"/>
            </w:pPr>
            <w:r>
              <w:rPr>
                <w:rFonts w:ascii="Calibri" w:hAnsi="Calibri"/>
                <w:b/>
                <w:sz w:val="17"/>
              </w:rPr>
              <w:t>Document status</w:t>
            </w:r>
          </w:p>
        </w:tc>
        <w:tc>
          <w:tcPr>
            <w:tcW w:type="dxa" w:w="4680"/>
            <w:vAlign w:val="center"/>
          </w:tcPr>
          <w:p>
            <w:pPr>
              <w:spacing w:after="40"/>
            </w:pPr>
            <w:r>
              <w:rPr>
                <w:rFonts w:ascii="Calibri" w:hAnsi="Calibri"/>
                <w:sz w:val="17"/>
              </w:rPr>
              <w:t>Final · independently verified · 24 July 2026</w:t>
            </w:r>
          </w:p>
        </w:tc>
      </w:tr>
    </w:tbl>
    <w:p/>
    <w:p>
      <w:pPr>
        <w:jc w:val="center"/>
      </w:pPr>
      <w:r>
        <w:rPr>
          <w:b/>
          <w:color w:val="FF6B00"/>
        </w:rPr>
        <w:t>Recommendation in one line</w:t>
      </w:r>
      <w:r>
        <w:br/>
        <w:t>Protect Food leadership in the evidenced GCC-3 markets, pilot talabat pro in Egypt then Iraq, continue proven Everyday App investments, and release funding through human-approved KPI gates.</w:t>
      </w:r>
    </w:p>
    <w:p>
      <w:r>
        <w:br w:type="page"/>
      </w:r>
    </w:p>
    <w:p>
      <w:pPr>
        <w:pStyle w:val="Heading1"/>
      </w:pPr>
      <w:r>
        <w:t>Contents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600"/>
            <w:vAlign w:val="center"/>
          </w:tcPr>
          <w:p>
            <w:pPr>
              <w:spacing w:after="40"/>
            </w:pPr>
            <w:r>
              <w:rPr>
                <w:rFonts w:ascii="Calibri" w:hAnsi="Calibri"/>
                <w:sz w:val="17"/>
              </w:rPr>
              <w:t>1</w:t>
            </w:r>
          </w:p>
        </w:tc>
        <w:tc>
          <w:tcPr>
            <w:tcW w:type="dxa" w:w="8760"/>
            <w:vAlign w:val="center"/>
          </w:tcPr>
          <w:p>
            <w:pPr>
              <w:spacing w:after="40"/>
            </w:pPr>
            <w:r>
              <w:rPr>
                <w:rFonts w:ascii="Calibri" w:hAnsi="Calibri"/>
                <w:sz w:val="17"/>
              </w:rPr>
              <w:t>Executive Summary</w:t>
            </w:r>
          </w:p>
        </w:tc>
      </w:tr>
      <w:tr>
        <w:tc>
          <w:tcPr>
            <w:tcW w:type="dxa" w:w="600"/>
            <w:vAlign w:val="center"/>
          </w:tcPr>
          <w:p>
            <w:pPr>
              <w:spacing w:after="40"/>
            </w:pPr>
            <w:r>
              <w:rPr>
                <w:rFonts w:ascii="Calibri" w:hAnsi="Calibri"/>
                <w:sz w:val="17"/>
              </w:rPr>
              <w:t>2</w:t>
            </w:r>
          </w:p>
        </w:tc>
        <w:tc>
          <w:tcPr>
            <w:tcW w:type="dxa" w:w="8760"/>
            <w:vAlign w:val="center"/>
          </w:tcPr>
          <w:p>
            <w:pPr>
              <w:spacing w:after="40"/>
            </w:pPr>
            <w:r>
              <w:rPr>
                <w:rFonts w:ascii="Calibri" w:hAnsi="Calibri"/>
                <w:sz w:val="17"/>
              </w:rPr>
              <w:t>Business Description</w:t>
            </w:r>
          </w:p>
        </w:tc>
      </w:tr>
      <w:tr>
        <w:tc>
          <w:tcPr>
            <w:tcW w:type="dxa" w:w="600"/>
            <w:vAlign w:val="center"/>
          </w:tcPr>
          <w:p>
            <w:pPr>
              <w:spacing w:after="40"/>
            </w:pPr>
            <w:r>
              <w:rPr>
                <w:rFonts w:ascii="Calibri" w:hAnsi="Calibri"/>
                <w:sz w:val="17"/>
              </w:rPr>
              <w:t>3</w:t>
            </w:r>
          </w:p>
        </w:tc>
        <w:tc>
          <w:tcPr>
            <w:tcW w:type="dxa" w:w="8760"/>
            <w:vAlign w:val="center"/>
          </w:tcPr>
          <w:p>
            <w:pPr>
              <w:spacing w:after="40"/>
            </w:pPr>
            <w:r>
              <w:rPr>
                <w:rFonts w:ascii="Calibri" w:hAnsi="Calibri"/>
                <w:sz w:val="17"/>
              </w:rPr>
              <w:t>Market Analysis</w:t>
            </w:r>
          </w:p>
        </w:tc>
      </w:tr>
      <w:tr>
        <w:tc>
          <w:tcPr>
            <w:tcW w:type="dxa" w:w="600"/>
            <w:vAlign w:val="center"/>
          </w:tcPr>
          <w:p>
            <w:pPr>
              <w:spacing w:after="40"/>
            </w:pPr>
            <w:r>
              <w:rPr>
                <w:rFonts w:ascii="Calibri" w:hAnsi="Calibri"/>
                <w:sz w:val="17"/>
              </w:rPr>
              <w:t>4</w:t>
            </w:r>
          </w:p>
        </w:tc>
        <w:tc>
          <w:tcPr>
            <w:tcW w:type="dxa" w:w="8760"/>
            <w:vAlign w:val="center"/>
          </w:tcPr>
          <w:p>
            <w:pPr>
              <w:spacing w:after="40"/>
            </w:pPr>
            <w:r>
              <w:rPr>
                <w:rFonts w:ascii="Calibri" w:hAnsi="Calibri"/>
                <w:sz w:val="17"/>
              </w:rPr>
              <w:t>Value Proposition</w:t>
            </w:r>
          </w:p>
        </w:tc>
      </w:tr>
      <w:tr>
        <w:tc>
          <w:tcPr>
            <w:tcW w:type="dxa" w:w="600"/>
            <w:vAlign w:val="center"/>
          </w:tcPr>
          <w:p>
            <w:pPr>
              <w:spacing w:after="40"/>
            </w:pPr>
            <w:r>
              <w:rPr>
                <w:rFonts w:ascii="Calibri" w:hAnsi="Calibri"/>
                <w:sz w:val="17"/>
              </w:rPr>
              <w:t>5</w:t>
            </w:r>
          </w:p>
        </w:tc>
        <w:tc>
          <w:tcPr>
            <w:tcW w:type="dxa" w:w="8760"/>
            <w:vAlign w:val="center"/>
          </w:tcPr>
          <w:p>
            <w:pPr>
              <w:spacing w:after="40"/>
            </w:pPr>
            <w:r>
              <w:rPr>
                <w:rFonts w:ascii="Calibri" w:hAnsi="Calibri"/>
                <w:sz w:val="17"/>
              </w:rPr>
              <w:t>AI Technology and Development</w:t>
            </w:r>
          </w:p>
        </w:tc>
      </w:tr>
      <w:tr>
        <w:tc>
          <w:tcPr>
            <w:tcW w:type="dxa" w:w="600"/>
            <w:vAlign w:val="center"/>
          </w:tcPr>
          <w:p>
            <w:pPr>
              <w:spacing w:after="40"/>
            </w:pPr>
            <w:r>
              <w:rPr>
                <w:rFonts w:ascii="Calibri" w:hAnsi="Calibri"/>
                <w:sz w:val="17"/>
              </w:rPr>
              <w:t>6</w:t>
            </w:r>
          </w:p>
        </w:tc>
        <w:tc>
          <w:tcPr>
            <w:tcW w:type="dxa" w:w="8760"/>
            <w:vAlign w:val="center"/>
          </w:tcPr>
          <w:p>
            <w:pPr>
              <w:spacing w:after="40"/>
            </w:pPr>
            <w:r>
              <w:rPr>
                <w:rFonts w:ascii="Calibri" w:hAnsi="Calibri"/>
                <w:sz w:val="17"/>
              </w:rPr>
              <w:t>Business Model and Revenue Streams</w:t>
            </w:r>
          </w:p>
        </w:tc>
      </w:tr>
      <w:tr>
        <w:tc>
          <w:tcPr>
            <w:tcW w:type="dxa" w:w="600"/>
            <w:vAlign w:val="center"/>
          </w:tcPr>
          <w:p>
            <w:pPr>
              <w:spacing w:after="40"/>
            </w:pPr>
            <w:r>
              <w:rPr>
                <w:rFonts w:ascii="Calibri" w:hAnsi="Calibri"/>
                <w:sz w:val="17"/>
              </w:rPr>
              <w:t>7</w:t>
            </w:r>
          </w:p>
        </w:tc>
        <w:tc>
          <w:tcPr>
            <w:tcW w:type="dxa" w:w="8760"/>
            <w:vAlign w:val="center"/>
          </w:tcPr>
          <w:p>
            <w:pPr>
              <w:spacing w:after="40"/>
            </w:pPr>
            <w:r>
              <w:rPr>
                <w:rFonts w:ascii="Calibri" w:hAnsi="Calibri"/>
                <w:sz w:val="17"/>
              </w:rPr>
              <w:t>Marketing and Sales Strategy</w:t>
            </w:r>
          </w:p>
        </w:tc>
      </w:tr>
      <w:tr>
        <w:tc>
          <w:tcPr>
            <w:tcW w:type="dxa" w:w="600"/>
            <w:vAlign w:val="center"/>
          </w:tcPr>
          <w:p>
            <w:pPr>
              <w:spacing w:after="40"/>
            </w:pPr>
            <w:r>
              <w:rPr>
                <w:rFonts w:ascii="Calibri" w:hAnsi="Calibri"/>
                <w:sz w:val="17"/>
              </w:rPr>
              <w:t>8</w:t>
            </w:r>
          </w:p>
        </w:tc>
        <w:tc>
          <w:tcPr>
            <w:tcW w:type="dxa" w:w="8760"/>
            <w:vAlign w:val="center"/>
          </w:tcPr>
          <w:p>
            <w:pPr>
              <w:spacing w:after="40"/>
            </w:pPr>
            <w:r>
              <w:rPr>
                <w:rFonts w:ascii="Calibri" w:hAnsi="Calibri"/>
                <w:sz w:val="17"/>
              </w:rPr>
              <w:t>Operations Plan</w:t>
            </w:r>
          </w:p>
        </w:tc>
      </w:tr>
      <w:tr>
        <w:tc>
          <w:tcPr>
            <w:tcW w:type="dxa" w:w="600"/>
            <w:vAlign w:val="center"/>
          </w:tcPr>
          <w:p>
            <w:pPr>
              <w:spacing w:after="40"/>
            </w:pPr>
            <w:r>
              <w:rPr>
                <w:rFonts w:ascii="Calibri" w:hAnsi="Calibri"/>
                <w:sz w:val="17"/>
              </w:rPr>
              <w:t>9</w:t>
            </w:r>
          </w:p>
        </w:tc>
        <w:tc>
          <w:tcPr>
            <w:tcW w:type="dxa" w:w="8760"/>
            <w:vAlign w:val="center"/>
          </w:tcPr>
          <w:p>
            <w:pPr>
              <w:spacing w:after="40"/>
            </w:pPr>
            <w:r>
              <w:rPr>
                <w:rFonts w:ascii="Calibri" w:hAnsi="Calibri"/>
                <w:sz w:val="17"/>
              </w:rPr>
              <w:t>Financial Plan</w:t>
            </w:r>
          </w:p>
        </w:tc>
      </w:tr>
      <w:tr>
        <w:tc>
          <w:tcPr>
            <w:tcW w:type="dxa" w:w="600"/>
            <w:vAlign w:val="center"/>
          </w:tcPr>
          <w:p>
            <w:pPr>
              <w:spacing w:after="40"/>
            </w:pPr>
            <w:r>
              <w:rPr>
                <w:rFonts w:ascii="Calibri" w:hAnsi="Calibri"/>
                <w:sz w:val="17"/>
              </w:rPr>
              <w:t>10</w:t>
            </w:r>
          </w:p>
        </w:tc>
        <w:tc>
          <w:tcPr>
            <w:tcW w:type="dxa" w:w="8760"/>
            <w:vAlign w:val="center"/>
          </w:tcPr>
          <w:p>
            <w:pPr>
              <w:spacing w:after="40"/>
            </w:pPr>
            <w:r>
              <w:rPr>
                <w:rFonts w:ascii="Calibri" w:hAnsi="Calibri"/>
                <w:sz w:val="17"/>
              </w:rPr>
              <w:t>Risk Analysis</w:t>
            </w:r>
          </w:p>
        </w:tc>
      </w:tr>
      <w:tr>
        <w:tc>
          <w:tcPr>
            <w:tcW w:type="dxa" w:w="600"/>
            <w:vAlign w:val="center"/>
          </w:tcPr>
          <w:p>
            <w:pPr>
              <w:spacing w:after="40"/>
            </w:pPr>
            <w:r>
              <w:rPr>
                <w:rFonts w:ascii="Calibri" w:hAnsi="Calibri"/>
                <w:sz w:val="17"/>
              </w:rPr>
              <w:t>11</w:t>
            </w:r>
          </w:p>
        </w:tc>
        <w:tc>
          <w:tcPr>
            <w:tcW w:type="dxa" w:w="8760"/>
            <w:vAlign w:val="center"/>
          </w:tcPr>
          <w:p>
            <w:pPr>
              <w:spacing w:after="40"/>
            </w:pPr>
            <w:r>
              <w:rPr>
                <w:rFonts w:ascii="Calibri" w:hAnsi="Calibri"/>
                <w:sz w:val="17"/>
              </w:rPr>
              <w:t>Corporate Social Responsibility &amp; Responsible AI</w:t>
            </w:r>
          </w:p>
        </w:tc>
      </w:tr>
      <w:tr>
        <w:tc>
          <w:tcPr>
            <w:tcW w:type="dxa" w:w="600"/>
            <w:vAlign w:val="center"/>
          </w:tcPr>
          <w:p>
            <w:pPr>
              <w:spacing w:after="40"/>
            </w:pPr>
            <w:r>
              <w:rPr>
                <w:rFonts w:ascii="Calibri" w:hAnsi="Calibri"/>
                <w:sz w:val="17"/>
              </w:rPr>
              <w:t>12</w:t>
            </w:r>
          </w:p>
        </w:tc>
        <w:tc>
          <w:tcPr>
            <w:tcW w:type="dxa" w:w="8760"/>
            <w:vAlign w:val="center"/>
          </w:tcPr>
          <w:p>
            <w:pPr>
              <w:spacing w:after="40"/>
            </w:pPr>
            <w:r>
              <w:rPr>
                <w:rFonts w:ascii="Calibri" w:hAnsi="Calibri"/>
                <w:sz w:val="17"/>
              </w:rPr>
              <w:t>Implementation Plan</w:t>
            </w:r>
          </w:p>
        </w:tc>
      </w:tr>
      <w:tr>
        <w:tc>
          <w:tcPr>
            <w:tcW w:type="dxa" w:w="600"/>
            <w:vAlign w:val="center"/>
          </w:tcPr>
          <w:p>
            <w:pPr>
              <w:spacing w:after="40"/>
            </w:pPr>
            <w:r>
              <w:rPr>
                <w:rFonts w:ascii="Calibri" w:hAnsi="Calibri"/>
                <w:sz w:val="17"/>
              </w:rPr>
              <w:t>13</w:t>
            </w:r>
          </w:p>
        </w:tc>
        <w:tc>
          <w:tcPr>
            <w:tcW w:type="dxa" w:w="8760"/>
            <w:vAlign w:val="center"/>
          </w:tcPr>
          <w:p>
            <w:pPr>
              <w:spacing w:after="40"/>
            </w:pPr>
            <w:r>
              <w:rPr>
                <w:rFonts w:ascii="Calibri" w:hAnsi="Calibri"/>
                <w:sz w:val="17"/>
              </w:rPr>
              <w:t>Monitoring and Evaluation</w:t>
            </w:r>
          </w:p>
        </w:tc>
      </w:tr>
      <w:tr>
        <w:tc>
          <w:tcPr>
            <w:tcW w:type="dxa" w:w="600"/>
            <w:vAlign w:val="center"/>
          </w:tcPr>
          <w:p>
            <w:pPr>
              <w:spacing w:after="40"/>
            </w:pPr>
            <w:r>
              <w:rPr>
                <w:rFonts w:ascii="Calibri" w:hAnsi="Calibri"/>
                <w:sz w:val="17"/>
              </w:rPr>
              <w:t>14</w:t>
            </w:r>
          </w:p>
        </w:tc>
        <w:tc>
          <w:tcPr>
            <w:tcW w:type="dxa" w:w="8760"/>
            <w:vAlign w:val="center"/>
          </w:tcPr>
          <w:p>
            <w:pPr>
              <w:spacing w:after="40"/>
            </w:pPr>
            <w:r>
              <w:rPr>
                <w:rFonts w:ascii="Calibri" w:hAnsi="Calibri"/>
                <w:sz w:val="17"/>
              </w:rPr>
              <w:t>Appendices</w:t>
            </w:r>
          </w:p>
        </w:tc>
      </w:tr>
    </w:tbl>
    <w:p>
      <w:pPr>
        <w:pStyle w:val="Caption"/>
      </w:pPr>
      <w:r>
        <w:t>Evidence convention: disclosed facts are cited by TLB source/page or vault note; assumptions and forecasts retain ASM/node identifiers; Agentic OS allocations are explicitly labeled analytical.</w:t>
      </w:r>
    </w:p>
    <w:p>
      <w:r>
        <w:br w:type="page"/>
      </w:r>
    </w:p>
    <w:p>
      <w:pPr>
        <w:pStyle w:val="Heading1"/>
      </w:pPr>
      <w:r>
        <w:t>1. Executive Summary</w:t>
      </w:r>
    </w:p>
    <w:p>
      <w:pPr>
        <w:jc w:val="center"/>
      </w:pPr>
      <w:r>
        <w:drawing>
          <wp:inline xmlns:a="http://schemas.openxmlformats.org/drawingml/2006/main" xmlns:pic="http://schemas.openxmlformats.org/drawingml/2006/picture">
            <wp:extent cx="4892040" cy="2935224"/>
            <wp:docPr id="1" name="Picture 1"/>
            <wp:cNvGraphicFramePr>
              <a:graphicFrameLocks noChangeAspect="1"/>
            </wp:cNvGraphicFramePr>
            <a:graphic>
              <a:graphicData uri="http://schemas.openxmlformats.org/drawingml/2006/picture">
                <pic:pic>
                  <pic:nvPicPr>
                    <pic:cNvPr id="0" name="Figure_01_investment_programme_structure.png"/>
                    <pic:cNvPicPr/>
                  </pic:nvPicPr>
                  <pic:blipFill>
                    <a:blip r:embed="rId11"/>
                    <a:stretch>
                      <a:fillRect/>
                    </a:stretch>
                  </pic:blipFill>
                  <pic:spPr>
                    <a:xfrm>
                      <a:off x="0" y="0"/>
                      <a:ext cx="4892040" cy="2935224"/>
                    </a:xfrm>
                    <a:prstGeom prst="rect"/>
                  </pic:spPr>
                </pic:pic>
              </a:graphicData>
            </a:graphic>
          </wp:inline>
        </w:drawing>
      </w:r>
    </w:p>
    <w:p>
      <w:pPr>
        <w:pStyle w:val="Caption"/>
        <w:jc w:val="center"/>
      </w:pPr>
      <w:r>
        <w:t>Exhibit 1. The disclosed programme totals USD175mn: ~USD120mn Everyday App and ~USD55mn Food-leadership.</w:t>
      </w:r>
    </w:p>
    <w:p>
      <w:pPr>
        <w:pStyle w:val="Heading2"/>
      </w:pPr>
      <w:r>
        <w:t>Situation</w:t>
      </w:r>
    </w:p>
    <w:p>
      <w:pPr>
        <w:keepLines w:val="0"/>
      </w:pPr>
      <w:r>
        <w:rPr>
          <w:b/>
        </w:rPr>
        <w:t>talabat Holding plc is a publicly listed, Group-wide on-demand delivery platform (Dubai Financial Market, IPO priced 29 November 2024) operating across eight markets —</w:t>
      </w:r>
      <w:r>
        <w:t xml:space="preserve"> UAE, Kuwait, Qatar, Bahrain, Oman, Jordan, Iraq, and Egypt (Group; Problem_Charter.md).</w:t>
      </w:r>
    </w:p>
    <w:p>
      <w:pPr>
        <w:pStyle w:val="Heading2"/>
      </w:pPr>
      <w:r>
        <w:t>Complication</w:t>
      </w:r>
    </w:p>
    <w:p>
      <w:pPr>
        <w:keepLines w:val="0"/>
      </w:pPr>
      <w:r>
        <w:rPr>
          <w:b/>
        </w:rPr>
        <w:t>talabat has not disclosed —</w:t>
      </w:r>
      <w:r>
        <w:t xml:space="preserve"> and this project cannot observe — how that USD 175 million should be allocated within each bucket, across eight markets that differ sharply in maturity, profitability, and competitive intensity.</w:t>
      </w:r>
    </w:p>
    <w:p>
      <w:pPr>
        <w:pStyle w:val="Heading2"/>
      </w:pPr>
      <w:r>
        <w:t>Question</w:t>
      </w:r>
    </w:p>
    <w:p>
      <w:pPr>
        <w:keepLines w:val="0"/>
      </w:pPr>
      <w:r>
        <w:rPr>
          <w:b/>
        </w:rPr>
        <w:t>How should talabat allocate its 2026 USD 175 million investment programme across Everyday App and Food-leadership initiatives —</w:t>
      </w:r>
      <w:r>
        <w:t xml:space="preserve"> and within them, across markets and initiative categories — to maximise profitable growth, customer lifetime value, customer retention, and long-term platform economics, given the evidence…</w:t>
      </w:r>
    </w:p>
    <w:p>
      <w:pPr>
        <w:pStyle w:val="Heading2"/>
      </w:pPr>
      <w:r>
        <w:t>Answer</w:t>
      </w:r>
    </w:p>
    <w:p>
      <w:pPr>
        <w:keepLines w:val="0"/>
      </w:pPr>
      <w:r>
        <w:rPr>
          <w:b/>
        </w:rPr>
        <w:t>This plan's answer is a framework and a committed sequence, not a single number. talabat does not need a new capital-allocation process invented from scratch —</w:t>
      </w:r>
      <w:r>
        <w:t xml:space="preserve"> it needs the evidence-ranked, stage-gated discipline applied to the process it has already disclosed and already funded.</w:t>
      </w:r>
    </w:p>
    <w:p>
      <w:pPr>
        <w:pStyle w:val="Heading2"/>
      </w:pPr>
      <w:r>
        <w:t>Business Name and Overview</w:t>
      </w:r>
    </w:p>
    <w:p>
      <w:pPr>
        <w:keepLines w:val="0"/>
      </w:pPr>
      <w:r>
        <w:rPr>
          <w:b/>
        </w:rPr>
        <w:t>talabat Holding plc —</w:t>
      </w:r>
      <w:r>
        <w:t xml:space="preserve"> a mature, profitable, publicly listed Group operating a three-sided marketplace (customers, restaurant/retail Partners, riders) across eight countries, generating GMV of USD 9.5 billion in FY2025 across food delivery, grocery and quick-commerce (talabat mart), and a growing set of adjacent…</w:t>
      </w:r>
    </w:p>
    <w:p>
      <w:pPr>
        <w:pStyle w:val="Heading2"/>
      </w:pPr>
      <w:r>
        <w:t>Mission and Vision</w:t>
      </w:r>
    </w:p>
    <w:p>
      <w:pPr>
        <w:keepLines w:val="0"/>
      </w:pPr>
      <w:r>
        <w:rPr>
          <w:b/>
        </w:rPr>
        <w:t>talabat's own stated trajectory —</w:t>
      </w:r>
      <w:r>
        <w:t xml:space="preserve"> moving "from a multi-vertical food-delivery platform to the region's Everyday App," a framing management itself calls "a deliberate strategic choice, made from a position of strength" (Group; TLB-020, page 16) — is the mission and vision this plan's recommendation is built to serve, not a new one this plan proposes.</w:t>
      </w:r>
    </w:p>
    <w:p>
      <w:pPr>
        <w:pStyle w:val="Heading2"/>
      </w:pPr>
      <w:r>
        <w:t>AI Product/Service, Target Market, and Value Proposition</w:t>
      </w:r>
    </w:p>
    <w:p>
      <w:pPr>
        <w:keepLines w:val="0"/>
      </w:pPr>
      <w:r>
        <w:rPr>
          <w:b/>
        </w:rPr>
        <w:t>The AI product is not customer-facing —</w:t>
      </w:r>
      <w:r>
        <w:t xml:space="preserve"> it is an AI-enabled decision-support system that assembles talabat's own disclosed evidence, ranks candidate investment initiatives against explicit, documented criteria, builds range-bound (never single-point) financial scenarios, and monitors a KPI and stage-gate framework,…</w:t>
      </w:r>
    </w:p>
    <w:p>
      <w:pPr>
        <w:pStyle w:val="Heading2"/>
      </w:pPr>
      <w:r>
        <w:t>Key Objectives, Growth Goals, and Financial/Funding Summary</w:t>
      </w:r>
    </w:p>
    <w:p>
      <w:pPr>
        <w:keepLines w:val="0"/>
      </w:pPr>
      <w: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(Section_02_Business_Description.md §2.3; Section_09_Financial_Plan.md §9.6).</w:t>
      </w:r>
    </w:p>
    <w:p>
      <w:pPr>
        <w:spacing w:after="80"/>
      </w:pPr>
    </w:p>
    <w:p>
      <w:pPr>
        <w:pStyle w:val="Heading1"/>
      </w:pPr>
      <w:r>
        <w:t>2. Business Description</w:t>
      </w:r>
    </w:p>
    <w:p>
      <w:pPr>
        <w:pStyle w:val="Heading2"/>
      </w:pPr>
      <w:r>
        <w:t>Answer, stated first</w:t>
      </w:r>
    </w:p>
    <w:p>
      <w:pPr>
        <w:keepLines w:val="0"/>
      </w:pPr>
      <w:r>
        <w:rPr>
          <w:b/>
        </w:rPr>
        <w:t>talabat does not need to invent a new capital-allocation process —</w:t>
      </w:r>
      <w:r>
        <w:t xml:space="preserve">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w:t>
      </w:r>
    </w:p>
    <w:p>
      <w:pPr>
        <w:pStyle w:val="Heading2"/>
      </w:pPr>
      <w:r>
        <w:t>2.1 Industry Overview and Opportunities for AI Adoption</w:t>
      </w:r>
    </w:p>
    <w:p>
      <w:pPr>
        <w:keepLines w:val="0"/>
      </w:pPr>
      <w:r>
        <w:rPr>
          <w:b/>
        </w:rPr>
        <w:t>talabat operates a three-sided marketplace (Strategic/How Talabat Creates Value.md; Facts/Marketplace_Facts.md) across eight countries (UAE, Kuwait, Qatar, Bahrain, Oman, Jordan, Iraq, Egypt —</w:t>
      </w:r>
      <w:r>
        <w:t xml:space="preserve"> Entities/Countries.md), generating GMV of USD 7,428mn in FY2024 (+23% YoY) across its transacting verticals — food delivery,…</w:t>
      </w:r>
    </w:p>
    <w:p>
      <w:pPr>
        <w:pStyle w:val="Heading2"/>
      </w:pPr>
      <w:r>
        <w:t>2.2 Problem Statement (MECE)</w:t>
      </w:r>
    </w:p>
    <w:p>
      <w:pPr>
        <w:keepLines w:val="0"/>
      </w:pPr>
      <w:r>
        <w:t>The business problem this plan addresses decomposes into four mutually exclusive, collectively exhaustive sub-problems, each corresponding to a genuine, separately-evidenced gap in what talabat discloses:</w:t>
      </w:r>
    </w:p>
    <w:p>
      <w:pPr>
        <w:pStyle w:val="ListNumber"/>
        <w:keepLines w:val="0"/>
      </w:pPr>
      <w:r>
        <w:t>Cross-bucket allocation (already resolved by talabat, not this plan's decision). The USD175mn</w:t>
      </w:r>
    </w:p>
    <w:p>
      <w:pPr>
        <w:pStyle w:val="Heading2"/>
      </w:pPr>
      <w:r>
        <w:t>2.3 Governing Hypothesis</w:t>
      </w:r>
    </w:p>
    <w:p>
      <w:pPr>
        <w:keepLines w:val="0"/>
      </w:pPr>
      <w:r>
        <w:rPr>
          <w:b/>
        </w:rPr>
        <w:t>We believe that applying an AI-enabled, evidence-ranked, stage-gated allocation and monitoring framework to talabat's disclosed USD175 million 2026 investment programme —</w:t>
      </w:r>
      <w:r>
        <w:t xml:space="preserve"> rather than leaving its within-bucket and cross-market allocation undifferentiated — will raise the programme's realized GMV, EBITDA, and…</w:t>
      </w:r>
    </w:p>
    <w:p>
      <w:pPr>
        <w:pStyle w:val="Heading2"/>
      </w:pPr>
      <w:r>
        <w:t>2.4 Core Features and Benefits</w:t>
      </w:r>
    </w:p>
    <w:p>
      <w:pPr>
        <w:keepLines w:val="0"/>
      </w:pPr>
      <w:r>
        <w:t>The proposed AI-enabled decision-support system's core features, each already evidenced by a real artifact this analysis produced, not a hypothetical capability:</w:t>
      </w:r>
    </w:p>
    <w:p>
      <w:pPr>
        <w:pStyle w:val="ListBullet"/>
        <w:keepLines w:val="0"/>
      </w:pPr>
      <w:r>
        <w:t>Evidence assembly and geography discipline — every claim tagged Group/GCC/non-GCC/Egypt-standalone/</w:t>
      </w:r>
    </w:p>
    <w:p>
      <w:pPr>
        <w:pStyle w:val="Heading2"/>
      </w:pPr>
      <w:r>
        <w:t>2.5 Business Model</w:t>
      </w:r>
    </w:p>
    <w:p>
      <w:pPr>
        <w:keepLines w:val="0"/>
      </w:pPr>
      <w:r>
        <w:rPr>
          <w:b/>
        </w:rPr>
        <w:t>The AI-enabled decision-support system is proposed as an internal capability, not a licensed or externally-sold product —</w:t>
      </w:r>
      <w:r>
        <w:t xml:space="preserve"> consistent with talabat's own disclosed pattern of embedding AI/ML capability across functions rather than treating it as a discrete product line.</w:t>
      </w:r>
    </w:p>
    <w:p>
      <w:pPr>
        <w:pStyle w:val="Heading2"/>
      </w:pPr>
      <w:r>
        <w:t>2.6 Current Business Stage</w:t>
      </w:r>
    </w:p>
    <w:p>
      <w:pPr>
        <w:keepLines w:val="0"/>
      </w:pPr>
      <w:r>
        <w:rPr>
          <w:b/>
        </w:rPr>
        <w:t>The underlying business (talabat) is public, mature, and profitable at Group level (IPO priced November 2024, TLB-025; FY2025 Adjusted EBITDA margin ~6.5% of GMV —</w:t>
      </w:r>
      <w:r>
        <w:t xml:space="preserve"> Facts/Marketplace_Facts.md, TLB-002, pages 17 and 21) — not a startup.</w:t>
      </w:r>
    </w:p>
    <w:p>
      <w:pPr>
        <w:spacing w:after="80"/>
      </w:pPr>
    </w:p>
    <w:p>
      <w:pPr>
        <w:pStyle w:val="Heading1"/>
      </w:pPr>
      <w:r>
        <w:t>3. Market Analysis</w:t>
      </w:r>
    </w:p>
    <w:p>
      <w:pPr>
        <w:pStyle w:val="Heading2"/>
      </w:pPr>
      <w:r>
        <w:t>Answer, stated first</w:t>
      </w:r>
    </w:p>
    <w:p>
      <w:pPr>
        <w:keepLines w:val="0"/>
      </w:pPr>
      <w:r>
        <w:rPr>
          <w:b/>
        </w:rPr>
        <w:t>talabat's own disclosures show a company that already dominates the categories it operates in by category-share multiple, yet has penetrated only a fraction of the underlying addressable demand —</w:t>
      </w:r>
      <w:r>
        <w:t xml:space="preserve"> and the 2026 investment programme's existing shape already reflects that gap more than it reflects the scale advantage.</w:t>
      </w:r>
    </w:p>
    <w:p>
      <w:pPr>
        <w:pStyle w:val="Heading2"/>
      </w:pPr>
      <w:r>
        <w:t>3.1 Industry Trends — Market Sizing, Top-Down and Bottom-Up, Reconciled</w:t>
      </w:r>
    </w:p>
    <w:p>
      <w:pPr>
        <w:keepLines w:val="0"/>
      </w:pPr>
      <w:r>
        <w:t>Reframing note. The GSB template's Section 3 asks for "AI market size and growth projections" and "AI adoption trends... in the MENA region." Consistent with Section 2's framing (the AI-enabled capability this plan proposes is a capital-allocation decision-support layer, not a customer-facing product with its own…</w:t>
      </w:r>
    </w:p>
    <w:p>
      <w:pPr>
        <w:pStyle w:val="Heading2"/>
      </w:pPr>
      <w:r>
        <w:t>3.2 Target Market — MECE Segmentation</w:t>
      </w:r>
    </w:p>
    <w:p>
      <w:pPr>
        <w:keepLines w:val="0"/>
      </w:pPr>
      <w:r>
        <w:rPr>
          <w:b/>
        </w:rPr>
        <w:t>Primary segmentation axis: talabat's own disclosed reportable-segment geography —</w:t>
      </w:r>
      <w:r>
        <w:t xml:space="preserve"> GCC / non-GCC (Jordan + Iraq) / Egypt (standalone from FY2025). This is MECE on the IFRS 8 revenue-segment basis: every dollar of Group revenue and gross profit sits in exactly one of these three reportable segments, per talabat's own…</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Segment (IFRS 8 revenue basis)</w:t>
            </w:r>
          </w:p>
        </w:tc>
        <w:tc>
          <w:tcPr>
            <w:tcW w:type="dxa" w:w="1872"/>
            <w:shd w:fill="E8EEF5"/>
            <w:vAlign w:val="center"/>
          </w:tcPr>
          <w:p>
            <w:pPr>
              <w:spacing w:after="40"/>
            </w:pPr>
            <w:r>
              <w:rPr>
                <w:rFonts w:ascii="Calibri" w:hAnsi="Calibri"/>
                <w:b/>
                <w:sz w:val="17"/>
              </w:rPr>
              <w:t>Revenue*</w:t>
            </w:r>
          </w:p>
        </w:tc>
        <w:tc>
          <w:tcPr>
            <w:tcW w:type="dxa" w:w="1872"/>
            <w:shd w:fill="E8EEF5"/>
            <w:vAlign w:val="center"/>
          </w:tcPr>
          <w:p>
            <w:pPr>
              <w:spacing w:after="40"/>
            </w:pPr>
            <w:r>
              <w:rPr>
                <w:rFonts w:ascii="Calibri" w:hAnsi="Calibri"/>
                <w:b/>
                <w:sz w:val="17"/>
              </w:rPr>
              <w:t>Gross profit*</w:t>
            </w:r>
          </w:p>
        </w:tc>
        <w:tc>
          <w:tcPr>
            <w:tcW w:type="dxa" w:w="1872"/>
            <w:shd w:fill="E8EEF5"/>
            <w:vAlign w:val="center"/>
          </w:tcPr>
          <w:p>
            <w:pPr>
              <w:spacing w:after="40"/>
            </w:pPr>
            <w:r>
              <w:rPr>
                <w:rFonts w:ascii="Calibri" w:hAnsi="Calibri"/>
                <w:b/>
                <w:sz w:val="17"/>
              </w:rPr>
              <w:t>Net profit/(loss)*</w:t>
            </w:r>
          </w:p>
        </w:tc>
        <w:tc>
          <w:tcPr>
            <w:tcW w:type="dxa" w:w="1872"/>
            <w:shd w:fill="E8EEF5"/>
            <w:vAlign w:val="center"/>
          </w:tcPr>
          <w:p>
            <w:pPr>
              <w:spacing w:after="40"/>
            </w:pPr>
            <w:r>
              <w:rPr>
                <w:rFonts w:ascii="Calibri" w:hAnsi="Calibri"/>
                <w:b/>
                <w:sz w:val="17"/>
              </w:rPr>
              <w:t>Growth signal (basis stated per cell)</w:t>
            </w:r>
          </w:p>
        </w:tc>
      </w:tr>
      <w:tr>
        <w:tc>
          <w:tcPr>
            <w:tcW w:type="dxa" w:w="1872"/>
            <w:vAlign w:val="center"/>
          </w:tcPr>
          <w:p>
            <w:pPr>
              <w:spacing w:after="40"/>
            </w:pPr>
            <w:r>
              <w:rPr>
                <w:rFonts w:ascii="Calibri" w:hAnsi="Calibri"/>
                <w:sz w:val="17"/>
              </w:rPr>
              <w:t>GCC (UAE, Kuwait, Qatar, Bahrain, Oman)</w:t>
            </w:r>
          </w:p>
        </w:tc>
        <w:tc>
          <w:tcPr>
            <w:tcW w:type="dxa" w:w="1872"/>
            <w:vAlign w:val="center"/>
          </w:tcPr>
          <w:p>
            <w:pPr>
              <w:spacing w:after="40"/>
            </w:pPr>
            <w:r>
              <w:rPr>
                <w:rFonts w:ascii="Calibri" w:hAnsi="Calibri"/>
                <w:sz w:val="17"/>
              </w:rPr>
              <w:t>USD 3,795.4mn</w:t>
            </w:r>
          </w:p>
        </w:tc>
        <w:tc>
          <w:tcPr>
            <w:tcW w:type="dxa" w:w="1872"/>
            <w:vAlign w:val="center"/>
          </w:tcPr>
          <w:p>
            <w:pPr>
              <w:spacing w:after="40"/>
            </w:pPr>
            <w:r>
              <w:rPr>
                <w:rFonts w:ascii="Calibri" w:hAnsi="Calibri"/>
                <w:sz w:val="17"/>
              </w:rPr>
              <w:t>USD 1,231.1mn</w:t>
            </w:r>
          </w:p>
        </w:tc>
        <w:tc>
          <w:tcPr>
            <w:tcW w:type="dxa" w:w="1872"/>
            <w:vAlign w:val="center"/>
          </w:tcPr>
          <w:p>
            <w:pPr>
              <w:spacing w:after="40"/>
            </w:pPr>
            <w:r>
              <w:rPr>
                <w:rFonts w:ascii="Calibri" w:hAnsi="Calibri"/>
                <w:sz w:val="17"/>
              </w:rPr>
              <w:t>USD 568.3mn</w:t>
            </w:r>
          </w:p>
        </w:tc>
        <w:tc>
          <w:tcPr>
            <w:tcW w:type="dxa" w:w="1872"/>
            <w:vAlign w:val="center"/>
          </w:tcPr>
          <w:p>
            <w:pPr>
              <w:spacing w:after="40"/>
            </w:pPr>
            <w:r>
              <w:rPr>
                <w:rFonts w:ascii="Calibri" w:hAnsi="Calibri"/>
                <w:sz w:val="17"/>
              </w:rPr>
              <w:t>GMV +22% y/y, FY2025 (GCC; TLB-019, p.14)</w:t>
            </w:r>
          </w:p>
        </w:tc>
      </w:tr>
      <w:tr>
        <w:tc>
          <w:tcPr>
            <w:tcW w:type="dxa" w:w="1872"/>
            <w:vAlign w:val="center"/>
          </w:tcPr>
          <w:p>
            <w:pPr>
              <w:spacing w:after="40"/>
            </w:pPr>
            <w:r>
              <w:rPr>
                <w:rFonts w:ascii="Calibri" w:hAnsi="Calibri"/>
                <w:sz w:val="17"/>
              </w:rPr>
              <w:t>Non-GCC (Jordan + Iraq only)</w:t>
            </w:r>
          </w:p>
        </w:tc>
        <w:tc>
          <w:tcPr>
            <w:tcW w:type="dxa" w:w="1872"/>
            <w:vAlign w:val="center"/>
          </w:tcPr>
          <w:p>
            <w:pPr>
              <w:spacing w:after="40"/>
            </w:pPr>
            <w:r>
              <w:rPr>
                <w:rFonts w:ascii="Calibri" w:hAnsi="Calibri"/>
                <w:sz w:val="17"/>
              </w:rPr>
              <w:t>USD 346.5mn</w:t>
            </w:r>
          </w:p>
        </w:tc>
        <w:tc>
          <w:tcPr>
            <w:tcW w:type="dxa" w:w="1872"/>
            <w:vAlign w:val="center"/>
          </w:tcPr>
          <w:p>
            <w:pPr>
              <w:spacing w:after="40"/>
            </w:pPr>
            <w:r>
              <w:rPr>
                <w:rFonts w:ascii="Calibri" w:hAnsi="Calibri"/>
                <w:sz w:val="17"/>
              </w:rPr>
              <w:t>USD 61.7mn</w:t>
            </w:r>
          </w:p>
        </w:tc>
        <w:tc>
          <w:tcPr>
            <w:tcW w:type="dxa" w:w="1872"/>
            <w:vAlign w:val="center"/>
          </w:tcPr>
          <w:p>
            <w:pPr>
              <w:spacing w:after="40"/>
            </w:pPr>
            <w:r>
              <w:rPr>
                <w:rFonts w:ascii="Calibri" w:hAnsi="Calibri"/>
                <w:sz w:val="17"/>
              </w:rPr>
              <w:t>USD (7.0)mn</w:t>
            </w:r>
          </w:p>
        </w:tc>
        <w:tc>
          <w:tcPr>
            <w:tcW w:type="dxa" w:w="1872"/>
            <w:vAlign w:val="center"/>
          </w:tcPr>
          <w:p>
            <w:pPr>
              <w:spacing w:after="40"/>
            </w:pPr>
            <w:r>
              <w:rPr>
                <w:rFonts w:ascii="Calibri" w:hAnsi="Calibri"/>
                <w:sz w:val="17"/>
              </w:rPr>
              <w:t>No Jordan+Iraq-only growth figure is disclosed. The disclosed "non-GCC" GMV +57% y/y (USD 1,719mn, 18% of Group, FY2025) is on the GMV-by-geography basis and includes Egypt — it must not be read as this row's segment (non-GCC incl. Egypt; TLB-019, p.14 and Source Note)</w:t>
            </w:r>
          </w:p>
        </w:tc>
      </w:tr>
      <w:tr>
        <w:tc>
          <w:tcPr>
            <w:tcW w:type="dxa" w:w="1872"/>
            <w:vAlign w:val="center"/>
          </w:tcPr>
          <w:p>
            <w:pPr>
              <w:spacing w:after="40"/>
            </w:pPr>
            <w:r>
              <w:rPr>
                <w:rFonts w:ascii="Calibri" w:hAnsi="Calibri"/>
                <w:sz w:val="17"/>
              </w:rPr>
              <w:t>Egypt (standalone)</w:t>
            </w:r>
          </w:p>
        </w:tc>
        <w:tc>
          <w:tcPr>
            <w:tcW w:type="dxa" w:w="1872"/>
            <w:vAlign w:val="center"/>
          </w:tcPr>
          <w:p>
            <w:pPr>
              <w:spacing w:after="40"/>
            </w:pPr>
            <w:r>
              <w:rPr>
                <w:rFonts w:ascii="Calibri" w:hAnsi="Calibri"/>
                <w:sz w:val="17"/>
              </w:rPr>
              <w:t>USD 509.9mn</w:t>
            </w:r>
          </w:p>
        </w:tc>
        <w:tc>
          <w:tcPr>
            <w:tcW w:type="dxa" w:w="1872"/>
            <w:vAlign w:val="center"/>
          </w:tcPr>
          <w:p>
            <w:pPr>
              <w:spacing w:after="40"/>
            </w:pPr>
            <w:r>
              <w:rPr>
                <w:rFonts w:ascii="Calibri" w:hAnsi="Calibri"/>
                <w:sz w:val="17"/>
              </w:rPr>
              <w:t>USD 125.0mn</w:t>
            </w:r>
          </w:p>
        </w:tc>
        <w:tc>
          <w:tcPr>
            <w:tcW w:type="dxa" w:w="1872"/>
            <w:vAlign w:val="center"/>
          </w:tcPr>
          <w:p>
            <w:pPr>
              <w:spacing w:after="40"/>
            </w:pPr>
            <w:r>
              <w:rPr>
                <w:rFonts w:ascii="Calibri" w:hAnsi="Calibri"/>
                <w:sz w:val="17"/>
              </w:rPr>
              <w:t>USD 44.4mn</w:t>
            </w:r>
          </w:p>
        </w:tc>
        <w:tc>
          <w:tcPr>
            <w:tcW w:type="dxa" w:w="1872"/>
            <w:vAlign w:val="center"/>
          </w:tcPr>
          <w:p>
            <w:pPr>
              <w:spacing w:after="40"/>
            </w:pPr>
            <w:r>
              <w:rPr>
                <w:rFonts w:ascii="Calibri" w:hAnsi="Calibri"/>
                <w:sz w:val="17"/>
              </w:rPr>
              <w:t>~81% y/y Q1 2026 revenue growth; PBT USD 0.5mn (Q1 2025, restated) → USD 9.4mn (Q1 2026) — near-breakeven to solidly profitable (Egypt-standalone; TLB-010, p.20)</w:t>
            </w:r>
          </w:p>
        </w:tc>
      </w:tr>
    </w:tbl>
    <w:p>
      <w:pPr>
        <w:pStyle w:val="Heading2"/>
      </w:pPr>
      <w:r>
        <w:t>3.3 Competitive Analysis</w:t>
      </w:r>
    </w:p>
    <w:p>
      <w:pPr>
        <w:pStyle w:val="Heading3"/>
      </w:pPr>
      <w:r>
        <w:t>SWOT — with a "so what" per quadrant</w:t>
      </w:r>
    </w:p>
    <w:p>
      <w:pPr>
        <w:keepLines w:val="0"/>
      </w:pPr>
      <w:r>
        <w:t>The four SWOT quadrants (internal/external × favourable/unfavourable) are MECE by construction; each is populated only with disclosed evidence, and each carries an explicit conclusion, not an orphan observation.</w:t>
      </w:r>
    </w:p>
    <w:p>
      <w:pPr>
        <w:keepLines w:val="0"/>
      </w:pPr>
      <w:r>
        <w:rPr>
          <w:b/>
        </w:rPr>
        <w:t>Strengths. Category leadership across all 8 markets (1x+–10x+ share vs. next-closest peer, TLB-001 p.5/TLB-002 p.5/TLB-014 p.4); an AI-personalised loyalty layer with a growing, management-estimated EBITDA contribution (&gt;USD 14mn FY2024 → &gt;USD 30mn FY2025 —</w:t>
      </w:r>
      <w:r>
        <w:t xml:space="preserve"> worded by talabat as "estimated to generate/contribute," not a disclosed audited figure; Facts/AI_Facts.md; TLB-001, page 23; TLB-002, page 16); an AdTech monetization differentiator on the Partner side (an 8% CPG advertising investment ratio vs.</w:t>
      </w:r>
    </w:p>
    <w:p>
      <w:pPr>
        <w:keepLines w:val="0"/>
      </w:pPr>
      <w:r>
        <w:rPr>
          <w:b/>
        </w:rPr>
        <w:t>Weaknesses. An ~90–95% non-employed (third-party-logistics/freelance) rider workforce, which talabat itself flags as a labour-compliance and service-quality-control risk (TLB-001, pages 34, 47; TLB-026, page 138; provider-concentration detail at page 51); an AdTech monetization gap —</w:t>
      </w:r>
      <w:r>
        <w:t xml:space="preserve"> Group-wide advertising revenue at 3.4–3.5% of GMV against management's own ~7%-of-GMV medium-term benchmark, a target reached only for talabat mart specifically in the UAE (Strategic/Competitive Weaknesses.md; TLB-001 p.21, TLB-002 pp.11/14/19, TLB-014 p.19); a…</w:t>
      </w:r>
    </w:p>
    <w:p>
      <w:pPr>
        <w:keepLines w:val="0"/>
      </w:pPr>
      <w:r>
        <w:rPr>
          <w:b/>
        </w:rPr>
        <w:t>Opportunities. Grocery/retail penetration of only ~1–3% against a USD 104–150bn+ addressable category (§3.1); the non-GCC geography's premium GMV growth rate (+57% y/y vs. GCC's +22%; GMV-by-geography basis, non-GCC incl. Egypt —</w:t>
      </w:r>
      <w:r>
        <w:t xml:space="preserve"> TLB-019, p.14) while still representing only 18% (FY2025, TLB-019, p.14) to 21% (Q1 2026, TLB-011, p.2) of Group GMV — two dated data points, not a single blended figure; the disclosed AdTech monetization gap versus talabat's own ~7% benchmark; and the AI/personalisation capability's still-rising management-estimated EBITDA trajectory.</w:t>
      </w:r>
    </w:p>
    <w:p>
      <w:pPr>
        <w:keepLines w:val="0"/>
      </w:pPr>
      <w:r>
        <w:rPr>
          <w:b/>
        </w:rPr>
        <w:t>Threats. Competitive pressure has already measurably eroded non-high-value customer M1 retention by 4% y/y —</w:t>
      </w:r>
      <w:r>
        <w:t xml:space="preserve"> but only in UAE, Kuwait, and Qatar specifically (TLB-019, page 9); FY2026 guidance names "a more competitive environment (new entrants and incumbents)" explicitly as a headwind (TLB-019, page 18); and Group Adjusted EBITDA margin compression is already realized, not merely guided — 6.0% (Q4 2025 baseline) stepping down to a 4.4–4.8% FY2026 guided range, with 4.8% already the actual Q1 2026 result (TLB-020, page 12 — the 6.0%→4.8% bridge — and page 14 — the 4.4–4.8% guidance; guidance origin TLB-019, pages 18–19) — the very margin step-down that funds this investment programme.</w:t>
      </w:r>
    </w:p>
    <w:p>
      <w:pPr>
        <w:keepLines w:val="0"/>
      </w:pPr>
      <w:r>
        <w:rPr>
          <w:b/>
        </w:rPr>
        <w:t>Explicit gap —</w:t>
      </w:r>
      <w:r>
        <w:t xml:space="preserve"> Food-leadership's competitive-pressure evidence does not extend to Egypt or other non-GCC markets. The -4% non-high-value retention figure above is disclosed only for UAE, Kuwait, and Qatar (TLB-019, page 9; Topics/Food Leadership.md Open Questions). Applying this dynamic to Egypt or Jordan/Iraq would be an inferred-applicability extrapolation, not a directly evidenced parallel — this section does not make that extrapolation, and any future section that does must label it as such per Geographic_Evidence_Rules.md.</w:t>
      </w:r>
    </w:p>
    <w:p>
      <w:pPr>
        <w:pStyle w:val="Heading3"/>
      </w:pPr>
      <w:r>
        <w:t>Competitor benchmarking</w:t>
      </w:r>
    </w:p>
    <w:p>
      <w:pPr>
        <w:keepLines w:val="0"/>
      </w:pPr>
      <w:r>
        <w:rPr>
          <w:b/>
        </w:rPr>
        <w:t>Talabat's own disclosures are notably thin on named rivals. Across the entire 29-document primary corpus, only one document —</w:t>
      </w:r>
      <w:r>
        <w:t xml:space="preserve"> the International Offering Memorandum — names specific competitor brands: Deliveroo, Careem, noon, Jahez, and Snoonu (TLB-026, page 146; Entities/Competitors.md).</w:t>
      </w:r>
    </w:p>
    <w:p>
      <w:pPr>
        <w:pStyle w:val="Heading2"/>
      </w:pPr>
      <w:r>
        <w:t>3.4 Opportunities</w:t>
      </w:r>
    </w:p>
    <w:p>
      <w:pPr>
        <w:keepLines w:val="0"/>
      </w:pPr>
      <w:r>
        <w:rPr>
          <w:b/>
        </w:rPr>
        <w:t>Untapped markets / underserved categories. Grocery/retail is the clearest untapped-opportunity category in the corpus: only ~1–3% penetrated of a USD 104–150bn+ addressable category (§3.1), and the vertical growing fastest by GMV (+47% y/y FY2025) despite carrying a structurally lower take rate/margin than Food —</w:t>
      </w:r>
      <w:r>
        <w:t xml:space="preserve"> an…</w:t>
      </w:r>
    </w:p>
    <w:p>
      <w:pPr>
        <w:spacing w:after="80"/>
      </w:pPr>
    </w:p>
    <w:p>
      <w:pPr>
        <w:pStyle w:val="Heading1"/>
      </w:pPr>
      <w:r>
        <w:t>4. Value Proposition</w:t>
      </w:r>
    </w:p>
    <w:p>
      <w:pPr>
        <w:pStyle w:val="Heading2"/>
      </w:pPr>
      <w:r>
        <w:t>Answer, stated first</w:t>
      </w:r>
    </w:p>
    <w:p>
      <w:pPr>
        <w:keepLines w:val="0"/>
      </w:pPr>
      <w:r>
        <w:rPr>
          <w:b/>
        </w:rPr>
        <w:t>The value this plan creates does not come from a single new capability —</w:t>
      </w:r>
      <w:r>
        <w:t xml:space="preserve"> it comes from applying a disciplined ranking-and-monitoring layer to five value mechanisms talabat has already proven — each at the geographic level it is actually disclosed — but has not yet evidenced as deliberately sequenced against its 2026 investment programme.</w:t>
      </w:r>
    </w:p>
    <w:p>
      <w:pPr>
        <w:pStyle w:val="Heading2"/>
      </w:pPr>
      <w:r>
        <w:t>4.1 Unique Selling Proposition (USP)</w:t>
      </w:r>
    </w:p>
    <w:p>
      <w:pPr>
        <w:keepLines w:val="0"/>
      </w:pPr>
      <w:r>
        <w:rPr>
          <w:b/>
        </w:rPr>
        <w:t>The USP is not a new customer-facing product —</w:t>
      </w:r>
      <w:r>
        <w:t xml:space="preserve"> it is evidence-ranked, stage-gated capital allocation applied to an already-committed USD175mn programme. talabat's own disclosed rationale for the programme is qualitative ("investments rather than costs...</w:t>
      </w:r>
    </w:p>
    <w:p>
      <w:pPr>
        <w:pStyle w:val="Heading2"/>
      </w:pPr>
      <w:r>
        <w:t>4.2 Value Creation Mechanisms — Each Quantified</w:t>
      </w:r>
    </w:p>
    <w:p>
      <w:pPr>
        <w:keepLines w:val="0"/>
      </w:pPr>
      <w:r>
        <w:rPr>
          <w:b/>
        </w:rPr>
        <w:t>Why this breakdown is MECE: the seven mechanisms below are organized by the template's value categories —</w:t>
      </w:r>
      <w:r>
        <w:t xml:space="preserve"> revenue lift (four distinct revenue mechanisms: multi-vertical engagement, subscription, targeted incentives, advertising monetization), cost savings/efficiency, risk reduction, and insight — mutually exclusive by value category and collectively exhaustive against the value drivers the corpus actually evidences.</w:t>
      </w:r>
    </w:p>
    <w:p>
      <w:pPr>
        <w:pStyle w:val="Heading2"/>
      </w:pPr>
      <w:r>
        <w:t>4.3 Impact on Customer Outcomes and ROI — Calculation Logic Shown</w:t>
      </w:r>
    </w:p>
    <w:p>
      <w:pPr>
        <w:keepLines w:val="0"/>
      </w:pPr>
      <w:r>
        <w:t>Customer outcome, stated honestly: no absolute customer lifetime value figure is disclosed anywhere in the corpus (Topics/Customer Lifetime Value.md); the mechanisms above are evidenced as relative uplifts and GMV-share trends, not an absolute CLV number this section can cite.</w:t>
      </w:r>
    </w:p>
    <w:p>
      <w:pPr>
        <w:spacing w:after="80"/>
      </w:pPr>
    </w:p>
    <w:p>
      <w:pPr>
        <w:pStyle w:val="Heading1"/>
      </w:pPr>
      <w:r>
        <w:t>5. AI Technology and Development</w:t>
      </w:r>
    </w:p>
    <w:p>
      <w:pPr>
        <w:pStyle w:val="Heading2"/>
      </w:pPr>
      <w:r>
        <w:t>Answer, stated first</w:t>
      </w:r>
    </w:p>
    <w:p>
      <w:pPr>
        <w:keepLines w:val="0"/>
      </w:pPr>
      <w:r>
        <w:rPr>
          <w:b/>
        </w:rPr>
        <w:t>talabat does not need to build a new AI capability to execute this plan's core recommendation —</w:t>
      </w:r>
      <w:r>
        <w:t xml:space="preserve"> the customer-facing AI capability (recommendation ranking, offer timing, dispatch optimisation) it will scale via the 2026 investment programme already exists as a hybrid: a logistics/dispatch stack licensed from parent…</w:t>
      </w:r>
    </w:p>
    <w:p>
      <w:pPr>
        <w:pStyle w:val="Heading2"/>
      </w:pPr>
      <w:r>
        <w:t>5.1 Description of AI Technology</w:t>
      </w:r>
    </w:p>
    <w:p>
      <w:pPr>
        <w:keepLines w:val="0"/>
      </w:pPr>
      <w:r>
        <w:t>The two-capability split is MECE: talabat's embedded customer-facing AI and this plan's decision-support AI have distinct owners (talabat's product/tech organisation vs. this plan's governance process), distinct users (customers and riders vs.</w:t>
      </w:r>
    </w:p>
    <w:p>
      <w:pPr>
        <w:pStyle w:val="Heading2"/>
      </w:pPr>
      <w:r>
        <w:t>5.2 Build / Buy / Partner Decision — Structured Options Analysis</w:t>
      </w:r>
    </w:p>
    <w:p>
      <w:pPr>
        <w:keepLines w:val="0"/>
      </w:pPr>
      <w:r>
        <w:rPr>
          <w:b/>
        </w:rPr>
        <w:t>talabat's embedded AI capability: a hybrid of partner and build —</w:t>
      </w:r>
      <w:r>
        <w:t xml:space="preserve"> the logistics/dispatch layer (dispatch algorithms, real-time GPS tracking, rider staffing algorithm, picking tools) is licensed from Delivery Hero SE, the parent company (TLB-001, TLB-026, via Entities/Technology_Platforms.md), while the…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Criterion</w:t>
            </w:r>
          </w:p>
        </w:tc>
        <w:tc>
          <w:tcPr>
            <w:tcW w:type="dxa" w:w="2340"/>
            <w:shd w:fill="E8EEF5"/>
            <w:vAlign w:val="center"/>
          </w:tcPr>
          <w:p>
            <w:pPr>
              <w:spacing w:after="40"/>
            </w:pPr>
            <w:r>
              <w:rPr>
                <w:rFonts w:ascii="Calibri" w:hAnsi="Calibri"/>
                <w:b/>
                <w:sz w:val="17"/>
              </w:rPr>
              <w:t>Build (chosen — this OS)</w:t>
            </w:r>
          </w:p>
        </w:tc>
        <w:tc>
          <w:tcPr>
            <w:tcW w:type="dxa" w:w="2340"/>
            <w:shd w:fill="E8EEF5"/>
            <w:vAlign w:val="center"/>
          </w:tcPr>
          <w:p>
            <w:pPr>
              <w:spacing w:after="40"/>
            </w:pPr>
            <w:r>
              <w:rPr>
                <w:rFonts w:ascii="Calibri" w:hAnsi="Calibri"/>
                <w:b/>
                <w:sz w:val="17"/>
              </w:rPr>
              <w:t>Buy (third-party portfolio/allocation platform)</w:t>
            </w:r>
          </w:p>
        </w:tc>
        <w:tc>
          <w:tcPr>
            <w:tcW w:type="dxa" w:w="2340"/>
            <w:shd w:fill="E8EEF5"/>
            <w:vAlign w:val="center"/>
          </w:tcPr>
          <w:p>
            <w:pPr>
              <w:spacing w:after="40"/>
            </w:pPr>
            <w:r>
              <w:rPr>
                <w:rFonts w:ascii="Calibri" w:hAnsi="Calibri"/>
                <w:b/>
                <w:sz w:val="17"/>
              </w:rPr>
              <w:t>Partner (external analytics firm)</w:t>
            </w:r>
          </w:p>
        </w:tc>
      </w:tr>
      <w:tr>
        <w:tc>
          <w:tcPr>
            <w:tcW w:type="dxa" w:w="2340"/>
            <w:vAlign w:val="center"/>
          </w:tcPr>
          <w:p>
            <w:pPr>
              <w:spacing w:after="40"/>
            </w:pPr>
            <w:r>
              <w:rPr>
                <w:rFonts w:ascii="Calibri" w:hAnsi="Calibri"/>
                <w:sz w:val="17"/>
              </w:rPr>
              <w:t>Cost</w:t>
            </w:r>
          </w:p>
        </w:tc>
        <w:tc>
          <w:tcPr>
            <w:tcW w:type="dxa" w:w="2340"/>
            <w:vAlign w:val="center"/>
          </w:tcPr>
          <w:p>
            <w:pPr>
              <w:spacing w:after="40"/>
            </w:pPr>
            <w:r>
              <w:rPr>
                <w:rFonts w:ascii="Calibri" w:hAnsi="Calibri"/>
                <w:sz w:val="17"/>
              </w:rPr>
              <w:t>Low — assembled from existing agentic tooling over the project's own corpus; no licence or engagement fees</w:t>
            </w:r>
          </w:p>
        </w:tc>
        <w:tc>
          <w:tcPr>
            <w:tcW w:type="dxa" w:w="2340"/>
            <w:vAlign w:val="center"/>
          </w:tcPr>
          <w:p>
            <w:pPr>
              <w:spacing w:after="40"/>
            </w:pPr>
            <w:r>
              <w:rPr>
                <w:rFonts w:ascii="Calibri" w:hAnsi="Calibri"/>
                <w:sz w:val="17"/>
              </w:rPr>
              <w:t>Higher — platform licence purchased for a scale and generality the five-option task does not require</w:t>
            </w:r>
          </w:p>
        </w:tc>
        <w:tc>
          <w:tcPr>
            <w:tcW w:type="dxa" w:w="2340"/>
            <w:vAlign w:val="center"/>
          </w:tcPr>
          <w:p>
            <w:pPr>
              <w:spacing w:after="40"/>
            </w:pPr>
            <w:r>
              <w:rPr>
                <w:rFonts w:ascii="Calibri" w:hAnsi="Calibri"/>
                <w:sz w:val="17"/>
              </w:rPr>
              <w:t>Higher — recurring engagement fees for each allocation/monitoring cycle</w:t>
            </w:r>
          </w:p>
        </w:tc>
      </w:tr>
      <w:tr>
        <w:tc>
          <w:tcPr>
            <w:tcW w:type="dxa" w:w="2340"/>
            <w:vAlign w:val="center"/>
          </w:tcPr>
          <w:p>
            <w:pPr>
              <w:spacing w:after="40"/>
            </w:pPr>
            <w:r>
              <w:rPr>
                <w:rFonts w:ascii="Calibri" w:hAnsi="Calibri"/>
                <w:sz w:val="17"/>
              </w:rPr>
              <w:t>Speed</w:t>
            </w:r>
          </w:p>
        </w:tc>
        <w:tc>
          <w:tcPr>
            <w:tcW w:type="dxa" w:w="2340"/>
            <w:vAlign w:val="center"/>
          </w:tcPr>
          <w:p>
            <w:pPr>
              <w:spacing w:after="40"/>
            </w:pPr>
            <w:r>
              <w:rPr>
                <w:rFonts w:ascii="Calibri" w:hAnsi="Calibri"/>
                <w:sz w:val="17"/>
              </w:rPr>
              <w:t>Fast — operational within the capstone timeline; has already produced OPT-001–005, DEC-009, and the Forecast/KPI trees</w:t>
            </w:r>
          </w:p>
        </w:tc>
        <w:tc>
          <w:tcPr>
            <w:tcW w:type="dxa" w:w="2340"/>
            <w:vAlign w:val="center"/>
          </w:tcPr>
          <w:p>
            <w:pPr>
              <w:spacing w:after="40"/>
            </w:pPr>
            <w:r>
              <w:rPr>
                <w:rFonts w:ascii="Calibri" w:hAnsi="Calibri"/>
                <w:sz w:val="17"/>
              </w:rPr>
              <w:t>Slower — procurement, onboarding, and corpus ingestion precede any first output</w:t>
            </w:r>
          </w:p>
        </w:tc>
        <w:tc>
          <w:tcPr>
            <w:tcW w:type="dxa" w:w="2340"/>
            <w:vAlign w:val="center"/>
          </w:tcPr>
          <w:p>
            <w:pPr>
              <w:spacing w:after="40"/>
            </w:pPr>
            <w:r>
              <w:rPr>
                <w:rFonts w:ascii="Calibri" w:hAnsi="Calibri"/>
                <w:sz w:val="17"/>
              </w:rPr>
              <w:t>Slower — scoping and knowledge transfer precede any first output</w:t>
            </w:r>
          </w:p>
        </w:tc>
      </w:tr>
      <w:tr>
        <w:tc>
          <w:tcPr>
            <w:tcW w:type="dxa" w:w="2340"/>
            <w:vAlign w:val="center"/>
          </w:tcPr>
          <w:p>
            <w:pPr>
              <w:spacing w:after="40"/>
            </w:pPr>
            <w:r>
              <w:rPr>
                <w:rFonts w:ascii="Calibri" w:hAnsi="Calibri"/>
                <w:sz w:val="17"/>
              </w:rPr>
              <w:t>Capability fit</w:t>
            </w:r>
          </w:p>
        </w:tc>
        <w:tc>
          <w:tcPr>
            <w:tcW w:type="dxa" w:w="2340"/>
            <w:vAlign w:val="center"/>
          </w:tcPr>
          <w:p>
            <w:pPr>
              <w:spacing w:after="40"/>
            </w:pPr>
            <w:r>
              <w:rPr>
                <w:rFonts w:ascii="Calibri" w:hAnsi="Calibri"/>
                <w:sz w:val="17"/>
              </w:rPr>
              <w:t>High — purpose-built for evidence-tiered ranking with full citation traceability and geographic-evidence discipline, which is the task</w:t>
            </w:r>
          </w:p>
        </w:tc>
        <w:tc>
          <w:tcPr>
            <w:tcW w:type="dxa" w:w="2340"/>
            <w:vAlign w:val="center"/>
          </w:tcPr>
          <w:p>
            <w:pPr>
              <w:spacing w:after="40"/>
            </w:pPr>
            <w:r>
              <w:rPr>
                <w:rFonts w:ascii="Calibri" w:hAnsi="Calibri"/>
                <w:sz w:val="17"/>
              </w:rPr>
              <w:t>Low-to-moderate — generic portfolio tooling; the citation-traceability and evidence-governance discipline would still have to be built around it</w:t>
            </w:r>
          </w:p>
        </w:tc>
        <w:tc>
          <w:tcPr>
            <w:tcW w:type="dxa" w:w="2340"/>
            <w:vAlign w:val="center"/>
          </w:tcPr>
          <w:p>
            <w:pPr>
              <w:spacing w:after="40"/>
            </w:pPr>
            <w:r>
              <w:rPr>
                <w:rFonts w:ascii="Calibri" w:hAnsi="Calibri"/>
                <w:sz w:val="17"/>
              </w:rPr>
              <w:t>Moderate — strong generic analytics, but the evidence-governance conventions would live outside the process being governed</w:t>
            </w:r>
          </w:p>
        </w:tc>
      </w:tr>
      <w:tr>
        <w:tc>
          <w:tcPr>
            <w:tcW w:type="dxa" w:w="2340"/>
            <w:vAlign w:val="center"/>
          </w:tcPr>
          <w:p>
            <w:pPr>
              <w:spacing w:after="40"/>
            </w:pPr>
            <w:r>
              <w:rPr>
                <w:rFonts w:ascii="Calibri" w:hAnsi="Calibri"/>
                <w:sz w:val="17"/>
              </w:rPr>
              <w:t>Data confidentiality</w:t>
            </w:r>
          </w:p>
        </w:tc>
        <w:tc>
          <w:tcPr>
            <w:tcW w:type="dxa" w:w="2340"/>
            <w:vAlign w:val="center"/>
          </w:tcPr>
          <w:p>
            <w:pPr>
              <w:spacing w:after="40"/>
            </w:pPr>
            <w:r>
              <w:rPr>
                <w:rFonts w:ascii="Calibri" w:hAnsi="Calibri"/>
                <w:sz w:val="17"/>
              </w:rPr>
              <w:t>High — operates only on the project's corpus and internal decision records, inside the project boundary</w:t>
            </w:r>
          </w:p>
        </w:tc>
        <w:tc>
          <w:tcPr>
            <w:tcW w:type="dxa" w:w="2340"/>
            <w:vAlign w:val="center"/>
          </w:tcPr>
          <w:p>
            <w:pPr>
              <w:spacing w:after="40"/>
            </w:pPr>
            <w:r>
              <w:rPr>
                <w:rFonts w:ascii="Calibri" w:hAnsi="Calibri"/>
                <w:sz w:val="17"/>
              </w:rPr>
              <w:t>Moderate — corpus, decision records, and working assumptions loaded into a third-party platform</w:t>
            </w:r>
          </w:p>
        </w:tc>
        <w:tc>
          <w:tcPr>
            <w:tcW w:type="dxa" w:w="2340"/>
            <w:vAlign w:val="center"/>
          </w:tcPr>
          <w:p>
            <w:pPr>
              <w:spacing w:after="40"/>
            </w:pPr>
            <w:r>
              <w:rPr>
                <w:rFonts w:ascii="Calibri" w:hAnsi="Calibri"/>
                <w:sz w:val="17"/>
              </w:rPr>
              <w:t>Lower — decision rationale and working assumptions shared with an external firm</w:t>
            </w:r>
          </w:p>
        </w:tc>
      </w:tr>
    </w:tbl>
    <w:p>
      <w:pPr>
        <w:pStyle w:val="Heading2"/>
      </w:pPr>
      <w:r>
        <w:t>5.3 Proprietary Algorithms, Data Models</w:t>
      </w:r>
    </w:p>
    <w:p>
      <w:pPr>
        <w:keepLines w:val="0"/>
      </w:pPr>
      <w:r>
        <w:rPr>
          <w:b/>
        </w:rPr>
        <w:t>The corpus names one proprietary asset for talabat's embedded AI capability: a "Proprietary personalisation and ranking algorithm" —</w:t>
      </w:r>
      <w:r>
        <w:t xml:space="preserve"> talabat's own ML-based recommendation system (TLB-001, page 23; Entities/Technology_Platforms.md).</w:t>
      </w:r>
    </w:p>
    <w:p>
      <w:pPr>
        <w:pStyle w:val="Heading2"/>
      </w:pPr>
      <w:r>
        <w:t>5.4 Infrastructure and Tools</w:t>
      </w:r>
    </w:p>
    <w:p>
      <w:pPr>
        <w:keepLines w:val="0"/>
      </w:pPr>
      <w:r>
        <w:t>talabat's own infrastructure is not itemized in the corpus beyond the Delivery Hero licensing relationship. This plan's decision-support system runs on Claude Code / Cowork (documented in MEMORY.md's LLM decision log), with the vault-based knowledge/decision/forecast architecture described throughout vault/Architecture/.</w:t>
      </w:r>
    </w:p>
    <w:p>
      <w:pPr>
        <w:pStyle w:val="Heading2"/>
      </w:pPr>
      <w:r>
        <w:t>5.5 Scalability and Adaptability</w:t>
      </w:r>
    </w:p>
    <w:p>
      <w:pPr>
        <w:keepLines w:val="0"/>
      </w:pPr>
      <w:r>
        <w:rPr>
          <w:b/>
        </w:rPr>
        <w:t>talabat pro —</w:t>
      </w:r>
      <w:r>
        <w:t xml:space="preserve"> the subscription product whose offers the embedded AI capability times — is available in seven of the eight countries following the February 2025 Egypt launch, with Iraq the exception at that date (TLB-001, pages 11-12); at end-2024 the count was six of eight (TLB-015, page 77).</w:t>
      </w:r>
    </w:p>
    <w:p>
      <w:pPr>
        <w:pStyle w:val="Heading2"/>
      </w:pPr>
      <w:r>
        <w:t>5.6 Research and Development Plans</w:t>
      </w:r>
    </w:p>
    <w:p>
      <w:pPr>
        <w:keepLines w:val="0"/>
      </w:pPr>
      <w:r>
        <w:rPr>
          <w:b/>
        </w:rPr>
        <w:t>For talabat's embedded AI: Strategic/AI Opportunities.md names talabat's own stated Group roadmap items (evidenced intent) —</w:t>
      </w:r>
      <w:r>
        <w:t xml:space="preserve"> this plan does not add new customer-facing AI R&amp;D beyond what talabat has already disclosed, since the programme's opex allocation is described as scaling, not inventing, capability.</w:t>
      </w:r>
    </w:p>
    <w:p>
      <w:pPr>
        <w:spacing w:after="80"/>
      </w:pPr>
    </w:p>
    <w:p>
      <w:pPr>
        <w:pStyle w:val="Heading1"/>
      </w:pPr>
      <w:r>
        <w:t>6. Business Model and Revenue Streams</w:t>
      </w:r>
    </w:p>
    <w:p>
      <w:pPr>
        <w:pStyle w:val="Heading2"/>
      </w:pPr>
      <w:r>
        <w:t>Answer, stated first</w:t>
      </w:r>
    </w:p>
    <w:p>
      <w:pPr>
        <w:keepLines w:val="0"/>
      </w:pPr>
      <w:r>
        <w:rPr>
          <w:b/>
        </w:rPr>
        <w:t>talabat's revenue is not four independent product lines but a single GMV-times-blended-take-rate system (~40–41% of GMV FY2024–FY2025; 38%→39% Q1 2025→Q1 2026) in which four disclosed fee-type components —</w:t>
      </w:r>
      <w:r>
        <w:t xml:space="preserve"> commission fees, delivery &amp; service fees, subscription fee &amp; other income, and advertising &amp; listing fees —…</w:t>
      </w:r>
    </w:p>
    <w:p>
      <w:pPr>
        <w:pStyle w:val="Heading2"/>
      </w:pPr>
      <w:r>
        <w:t>6.1 Revenue Generation Methods — MECE Streams Traced to the Value Driver Tree</w:t>
      </w:r>
    </w:p>
    <w:p>
      <w:pPr>
        <w:keepLines w:val="0"/>
      </w:pPr>
      <w:r>
        <w:rPr>
          <w:b/>
        </w:rPr>
        <w:t>Why this is MECE. talabat's own "Management Revenue" reporting convention already decomposes total revenue into exactly four fee-type lines, net of one contra-revenue line —</w:t>
      </w:r>
      <w:r>
        <w:t xml:space="preserve"> every disclosed revenue dollar belongs to exactly one of the five rows below, no overlap, no gap (Group; TLB-001, page 27; TLB-002, page 20):</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Stream</w:t>
            </w:r>
          </w:p>
        </w:tc>
        <w:tc>
          <w:tcPr>
            <w:tcW w:type="dxa" w:w="1560"/>
            <w:shd w:fill="E8EEF5"/>
            <w:vAlign w:val="center"/>
          </w:tcPr>
          <w:p>
            <w:pPr>
              <w:spacing w:after="40"/>
            </w:pPr>
            <w:r>
              <w:rPr>
                <w:rFonts w:ascii="Calibri" w:hAnsi="Calibri"/>
                <w:b/>
                <w:sz w:val="17"/>
              </w:rPr>
              <w:t>FY2024</w:t>
            </w:r>
          </w:p>
        </w:tc>
        <w:tc>
          <w:tcPr>
            <w:tcW w:type="dxa" w:w="1560"/>
            <w:shd w:fill="E8EEF5"/>
            <w:vAlign w:val="center"/>
          </w:tcPr>
          <w:p>
            <w:pPr>
              <w:spacing w:after="40"/>
            </w:pPr>
            <w:r>
              <w:rPr>
                <w:rFonts w:ascii="Calibri" w:hAnsi="Calibri"/>
                <w:b/>
                <w:sz w:val="17"/>
              </w:rPr>
              <w:t>FY2025</w:t>
            </w:r>
          </w:p>
        </w:tc>
        <w:tc>
          <w:tcPr>
            <w:tcW w:type="dxa" w:w="1560"/>
            <w:shd w:fill="E8EEF5"/>
            <w:vAlign w:val="center"/>
          </w:tcPr>
          <w:p>
            <w:pPr>
              <w:spacing w:after="40"/>
            </w:pPr>
            <w:r>
              <w:rPr>
                <w:rFonts w:ascii="Calibri" w:hAnsi="Calibri"/>
                <w:b/>
                <w:sz w:val="17"/>
              </w:rPr>
              <w:t>Growth</w:t>
            </w:r>
          </w:p>
        </w:tc>
        <w:tc>
          <w:tcPr>
            <w:tcW w:type="dxa" w:w="1560"/>
            <w:shd w:fill="E8EEF5"/>
            <w:vAlign w:val="center"/>
          </w:tcPr>
          <w:p>
            <w:pPr>
              <w:spacing w:after="40"/>
            </w:pPr>
            <w:r>
              <w:rPr>
                <w:rFonts w:ascii="Calibri" w:hAnsi="Calibri"/>
                <w:b/>
                <w:sz w:val="17"/>
              </w:rPr>
              <w:t>Primary driver</w:t>
            </w:r>
          </w:p>
        </w:tc>
        <w:tc>
          <w:tcPr>
            <w:tcW w:type="dxa" w:w="1560"/>
            <w:shd w:fill="E8EEF5"/>
            <w:vAlign w:val="center"/>
          </w:tcPr>
          <w:p>
            <w:pPr>
              <w:spacing w:after="40"/>
            </w:pPr>
            <w:r>
              <w:rPr>
                <w:rFonts w:ascii="Calibri" w:hAnsi="Calibri"/>
                <w:b/>
                <w:sz w:val="17"/>
              </w:rPr>
              <w:t>Value Driver Tree node(s)</w:t>
            </w:r>
          </w:p>
        </w:tc>
      </w:tr>
      <w:tr>
        <w:tc>
          <w:tcPr>
            <w:tcW w:type="dxa" w:w="1560"/>
            <w:vAlign w:val="center"/>
          </w:tcPr>
          <w:p>
            <w:pPr>
              <w:spacing w:after="40"/>
            </w:pPr>
            <w:r>
              <w:rPr>
                <w:rFonts w:ascii="Calibri" w:hAnsi="Calibri"/>
                <w:sz w:val="17"/>
              </w:rPr>
              <w:t>Commission fees</w:t>
            </w:r>
          </w:p>
        </w:tc>
        <w:tc>
          <w:tcPr>
            <w:tcW w:type="dxa" w:w="1560"/>
            <w:vAlign w:val="center"/>
          </w:tcPr>
          <w:p>
            <w:pPr>
              <w:spacing w:after="40"/>
            </w:pPr>
            <w:r>
              <w:rPr>
                <w:rFonts w:ascii="Calibri" w:hAnsi="Calibri"/>
                <w:sz w:val="17"/>
              </w:rPr>
              <w:t>USD 1,062mn</w:t>
            </w:r>
          </w:p>
        </w:tc>
        <w:tc>
          <w:tcPr>
            <w:tcW w:type="dxa" w:w="1560"/>
            <w:vAlign w:val="center"/>
          </w:tcPr>
          <w:p>
            <w:pPr>
              <w:spacing w:after="40"/>
            </w:pPr>
            <w:r>
              <w:rPr>
                <w:rFonts w:ascii="Calibri" w:hAnsi="Calibri"/>
                <w:sz w:val="17"/>
              </w:rPr>
              <w:t>USD 1,297mn</w:t>
            </w:r>
          </w:p>
        </w:tc>
        <w:tc>
          <w:tcPr>
            <w:tcW w:type="dxa" w:w="1560"/>
            <w:vAlign w:val="center"/>
          </w:tcPr>
          <w:p>
            <w:pPr>
              <w:spacing w:after="40"/>
            </w:pPr>
            <w:r>
              <w:rPr>
                <w:rFonts w:ascii="Calibri" w:hAnsi="Calibri"/>
                <w:sz w:val="17"/>
              </w:rPr>
              <w:t>+25% → +22%</w:t>
            </w:r>
          </w:p>
        </w:tc>
        <w:tc>
          <w:tcPr>
            <w:tcW w:type="dxa" w:w="1560"/>
            <w:vAlign w:val="center"/>
          </w:tcPr>
          <w:p>
            <w:pPr>
              <w:spacing w:after="40"/>
            </w:pPr>
            <w:r>
              <w:rPr>
                <w:rFonts w:ascii="Calibri" w:hAnsi="Calibri"/>
                <w:sz w:val="17"/>
              </w:rPr>
              <w:t>Food-vertical order volume (agent-model marketplace transaction — talabat earns commission without owning inventory); rate under some disclosed downward pressure</w:t>
            </w:r>
          </w:p>
        </w:tc>
        <w:tc>
          <w:tcPr>
            <w:tcW w:type="dxa" w:w="1560"/>
            <w:vAlign w:val="center"/>
          </w:tcPr>
          <w:p>
            <w:pPr>
              <w:spacing w:after="40"/>
            </w:pPr>
            <w:r>
              <w:rPr>
                <w:rFonts w:ascii="Calibri" w:hAnsi="Calibri"/>
                <w:sz w:val="17"/>
              </w:rPr>
              <w:t>N-05, N-10 (Food-leadership capability), N-14/N-16 (order frequency), N-26 (Food GMV)</w:t>
            </w:r>
          </w:p>
        </w:tc>
      </w:tr>
      <w:tr>
        <w:tc>
          <w:tcPr>
            <w:tcW w:type="dxa" w:w="1560"/>
            <w:vAlign w:val="center"/>
          </w:tcPr>
          <w:p>
            <w:pPr>
              <w:spacing w:after="40"/>
            </w:pPr>
            <w:r>
              <w:rPr>
                <w:rFonts w:ascii="Calibri" w:hAnsi="Calibri"/>
                <w:sz w:val="17"/>
              </w:rPr>
              <w:t>Delivery &amp; Service fees</w:t>
            </w:r>
          </w:p>
        </w:tc>
        <w:tc>
          <w:tcPr>
            <w:tcW w:type="dxa" w:w="1560"/>
            <w:vAlign w:val="center"/>
          </w:tcPr>
          <w:p>
            <w:pPr>
              <w:spacing w:after="40"/>
            </w:pPr>
            <w:r>
              <w:rPr>
                <w:rFonts w:ascii="Calibri" w:hAnsi="Calibri"/>
                <w:sz w:val="17"/>
              </w:rPr>
              <w:t>USD 696mn</w:t>
            </w:r>
          </w:p>
        </w:tc>
        <w:tc>
          <w:tcPr>
            <w:tcW w:type="dxa" w:w="1560"/>
            <w:vAlign w:val="center"/>
          </w:tcPr>
          <w:p>
            <w:pPr>
              <w:spacing w:after="40"/>
            </w:pPr>
            <w:r>
              <w:rPr>
                <w:rFonts w:ascii="Calibri" w:hAnsi="Calibri"/>
                <w:sz w:val="17"/>
              </w:rPr>
              <w:t>USD 859mn</w:t>
            </w:r>
          </w:p>
        </w:tc>
        <w:tc>
          <w:tcPr>
            <w:tcW w:type="dxa" w:w="1560"/>
            <w:vAlign w:val="center"/>
          </w:tcPr>
          <w:p>
            <w:pPr>
              <w:spacing w:after="40"/>
            </w:pPr>
            <w:r>
              <w:rPr>
                <w:rFonts w:ascii="Calibri" w:hAnsi="Calibri"/>
                <w:sz w:val="17"/>
              </w:rPr>
              <w:t>+29% → +24%</w:t>
            </w:r>
          </w:p>
        </w:tc>
        <w:tc>
          <w:tcPr>
            <w:tcW w:type="dxa" w:w="1560"/>
            <w:vAlign w:val="center"/>
          </w:tcPr>
          <w:p>
            <w:pPr>
              <w:spacing w:after="40"/>
            </w:pPr>
            <w:r>
              <w:rPr>
                <w:rFonts w:ascii="Calibri" w:hAnsi="Calibri"/>
                <w:sz w:val="17"/>
              </w:rPr>
              <w:t>Order count and basket composition; structurally eroded per-order by talabat pro's free-delivery-above-threshold benefit even as pro raises order frequency</w:t>
            </w:r>
          </w:p>
        </w:tc>
        <w:tc>
          <w:tcPr>
            <w:tcW w:type="dxa" w:w="1560"/>
            <w:vAlign w:val="center"/>
          </w:tcPr>
          <w:p>
            <w:pPr>
              <w:spacing w:after="40"/>
            </w:pPr>
            <w:r>
              <w:rPr>
                <w:rFonts w:ascii="Calibri" w:hAnsi="Calibri"/>
                <w:sz w:val="17"/>
              </w:rPr>
              <w:t>N-08 (pro adoption), N-14/N-16</w:t>
            </w:r>
          </w:p>
        </w:tc>
      </w:tr>
      <w:tr>
        <w:tc>
          <w:tcPr>
            <w:tcW w:type="dxa" w:w="1560"/>
            <w:vAlign w:val="center"/>
          </w:tcPr>
          <w:p>
            <w:pPr>
              <w:spacing w:after="40"/>
            </w:pPr>
            <w:r>
              <w:rPr>
                <w:rFonts w:ascii="Calibri" w:hAnsi="Calibri"/>
                <w:sz w:val="17"/>
              </w:rPr>
              <w:t>Subscription fee &amp; Other Income (combined line — see decomposition below)</w:t>
            </w:r>
          </w:p>
        </w:tc>
        <w:tc>
          <w:tcPr>
            <w:tcW w:type="dxa" w:w="1560"/>
            <w:vAlign w:val="center"/>
          </w:tcPr>
          <w:p>
            <w:pPr>
              <w:spacing w:after="40"/>
            </w:pPr>
            <w:r>
              <w:rPr>
                <w:rFonts w:ascii="Calibri" w:hAnsi="Calibri"/>
                <w:sz w:val="17"/>
              </w:rPr>
              <w:t>USD 952mn</w:t>
            </w:r>
          </w:p>
        </w:tc>
        <w:tc>
          <w:tcPr>
            <w:tcW w:type="dxa" w:w="1560"/>
            <w:vAlign w:val="center"/>
          </w:tcPr>
          <w:p>
            <w:pPr>
              <w:spacing w:after="40"/>
            </w:pPr>
            <w:r>
              <w:rPr>
                <w:rFonts w:ascii="Calibri" w:hAnsi="Calibri"/>
                <w:sz w:val="17"/>
              </w:rPr>
              <w:t>USD 1,397mn</w:t>
            </w:r>
          </w:p>
        </w:tc>
        <w:tc>
          <w:tcPr>
            <w:tcW w:type="dxa" w:w="1560"/>
            <w:vAlign w:val="center"/>
          </w:tcPr>
          <w:p>
            <w:pPr>
              <w:spacing w:after="40"/>
            </w:pPr>
            <w:r>
              <w:rPr>
                <w:rFonts w:ascii="Calibri" w:hAnsi="Calibri"/>
                <w:sz w:val="17"/>
              </w:rPr>
              <w:t>+44% → +47%</w:t>
            </w:r>
          </w:p>
        </w:tc>
        <w:tc>
          <w:tcPr>
            <w:tcW w:type="dxa" w:w="1560"/>
            <w:vAlign w:val="center"/>
          </w:tcPr>
          <w:p>
            <w:pPr>
              <w:spacing w:after="40"/>
            </w:pPr>
            <w:r>
              <w:rPr>
                <w:rFonts w:ascii="Calibri" w:hAnsi="Calibri"/>
                <w:sz w:val="17"/>
              </w:rPr>
              <w:t>talabat pro subscriber-penetration (GMV share 32% (Q1 2025) → 49% (Q1 2026), Group; TLB-020 p.8; TLB-014 p.14) plus tMart's near-95%-take-rate owned-inventory "other income" component</w:t>
            </w:r>
          </w:p>
        </w:tc>
        <w:tc>
          <w:tcPr>
            <w:tcW w:type="dxa" w:w="1560"/>
            <w:vAlign w:val="center"/>
          </w:tcPr>
          <w:p>
            <w:pPr>
              <w:spacing w:after="40"/>
            </w:pPr>
            <w:r>
              <w:rPr>
                <w:rFonts w:ascii="Calibri" w:hAnsi="Calibri"/>
                <w:sz w:val="17"/>
              </w:rPr>
              <w:t>N-07 (G&amp;R product-mix shift), N-08, N-20/N-21/N-22 (retention/CLV uplift)</w:t>
            </w:r>
          </w:p>
        </w:tc>
      </w:tr>
      <w:tr>
        <w:tc>
          <w:tcPr>
            <w:tcW w:type="dxa" w:w="1560"/>
            <w:vAlign w:val="center"/>
          </w:tcPr>
          <w:p>
            <w:pPr>
              <w:spacing w:after="40"/>
            </w:pPr>
            <w:r>
              <w:rPr>
                <w:rFonts w:ascii="Calibri" w:hAnsi="Calibri"/>
                <w:sz w:val="17"/>
              </w:rPr>
              <w:t>Advertising &amp; listing fees</w:t>
            </w:r>
          </w:p>
        </w:tc>
        <w:tc>
          <w:tcPr>
            <w:tcW w:type="dxa" w:w="1560"/>
            <w:vAlign w:val="center"/>
          </w:tcPr>
          <w:p>
            <w:pPr>
              <w:spacing w:after="40"/>
            </w:pPr>
            <w:r>
              <w:rPr>
                <w:rFonts w:ascii="Calibri" w:hAnsi="Calibri"/>
                <w:sz w:val="17"/>
              </w:rPr>
              <w:t>USD 246mn</w:t>
            </w:r>
          </w:p>
        </w:tc>
        <w:tc>
          <w:tcPr>
            <w:tcW w:type="dxa" w:w="1560"/>
            <w:vAlign w:val="center"/>
          </w:tcPr>
          <w:p>
            <w:pPr>
              <w:spacing w:after="40"/>
            </w:pPr>
            <w:r>
              <w:rPr>
                <w:rFonts w:ascii="Calibri" w:hAnsi="Calibri"/>
                <w:sz w:val="17"/>
              </w:rPr>
              <w:t>USD 323mn</w:t>
            </w:r>
          </w:p>
        </w:tc>
        <w:tc>
          <w:tcPr>
            <w:tcW w:type="dxa" w:w="1560"/>
            <w:vAlign w:val="center"/>
          </w:tcPr>
          <w:p>
            <w:pPr>
              <w:spacing w:after="40"/>
            </w:pPr>
            <w:r>
              <w:rPr>
                <w:rFonts w:ascii="Calibri" w:hAnsi="Calibri"/>
                <w:sz w:val="17"/>
              </w:rPr>
              <w:t>+27% → +32%</w:t>
            </w:r>
          </w:p>
        </w:tc>
        <w:tc>
          <w:tcPr>
            <w:tcW w:type="dxa" w:w="1560"/>
            <w:vAlign w:val="center"/>
          </w:tcPr>
          <w:p>
            <w:pPr>
              <w:spacing w:after="40"/>
            </w:pPr>
            <w:r>
              <w:rPr>
                <w:rFonts w:ascii="Calibri" w:hAnsi="Calibri"/>
                <w:sz w:val="17"/>
              </w:rPr>
              <w:t>Partner demand for visibility — a lagging function of how engaged/frequently-ordering the customer base is, not an independent driver</w:t>
            </w:r>
          </w:p>
        </w:tc>
        <w:tc>
          <w:tcPr>
            <w:tcW w:type="dxa" w:w="1560"/>
            <w:vAlign w:val="center"/>
          </w:tcPr>
          <w:p>
            <w:pPr>
              <w:spacing w:after="40"/>
            </w:pPr>
            <w:r>
              <w:rPr>
                <w:rFonts w:ascii="Calibri" w:hAnsi="Calibri"/>
                <w:sz w:val="17"/>
              </w:rPr>
              <w:t>N-09 (AI/personalisation), N-29, N-11/N-17 (multi-vertical usage), OPT-004</w:t>
            </w:r>
          </w:p>
        </w:tc>
      </w:tr>
      <w:tr>
        <w:tc>
          <w:tcPr>
            <w:tcW w:type="dxa" w:w="1560"/>
            <w:vAlign w:val="center"/>
          </w:tcPr>
          <w:p>
            <w:pPr>
              <w:spacing w:after="40"/>
            </w:pPr>
            <w:r>
              <w:rPr>
                <w:rFonts w:ascii="Calibri" w:hAnsi="Calibri"/>
                <w:sz w:val="17"/>
              </w:rPr>
              <w:t>less: Vouchers and other discounts (contra-revenue)</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USD (120)mn</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Funded promotional/incentive spend</w:t>
            </w:r>
          </w:p>
        </w:tc>
        <w:tc>
          <w:tcPr>
            <w:tcW w:type="dxa" w:w="1560"/>
            <w:vAlign w:val="center"/>
          </w:tcPr>
          <w:p>
            <w:pPr>
              <w:spacing w:after="40"/>
            </w:pPr>
            <w:r>
              <w:rPr>
                <w:rFonts w:ascii="Calibri" w:hAnsi="Calibri"/>
                <w:sz w:val="17"/>
              </w:rPr>
              <w:t>N-12 (targeted incentives)</w:t>
            </w:r>
          </w:p>
        </w:tc>
      </w:tr>
    </w:tbl>
    <w:p>
      <w:pPr>
        <w:pStyle w:val="Heading2"/>
      </w:pPr>
      <w:r>
        <w:t>6.2 Pricing Strategy</w:t>
      </w:r>
    </w:p>
    <w:p>
      <w:pPr>
        <w:keepLines w:val="0"/>
      </w:pPr>
      <w:r>
        <w:t>talabat's pricing is not one strategy but four distinct pricing mechanisms, one per revenue stream, each priced differently and each subject to a different constraint:</w:t>
      </w:r>
    </w:p>
    <w:p>
      <w:pPr>
        <w:pStyle w:val="ListBullet"/>
        <w:keepLines w:val="0"/>
      </w:pPr>
      <w:r>
        <w:t>Commission (agent-model, negotiated/rate-set) — talabat sets a commission rate on Food and Local</w:t>
      </w:r>
    </w:p>
    <w:p>
      <w:pPr>
        <w:pStyle w:val="Heading2"/>
      </w:pPr>
      <w:r>
        <w:t>6.3 Recurring vs. One-Time Revenue Streams</w:t>
      </w:r>
    </w:p>
    <w:p>
      <w:pPr>
        <w:keepLines w:val="0"/>
      </w:pPr>
      <w:r>
        <w:rPr>
          <w:b/>
        </w:rPr>
        <w:t>Reframing note, consistent with Sections 2/3's own precedent. The template's language ("subscription fees, licensing, service contracts, custom AI solutions") describes a SaaS/professional-services revenue mix that does not map cleanly onto talabat's own disclosed marketplace model —</w:t>
      </w:r>
      <w:r>
        <w:t xml:space="preserve"> talabat discloses no "one-time" revenue line in the traditional sense (no license sale, no setup fee, no custom-project contract).</w:t>
      </w:r>
    </w:p>
    <w:p>
      <w:pPr>
        <w:pStyle w:val="ListBullet"/>
        <w:keepLines w:val="0"/>
      </w:pPr>
      <w:r>
        <w:t>Contractually recurring: subscription fees only (talabat pro membership) — the smallest disclosed</w:t>
      </w:r>
    </w:p>
    <w:p>
      <w:pPr>
        <w:pStyle w:val="Heading2"/>
      </w:pPr>
      <w:r>
        <w:t>6.4 Unit Economics — What One Customer and One Order Earn and Cost</w:t>
      </w:r>
    </w:p>
    <w:p>
      <w:pPr>
        <w:keepLines w:val="0"/>
      </w:pPr>
      <w:r>
        <w:rPr>
          <w:b/>
        </w:rPr>
        <w:t>Per-customer, per-month (the clearest disclosed unit-economics differentiator in the corpus). Food-only customers spent AED 194 (≈ USD 53)/month at 3.8 orders, while multi-vertical (Food + G&amp;R) customers spent AED 814 (≈ USD 222)/month at 12.8 orders —</w:t>
      </w:r>
      <w:r>
        <w:t xml:space="preserve"> a &gt;4x monthly-spend gap tied to a ~3.4x order-frequency gap (Group, September 2024 basis; TLB-026, pages 91, 122).</w:t>
      </w:r>
    </w:p>
    <w:p>
      <w:pPr>
        <w:pStyle w:val="Heading2"/>
      </w:pPr>
      <w:r>
        <w:t>6.5 The Proposed AI Decision-Support Layer's Own Revenue Treatment (cross-reference)</w:t>
      </w:r>
    </w:p>
    <w:p>
      <w:pPr>
        <w:keepLines w:val="0"/>
      </w:pPr>
      <w:r>
        <w:t>Consistent with Section 2.5's framing: the AI-enabled capital-allocation decision-support system this plan proposes is an internal capability, not a separately-sold product, and therefore does not add a new revenue line to the MECE breakdown above.</w:t>
      </w:r>
    </w:p>
    <w:p>
      <w:pPr>
        <w:spacing w:after="80"/>
      </w:pPr>
    </w:p>
    <w:p>
      <w:pPr>
        <w:pStyle w:val="Heading1"/>
      </w:pPr>
      <w:r>
        <w:t>7. Marketing and Sales Strategy</w:t>
      </w:r>
    </w:p>
    <w:p>
      <w:pPr>
        <w:pStyle w:val="Heading2"/>
      </w:pPr>
      <w:r>
        <w:t>Answer, stated first</w:t>
      </w:r>
    </w:p>
    <w:p>
      <w:pPr>
        <w:keepLines w:val="0"/>
      </w:pPr>
      <w:r>
        <w:rPr>
          <w:b/>
        </w:rPr>
        <w:t>talabat's own disclosed marketing posture is not price-led acquisition but customer-value-proposition (CVP) investment —</w:t>
      </w:r>
      <w:r>
        <w:t xml:space="preserve"> management states explicitly that Food-leadership capital goes toward CVP "rather than matching competitor discounts and vouchers" (Group; TLB-020, page 16) — and this plan's marketing and sales…</w:t>
      </w:r>
    </w:p>
    <w:p>
      <w:pPr>
        <w:pStyle w:val="Heading2"/>
      </w:pPr>
      <w:r>
        <w:t>7.1 Positioning — What talabat Is, and Deliberately Is Not, Competing On</w:t>
      </w:r>
    </w:p>
    <w:p>
      <w:pPr>
        <w:keepLines w:val="0"/>
      </w:pPr>
      <w:r>
        <w:rPr>
          <w:b/>
        </w:rPr>
        <w:t>The stated positioning. talabat frames itself as transitioning "from a multi-vertical food-delivery platform to the region's Everyday App" (Group; TLB-020, page 16, cited in Section_02_Business_Description.md §2.1), a narrative arc management itself traces across three successive brand statements —</w:t>
      </w:r>
      <w:r>
        <w:t xml:space="preserve"> "Delivering food to…</w:t>
      </w:r>
    </w:p>
    <w:p>
      <w:pPr>
        <w:pStyle w:val="Heading2"/>
      </w:pPr>
      <w:r>
        <w:t>7.2 Customer Acquisition — Channels, Funnel, and Journey Mapping</w:t>
      </w:r>
    </w:p>
    <w:p>
      <w:pPr>
        <w:keepLines w:val="0"/>
      </w:pPr>
      <w:r>
        <w:t>Disclosed channels (Fact, Group level). The corpus discloses acquisition and retention spend by cost category, not by discrete marketing channel (no disclosed breakdown of paid search, social, in-app referral, or offline spend exists anywhere in the corpus).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Funnel stage</w:t>
            </w:r>
          </w:p>
        </w:tc>
        <w:tc>
          <w:tcPr>
            <w:tcW w:type="dxa" w:w="3120"/>
            <w:shd w:fill="E8EEF5"/>
            <w:vAlign w:val="center"/>
          </w:tcPr>
          <w:p>
            <w:pPr>
              <w:spacing w:after="40"/>
            </w:pPr>
            <w:r>
              <w:rPr>
                <w:rFonts w:ascii="Calibri" w:hAnsi="Calibri"/>
                <w:b/>
                <w:sz w:val="17"/>
              </w:rPr>
              <w:t>Anchor to real, disclosed evidence</w:t>
            </w:r>
          </w:p>
        </w:tc>
        <w:tc>
          <w:tcPr>
            <w:tcW w:type="dxa" w:w="3120"/>
            <w:shd w:fill="E8EEF5"/>
            <w:vAlign w:val="center"/>
          </w:tcPr>
          <w:p>
            <w:pPr>
              <w:spacing w:after="40"/>
            </w:pPr>
            <w:r>
              <w:rPr>
                <w:rFonts w:ascii="Calibri" w:hAnsi="Calibri"/>
                <w:b/>
                <w:sz w:val="17"/>
              </w:rPr>
              <w:t>Illustrative conversion (stage-to-stage)</w:t>
            </w:r>
          </w:p>
        </w:tc>
      </w:tr>
      <w:tr>
        <w:tc>
          <w:tcPr>
            <w:tcW w:type="dxa" w:w="3120"/>
            <w:vAlign w:val="center"/>
          </w:tcPr>
          <w:p>
            <w:pPr>
              <w:spacing w:after="40"/>
            </w:pPr>
            <w:r>
              <w:rPr>
                <w:rFonts w:ascii="Calibri" w:hAnsi="Calibri"/>
                <w:sz w:val="17"/>
              </w:rPr>
              <w:t>Awareness → App download / first visit</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 illustrative estimate, not derived from talabat's disclosed data]</w:t>
            </w:r>
          </w:p>
        </w:tc>
      </w:tr>
      <w:tr>
        <w:tc>
          <w:tcPr>
            <w:tcW w:type="dxa" w:w="3120"/>
            <w:vAlign w:val="center"/>
          </w:tcPr>
          <w:p>
            <w:pPr>
              <w:spacing w:after="40"/>
            </w:pPr>
            <w:r>
              <w:rPr>
                <w:rFonts w:ascii="Calibri" w:hAnsi="Calibri"/>
                <w:sz w:val="17"/>
              </w:rPr>
              <w:t>Download → Trial (first order placed)</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illustrative: ~25–35%]</w:t>
            </w:r>
          </w:p>
        </w:tc>
      </w:tr>
      <w:tr>
        <w:tc>
          <w:tcPr>
            <w:tcW w:type="dxa" w:w="3120"/>
            <w:vAlign w:val="center"/>
          </w:tcPr>
          <w:p>
            <w:pPr>
              <w:spacing w:after="40"/>
            </w:pPr>
            <w:r>
              <w:rPr>
                <w:rFonts w:ascii="Calibri" w:hAnsi="Calibri"/>
                <w:sz w:val="17"/>
              </w:rPr>
              <w:t>Trial → Reaches ~6-order personalisation threshold</w:t>
            </w:r>
          </w:p>
        </w:tc>
        <w:tc>
          <w:tcPr>
            <w:tcW w:type="dxa" w:w="3120"/>
            <w:vAlign w:val="center"/>
          </w:tcPr>
          <w:p>
            <w:pPr>
              <w:spacing w:after="40"/>
            </w:pPr>
            <w:r>
              <w:rPr>
                <w:rFonts w:ascii="Calibri" w:hAnsi="Calibri"/>
                <w:sz w:val="17"/>
              </w:rPr>
              <w:t>Real, disclosed mechanical threshold (Group; TLB-002, p.15) — but no disclosed % of trialists who reach it</w:t>
            </w:r>
          </w:p>
        </w:tc>
        <w:tc>
          <w:tcPr>
            <w:tcW w:type="dxa" w:w="3120"/>
            <w:vAlign w:val="center"/>
          </w:tcPr>
          <w:p>
            <w:pPr>
              <w:spacing w:after="40"/>
            </w:pPr>
            <w:r>
              <w:rPr>
                <w:rFonts w:ascii="Calibri" w:hAnsi="Calibri"/>
                <w:sz w:val="17"/>
              </w:rPr>
              <w:t>[SYNTHETIC, illustrative: ~15–25% of first-time orderers]</w:t>
            </w:r>
          </w:p>
        </w:tc>
      </w:tr>
      <w:tr>
        <w:tc>
          <w:tcPr>
            <w:tcW w:type="dxa" w:w="3120"/>
            <w:vAlign w:val="center"/>
          </w:tcPr>
          <w:p>
            <w:pPr>
              <w:spacing w:after="40"/>
            </w:pPr>
            <w:r>
              <w:rPr>
                <w:rFonts w:ascii="Calibri" w:hAnsi="Calibri"/>
                <w:sz w:val="17"/>
              </w:rPr>
              <w:t>6-order threshold → Multi-vertical adoption (Food + G&amp;R)</w:t>
            </w:r>
          </w:p>
        </w:tc>
        <w:tc>
          <w:tcPr>
            <w:tcW w:type="dxa" w:w="3120"/>
            <w:vAlign w:val="center"/>
          </w:tcPr>
          <w:p>
            <w:pPr>
              <w:spacing w:after="40"/>
            </w:pPr>
            <w:r>
              <w:rPr>
                <w:rFonts w:ascii="Calibri" w:hAnsi="Calibri"/>
                <w:sz w:val="17"/>
              </w:rPr>
              <w:t>Real, disclosed journey sequence (Group; TLB-013, p.6) — but no disclosed conversion %</w:t>
            </w:r>
          </w:p>
        </w:tc>
        <w:tc>
          <w:tcPr>
            <w:tcW w:type="dxa" w:w="3120"/>
            <w:vAlign w:val="center"/>
          </w:tcPr>
          <w:p>
            <w:pPr>
              <w:spacing w:after="40"/>
            </w:pPr>
            <w:r>
              <w:rPr>
                <w:rFonts w:ascii="Calibri" w:hAnsi="Calibri"/>
                <w:sz w:val="17"/>
              </w:rPr>
              <w:t>[SYNTHETIC, illustrative: ~30–40%]</w:t>
            </w:r>
          </w:p>
        </w:tc>
      </w:tr>
      <w:tr>
        <w:tc>
          <w:tcPr>
            <w:tcW w:type="dxa" w:w="3120"/>
            <w:vAlign w:val="center"/>
          </w:tcPr>
          <w:p>
            <w:pPr>
              <w:spacing w:after="40"/>
            </w:pPr>
            <w:r>
              <w:rPr>
                <w:rFonts w:ascii="Calibri" w:hAnsi="Calibri"/>
                <w:sz w:val="17"/>
              </w:rPr>
              <w:t>Multi-vertical → talabat pro sign-up</w:t>
            </w:r>
          </w:p>
        </w:tc>
        <w:tc>
          <w:tcPr>
            <w:tcW w:type="dxa" w:w="3120"/>
            <w:vAlign w:val="center"/>
          </w:tcPr>
          <w:p>
            <w:pPr>
              <w:spacing w:after="40"/>
            </w:pPr>
            <w:r>
              <w:rPr>
                <w:rFonts w:ascii="Calibri" w:hAnsi="Calibri"/>
                <w:sz w:val="17"/>
              </w:rPr>
              <w:t>Real, disclosed journey terminus (Group; TLB-013, p.6) — but no disclosed conversion %</w:t>
            </w:r>
          </w:p>
        </w:tc>
        <w:tc>
          <w:tcPr>
            <w:tcW w:type="dxa" w:w="3120"/>
            <w:vAlign w:val="center"/>
          </w:tcPr>
          <w:p>
            <w:pPr>
              <w:spacing w:after="40"/>
            </w:pPr>
            <w:r>
              <w:rPr>
                <w:rFonts w:ascii="Calibri" w:hAnsi="Calibri"/>
                <w:sz w:val="17"/>
              </w:rPr>
              <w:t>[SYNTHETIC, illustrative: ~10–20%]</w:t>
            </w:r>
          </w:p>
        </w:tc>
      </w:tr>
    </w:tbl>
    <w:p>
      <w:pPr>
        <w:pStyle w:val="Heading2"/>
      </w:pPr>
      <w:r>
        <w:t>7.3 Partnerships</w:t>
      </w:r>
    </w:p>
    <w:p>
      <w:pPr>
        <w:keepLines w:val="0"/>
      </w:pPr>
      <w:r>
        <w:rPr>
          <w:b/>
        </w:rPr>
        <w:t>Restaurant/retail Partners —</w:t>
      </w:r>
      <w:r>
        <w:t xml:space="preserve"> the disclosed core of the partnership base. Food-leadership's stated partner-side investment is explicit: "on the partner side, we invest in retaining, winning back, and acquiring high-demand food partners...</w:t>
      </w:r>
    </w:p>
    <w:p>
      <w:pPr>
        <w:pStyle w:val="Heading2"/>
      </w:pPr>
      <w:r>
        <w:t>7.4 Retention — Support, Community, and Product Enhancement</w:t>
      </w:r>
    </w:p>
    <w:p>
      <w:pPr>
        <w:keepLines w:val="0"/>
      </w:pPr>
      <w:r>
        <w:rPr>
          <w:b/>
        </w:rPr>
        <w:t>The ranked mechanism set, restated for the sales-and-marketing lens. Strategic/Customer Retention Drivers.md's own synthesis ranks five product-embedded retention levers by strength of corpus evidence: (1) talabat pro —</w:t>
      </w:r>
      <w:r>
        <w:t xml:space="preserve"> a 20-28% order-frequency uplift and 26-32% retention uplift versus matched non-subscribers, and a…</w:t>
      </w:r>
    </w:p>
    <w:p>
      <w:pPr>
        <w:pStyle w:val="Heading2"/>
      </w:pPr>
      <w:r>
        <w:t>7.5 Where This Positions the Plan's Own Ranked Options</w:t>
      </w:r>
    </w:p>
    <w:p>
      <w:pPr>
        <w:keepLines w:val="0"/>
      </w:pPr>
      <w:r>
        <w:t>Restated plainly: this section's positioning (CVP over discounting), acquisition approach (product- embedded journey stages plus a labeled synthetic funnel model, sequenced on the disclosed GCC-first-then- Egypt FinTech precedent), partnership base (restaurant/retail Partners, banking co-brand cards), and retention…</w:t>
      </w:r>
    </w:p>
    <w:p>
      <w:pPr>
        <w:spacing w:after="80"/>
      </w:pPr>
    </w:p>
    <w:p>
      <w:pPr>
        <w:pStyle w:val="Heading1"/>
      </w:pPr>
      <w:r>
        <w:t>8. Operations Plan</w:t>
      </w:r>
    </w:p>
    <w:p>
      <w:pPr>
        <w:pStyle w:val="Heading2"/>
      </w:pPr>
      <w:r>
        <w:t>Answer, stated first</w:t>
      </w:r>
    </w:p>
    <w:p>
      <w:pPr>
        <w:keepLines w:val="0"/>
      </w:pPr>
      <w:r>
        <w:rPr>
          <w:b/>
        </w:rPr>
        <w:t>talabat does not need to build new operational infrastructure to execute this plan's recommendation —</w:t>
      </w:r>
      <w:r>
        <w:t xml:space="preserve">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w:t>
      </w:r>
    </w:p>
    <w:p>
      <w:pPr>
        <w:pStyle w:val="Heading2"/>
      </w:pPr>
      <w:r>
        <w:t>8.1 Infrastructure Needs</w:t>
      </w:r>
    </w:p>
    <w:p>
      <w:pPr>
        <w:keepLines w:val="0"/>
      </w:pPr>
      <w: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w:t>
      </w:r>
    </w:p>
    <w:p>
      <w:pPr>
        <w:pStyle w:val="Heading2"/>
      </w:pPr>
      <w:r>
        <w:t>8.2 Development and Maintenance Workflow</w:t>
      </w:r>
    </w:p>
    <w:p>
      <w:pPr>
        <w:keepLines w:val="0"/>
      </w:pPr>
      <w:r>
        <w:rPr>
          <w:b/>
        </w:rPr>
        <w:t>What is disclosed: a contractual services structure, not an internal software development lifecycle. No document in the corpus describes talabat's internal engineering process (sprint cadence, release process, environment/staging structure, or code-ownership model) —</w:t>
      </w:r>
      <w:r>
        <w:t xml:space="preserve"> this is a genuine gap, stated openly rather than invented.</w:t>
      </w:r>
    </w:p>
    <w:p>
      <w:pPr>
        <w:pStyle w:val="Heading2"/>
      </w:pPr>
      <w:r>
        <w:t>8.3 Key Team Roles and the Skills Gap vs. Today</w:t>
      </w:r>
    </w:p>
    <w:p>
      <w:pPr>
        <w:keepLines w:val="0"/>
      </w:pPr>
      <w:r>
        <w:t>Named roles the corpus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w:t>
      </w:r>
    </w:p>
    <w:p>
      <w:pPr>
        <w:pStyle w:val="Heading2"/>
      </w:pPr>
      <w:r>
        <w:t>8.4 7S Alignment Check</w:t>
      </w:r>
    </w:p>
    <w:p>
      <w:pPr>
        <w:keepLines w:val="0"/>
      </w:pPr>
      <w:r>
        <w:rPr>
          <w:b/>
        </w:rPr>
        <w:t>The corpus does not contain a pre-built 7S analysis for talabat —</w:t>
      </w:r>
      <w:r>
        <w:t xml:space="preserve"> this is genuine synthesis, built here for the first time against the evidence assembled above and in the Topic Notes cited throughout this plan.</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w:t>
            </w:r>
          </w:p>
        </w:tc>
        <w:tc>
          <w:tcPr>
            <w:tcW w:type="dxa" w:w="2340"/>
            <w:shd w:fill="E8EEF5"/>
            <w:vAlign w:val="center"/>
          </w:tcPr>
          <w:p>
            <w:pPr>
              <w:spacing w:after="40"/>
            </w:pPr>
            <w:r>
              <w:rPr>
                <w:rFonts w:ascii="Calibri" w:hAnsi="Calibri"/>
                <w:b/>
                <w:sz w:val="17"/>
              </w:rPr>
              <w:t>Rating</w:t>
            </w:r>
          </w:p>
        </w:tc>
        <w:tc>
          <w:tcPr>
            <w:tcW w:type="dxa" w:w="2340"/>
            <w:shd w:fill="E8EEF5"/>
            <w:vAlign w:val="center"/>
          </w:tcPr>
          <w:p>
            <w:pPr>
              <w:spacing w:after="40"/>
            </w:pPr>
            <w:r>
              <w:rPr>
                <w:rFonts w:ascii="Calibri" w:hAnsi="Calibri"/>
                <w:b/>
                <w:sz w:val="17"/>
              </w:rPr>
              <w:t>Evidence</w:t>
            </w:r>
          </w:p>
        </w:tc>
        <w:tc>
          <w:tcPr>
            <w:tcW w:type="dxa" w:w="2340"/>
            <w:shd w:fill="E8EEF5"/>
            <w:vAlign w:val="center"/>
          </w:tcPr>
          <w:p>
            <w:pPr>
              <w:spacing w:after="40"/>
            </w:pPr>
            <w:r>
              <w:rPr>
                <w:rFonts w:ascii="Calibri" w:hAnsi="Calibri"/>
                <w:b/>
                <w:sz w:val="17"/>
              </w:rPr>
              <w:t>Gap-closing action</w:t>
            </w:r>
          </w:p>
        </w:tc>
      </w:tr>
      <w:tr>
        <w:tc>
          <w:tcPr>
            <w:tcW w:type="dxa" w:w="2340"/>
            <w:vAlign w:val="center"/>
          </w:tcPr>
          <w:p>
            <w:pPr>
              <w:spacing w:after="40"/>
            </w:pPr>
            <w:r>
              <w:rPr>
                <w:rFonts w:ascii="Calibri" w:hAnsi="Calibri"/>
                <w:sz w:val="17"/>
              </w:rPr>
              <w:t>Strategy</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The Everyday App (~USD120mn) / Food-leadership (~USD55mn) split and the CVP-over-discounting positioning are clearly disclosed and consistently communicated (Section_02_Business_Description.md §2.1; Section_07_Marketing_and_Sales_Strategy.md §7.1; TLB-020, page 16)</w:t>
            </w:r>
          </w:p>
        </w:tc>
        <w:tc>
          <w:tcPr>
            <w:tcW w:type="dxa" w:w="2340"/>
            <w:vAlign w:val="center"/>
          </w:tcPr>
          <w:p>
            <w:pPr>
              <w:spacing w:after="40"/>
            </w:pPr>
            <w:r>
              <w:rPr>
                <w:rFonts w:ascii="Calibri" w:hAnsi="Calibri"/>
                <w:sz w:val="17"/>
              </w:rPr>
              <w:t>None required — this is the plan's strongest evidenced "S"</w:t>
            </w:r>
          </w:p>
        </w:tc>
      </w:tr>
      <w:tr>
        <w:tc>
          <w:tcPr>
            <w:tcW w:type="dxa" w:w="2340"/>
            <w:vAlign w:val="center"/>
          </w:tcPr>
          <w:p>
            <w:pPr>
              <w:spacing w:after="40"/>
            </w:pPr>
            <w:r>
              <w:rPr>
                <w:rFonts w:ascii="Calibri" w:hAnsi="Calibri"/>
                <w:sz w:val="17"/>
              </w:rPr>
              <w:t>Structure</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Board dominated by Delivery Hero SE officers (Vandepitte/Chair also DH SE COO; Krause also DH SE General Counsel; Popp also DH SE interim CFO — Corporate Structure.md, TLB-026); Egypt operates through two dedicated legal entities (Delivery Hero Egypt SAE, Delivery Hero Dmart Egypt LLC) with no disclosed local board or decision rights (Corporate Structure.md Open Questions)</w:t>
            </w:r>
          </w:p>
        </w:tc>
        <w:tc>
          <w:tcPr>
            <w:tcW w:type="dxa" w:w="2340"/>
            <w:vAlign w:val="center"/>
          </w:tcPr>
          <w:p>
            <w:pPr>
              <w:spacing w:after="40"/>
            </w:pPr>
            <w:r>
              <w:rPr>
                <w:rFonts w:ascii="Calibri" w:hAnsi="Calibri"/>
                <w:sz w:val="17"/>
              </w:rPr>
              <w:t>This plan's recommendation is presented for Group-level approval, consistent with the visible governance concentration, rather than assuming a country-level approval path exists (Decision-Making Process.md Strategic Implications)</w:t>
            </w:r>
          </w:p>
        </w:tc>
      </w:tr>
      <w:tr>
        <w:tc>
          <w:tcPr>
            <w:tcW w:type="dxa" w:w="2340"/>
            <w:vAlign w:val="center"/>
          </w:tcPr>
          <w:p>
            <w:pPr>
              <w:spacing w:after="40"/>
            </w:pPr>
            <w:r>
              <w:rPr>
                <w:rFonts w:ascii="Calibri" w:hAnsi="Calibri"/>
                <w:sz w:val="17"/>
              </w:rPr>
              <w:t>Systems</w:t>
            </w:r>
          </w:p>
        </w:tc>
        <w:tc>
          <w:tcPr>
            <w:tcW w:type="dxa" w:w="2340"/>
            <w:vAlign w:val="center"/>
          </w:tcPr>
          <w:p>
            <w:pPr>
              <w:spacing w:after="40"/>
            </w:pPr>
            <w:r>
              <w:rPr>
                <w:rFonts w:ascii="Calibri" w:hAnsi="Calibri"/>
                <w:sz w:val="17"/>
              </w:rPr>
              <w:t>Not ready — the largest gap</w:t>
            </w:r>
          </w:p>
        </w:tc>
        <w:tc>
          <w:tcPr>
            <w:tcW w:type="dxa" w:w="2340"/>
            <w:vAlign w:val="center"/>
          </w:tcPr>
          <w:p>
            <w:pPr>
              <w:spacing w:after="40"/>
            </w:pPr>
            <w:r>
              <w:rPr>
                <w:rFonts w:ascii="Calibri" w:hAnsi="Calibri"/>
                <w:sz w:val="17"/>
              </w:rPr>
              <w:t>No internal capital-allocation committee, approval threshold, or stage-gate process for the USD175mn programme is disclosed anywhere in the corpus (Capital Allocation and Investment Governance.md)</w:t>
            </w:r>
          </w:p>
        </w:tc>
        <w:tc>
          <w:tcPr>
            <w:tcW w:type="dxa" w:w="2340"/>
            <w:vAlign w:val="center"/>
          </w:tcPr>
          <w:p>
            <w:pPr>
              <w:spacing w:after="40"/>
            </w:pPr>
            <w:r>
              <w:rPr>
                <w:rFonts w:ascii="Calibri" w:hAnsi="Calibri"/>
                <w:sz w:val="17"/>
              </w:rPr>
              <w:t>This OS's own proposed mechanism, not a description of talabat's actual process: a lightweight stage-gate — each OPT- option reviewed against its own named stage gate (already specified per option, e.g. OPT-002's 2-quarter Egypt pilot checkpoint, OPT-001's margin-drag checkpoint) before scale-up funding, tracked against KPI_Tree_v2.md's Governance family (G1-G7, all seven newly-instrumented, none with a corpus baseline) — gated for human/team approval before any capital moves, per the Responsible-AI principle Section 11 develops further</w:t>
            </w:r>
          </w:p>
        </w:tc>
      </w:tr>
      <w:tr>
        <w:tc>
          <w:tcPr>
            <w:tcW w:type="dxa" w:w="2340"/>
            <w:vAlign w:val="center"/>
          </w:tcPr>
          <w:p>
            <w:pPr>
              <w:spacing w:after="40"/>
            </w:pPr>
            <w:r>
              <w:rPr>
                <w:rFonts w:ascii="Calibri" w:hAnsi="Calibri"/>
                <w:sz w:val="17"/>
              </w:rPr>
              <w:t>Shared Values</w:t>
            </w:r>
          </w:p>
        </w:tc>
        <w:tc>
          <w:tcPr>
            <w:tcW w:type="dxa" w:w="2340"/>
            <w:vAlign w:val="center"/>
          </w:tcPr>
          <w:p>
            <w:pPr>
              <w:spacing w:after="40"/>
            </w:pPr>
            <w:r>
              <w:rPr>
                <w:rFonts w:ascii="Calibri" w:hAnsi="Calibri"/>
                <w:sz w:val="17"/>
              </w:rPr>
              <w:t>Partially evidenced</w:t>
            </w:r>
          </w:p>
        </w:tc>
        <w:tc>
          <w:tcPr>
            <w:tcW w:type="dxa" w:w="2340"/>
            <w:vAlign w:val="center"/>
          </w:tcPr>
          <w:p>
            <w:pPr>
              <w:spacing w:after="40"/>
            </w:pPr>
            <w:r>
              <w:rPr>
                <w:rFonts w:ascii="Calibri" w:hAnsi="Calibri"/>
                <w:sz w:val="17"/>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2340"/>
            <w:vAlign w:val="center"/>
          </w:tcPr>
          <w:p>
            <w:pPr>
              <w:spacing w:after="40"/>
            </w:pPr>
            <w:r>
              <w:rPr>
                <w:rFonts w:ascii="Calibri" w:hAnsi="Calibri"/>
                <w:sz w:val="17"/>
              </w:rPr>
              <w:t>This plan's Section 11 (Responsible AI) is the designated place to state the value this OS itself operates on (human-approval-gated recommendations, never a false-precision automatic decision) explicitly, since talabat's own disclosure does not state an equivalent value for its internal allocation process</w:t>
            </w:r>
          </w:p>
        </w:tc>
      </w:tr>
      <w:tr>
        <w:tc>
          <w:tcPr>
            <w:tcW w:type="dxa" w:w="2340"/>
            <w:vAlign w:val="center"/>
          </w:tcPr>
          <w:p>
            <w:pPr>
              <w:spacing w:after="40"/>
            </w:pPr>
            <w:r>
              <w:rPr>
                <w:rFonts w:ascii="Calibri" w:hAnsi="Calibri"/>
                <w:sz w:val="17"/>
              </w:rPr>
              <w:t>Skills</w:t>
            </w:r>
          </w:p>
        </w:tc>
        <w:tc>
          <w:tcPr>
            <w:tcW w:type="dxa" w:w="2340"/>
            <w:vAlign w:val="center"/>
          </w:tcPr>
          <w:p>
            <w:pPr>
              <w:spacing w:after="40"/>
            </w:pPr>
            <w:r>
              <w:rPr>
                <w:rFonts w:ascii="Calibri" w:hAnsi="Calibri"/>
                <w:sz w:val="17"/>
              </w:rPr>
              <w:t>Not ready</w:t>
            </w:r>
          </w:p>
        </w:tc>
        <w:tc>
          <w:tcPr>
            <w:tcW w:type="dxa" w:w="2340"/>
            <w:vAlign w:val="center"/>
          </w:tcPr>
          <w:p>
            <w:pPr>
              <w:spacing w:after="40"/>
            </w:pPr>
            <w:r>
              <w:rPr>
                <w:rFonts w:ascii="Calibri" w:hAnsi="Calibri"/>
                <w:sz w:val="17"/>
              </w:rPr>
              <w:t>No named data-science, capital-allocation, or portfolio-management function in the disclosed executive roster (§8.3); OPT-004/OPT-005 both name a specific, currently-unconfirmed capability gap (Partner-facing ad sales; per-market AI model tuning)</w:t>
            </w:r>
          </w:p>
        </w:tc>
        <w:tc>
          <w:tcPr>
            <w:tcW w:type="dxa" w:w="2340"/>
            <w:vAlign w:val="center"/>
          </w:tcPr>
          <w:p>
            <w:pPr>
              <w:spacing w:after="40"/>
            </w:pPr>
            <w:r>
              <w:rPr>
                <w:rFonts w:ascii="Calibri" w:hAnsi="Calibri"/>
                <w:sz w:val="17"/>
              </w:rPr>
              <w:t>Locate the proposed Systems function (above) near the existing CFO/GRC structure rather than inventing a new seat; pilot OPT-005's per-market model-tuning gap in Egypt specifically, per OPT-005's own pilot recommendation</w:t>
            </w:r>
          </w:p>
        </w:tc>
      </w:tr>
      <w:tr>
        <w:tc>
          <w:tcPr>
            <w:tcW w:type="dxa" w:w="2340"/>
            <w:vAlign w:val="center"/>
          </w:tcPr>
          <w:p>
            <w:pPr>
              <w:spacing w:after="40"/>
            </w:pPr>
            <w:r>
              <w:rPr>
                <w:rFonts w:ascii="Calibri" w:hAnsi="Calibri"/>
                <w:sz w:val="17"/>
              </w:rPr>
              <w:t>Style</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A recognisable, repeated communication cadence — Capital Markets Day for medium-term targets, Annual Report for the year's strategic objective, quarterly results for dollar figures (Decision-Making Process.md "venue pattern") — and consistent language ("investments not costs," CVP-over-discounting) across TLB-014/019/020</w:t>
            </w:r>
          </w:p>
        </w:tc>
        <w:tc>
          <w:tcPr>
            <w:tcW w:type="dxa" w:w="2340"/>
            <w:vAlign w:val="center"/>
          </w:tcPr>
          <w:p>
            <w:pPr>
              <w:spacing w:after="40"/>
            </w:pPr>
            <w:r>
              <w:rPr>
                <w:rFonts w:ascii="Calibri" w:hAnsi="Calibri"/>
                <w:sz w:val="17"/>
              </w:rPr>
              <w:t>None required</w:t>
            </w:r>
          </w:p>
        </w:tc>
      </w:tr>
      <w:tr>
        <w:tc>
          <w:tcPr>
            <w:tcW w:type="dxa" w:w="2340"/>
            <w:vAlign w:val="center"/>
          </w:tcPr>
          <w:p>
            <w:pPr>
              <w:spacing w:after="40"/>
            </w:pPr>
            <w:r>
              <w:rPr>
                <w:rFonts w:ascii="Calibri" w:hAnsi="Calibri"/>
                <w:sz w:val="17"/>
              </w:rPr>
              <w:t>Staff</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Governance-adjacent named roles exist (GRC, Internal Audit, Legal/Board Secretary — §8.3) — but two leadership transitions are recorded in the corpus without any narrated explanation: CEO Tomaso Rodriguez → Toon Gyssels (between TLB-018, Aug 2025, and TLB-009, Feb 2026) and board seat Muhammad Hussain Ghati Al Jbori → Abdul Wahab Al-Halabi (between TLB-004/TLB-026 and TLB-008) (Corporate Structure.md, Entities/Executives.md)</w:t>
            </w:r>
          </w:p>
        </w:tc>
        <w:tc>
          <w:tcPr>
            <w:tcW w:type="dxa" w:w="2340"/>
            <w:vAlign w:val="center"/>
          </w:tcPr>
          <w:p>
            <w:pPr>
              <w:spacing w:after="40"/>
            </w:pPr>
            <w:r>
              <w:rPr>
                <w:rFonts w:ascii="Calibri" w:hAnsi="Calibri"/>
                <w:sz w:val="17"/>
              </w:rPr>
              <w:t>Named explicitly here as a continuity caveat and carried forward into Section 10 (Risk Analysis) as an organizational risk, not resolved or explained by this plan, since no source in the corpus does so either</w:t>
            </w:r>
          </w:p>
        </w:tc>
      </w:tr>
    </w:tbl>
    <w:p>
      <w:pPr>
        <w:pStyle w:val="Heading2"/>
      </w:pPr>
      <w:r>
        <w:t>8.5 Security and Compliance Measures</w:t>
      </w:r>
    </w:p>
    <w:p>
      <w:pPr>
        <w:keepLines w:val="0"/>
      </w:pPr>
      <w: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w:t>
      </w:r>
    </w:p>
    <w:p>
      <w:pPr>
        <w:spacing w:after="80"/>
      </w:pPr>
    </w:p>
    <w:p>
      <w:pPr>
        <w:pStyle w:val="Heading1"/>
      </w:pPr>
      <w:r>
        <w:t>9. Financial Plan</w:t>
      </w:r>
    </w:p>
    <w:p>
      <w:pPr>
        <w:pStyle w:val="Heading2"/>
      </w:pPr>
      <w:r>
        <w:t>Answer, stated first</w:t>
      </w:r>
    </w:p>
    <w:p>
      <w:pPr>
        <w:keepLines w:val="0"/>
      </w:pPr>
      <w:r>
        <w:t>talabat's own FY2026 guidance already prices in the 2026 investment programme's cost: GMV growth of 11-14% cFX, Revenue growth 14-17% cFX, Adjusted EBITDA of 4.4-4.8% of GMV (down from 6.0% in Q4 2025), and Free Cash Flow of 3.2-3.6% of GMV.</w:t>
      </w:r>
    </w:p>
    <w:p>
      <w:pPr>
        <w:pStyle w:val="Heading2"/>
      </w:pPr>
      <w:r>
        <w:t>9.1 Value Driver Tree — Linking the Investment Programme to Financial Outcomes</w:t>
      </w:r>
    </w:p>
    <w:p>
      <w:pPr>
        <w:keepLines w:val="0"/>
      </w:pPr>
      <w:r>
        <w:t>The governing chain (vault/Knowledge/Investment_Relationship_Map.md; formalized as Value_Driver_Tree_v2.md's 45 nodes): Investment → capability deployment → adoption/operational change → customer/partner behaviour → order frequency → multi-vertical usage → basket/AOV → retention/CLV → GMV → revenue → gross profit → EBITDA → cash flow.</w:t>
      </w:r>
    </w:p>
    <w:p>
      <w:pPr>
        <w:pStyle w:val="Heading2"/>
      </w:pPr>
      <w:r>
        <w:t>9.2 Initial Investment and Operational Costs</w:t>
      </w:r>
    </w:p>
    <w:p>
      <w:pPr>
        <w:keepLines w:val="0"/>
      </w:pPr>
      <w:r>
        <w:rPr>
          <w:b/>
        </w:rPr>
        <w:t>Disclosed, not decided by this plan: USD175mn total, Board-approved February 2026, fully funded by internal cash —</w:t>
      </w:r>
      <w:r>
        <w:t xml:space="preserve"> ~USD120mn Everyday App (~USD75mn opex + ~USD45mn capex) + ~USD55mn Food-leadership (vault/Decisions/Investment_Portfolio_Register.md).</w:t>
      </w:r>
    </w:p>
    <w:p>
      <w:pPr>
        <w:pStyle w:val="Heading2"/>
      </w:pPr>
      <w:r>
        <w:t>9.3 Revenue Forecasts — Base, Upside, Downside (FY2026)</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Scenario</w:t>
            </w:r>
          </w:p>
        </w:tc>
        <w:tc>
          <w:tcPr>
            <w:tcW w:type="dxa" w:w="1560"/>
            <w:shd w:fill="E8EEF5"/>
            <w:vAlign w:val="center"/>
          </w:tcPr>
          <w:p>
            <w:pPr>
              <w:spacing w:after="40"/>
            </w:pPr>
            <w:r>
              <w:rPr>
                <w:rFonts w:ascii="Calibri" w:hAnsi="Calibri"/>
                <w:b/>
                <w:sz w:val="17"/>
              </w:rPr>
              <w:t>GMV growth (cFX)</w:t>
            </w:r>
          </w:p>
        </w:tc>
        <w:tc>
          <w:tcPr>
            <w:tcW w:type="dxa" w:w="1560"/>
            <w:shd w:fill="E8EEF5"/>
            <w:vAlign w:val="center"/>
          </w:tcPr>
          <w:p>
            <w:pPr>
              <w:spacing w:after="40"/>
            </w:pPr>
            <w:r>
              <w:rPr>
                <w:rFonts w:ascii="Calibri" w:hAnsi="Calibri"/>
                <w:b/>
                <w:sz w:val="17"/>
              </w:rPr>
              <w:t>Revenue growth (cFX)</w:t>
            </w:r>
          </w:p>
        </w:tc>
        <w:tc>
          <w:tcPr>
            <w:tcW w:type="dxa" w:w="1560"/>
            <w:shd w:fill="E8EEF5"/>
            <w:vAlign w:val="center"/>
          </w:tcPr>
          <w:p>
            <w:pPr>
              <w:spacing w:after="40"/>
            </w:pPr>
            <w:r>
              <w:rPr>
                <w:rFonts w:ascii="Calibri" w:hAnsi="Calibri"/>
                <w:b/>
                <w:sz w:val="17"/>
              </w:rPr>
              <w:t>Adj. EBITDA margin</w:t>
            </w:r>
          </w:p>
        </w:tc>
        <w:tc>
          <w:tcPr>
            <w:tcW w:type="dxa" w:w="1560"/>
            <w:shd w:fill="E8EEF5"/>
            <w:vAlign w:val="center"/>
          </w:tcPr>
          <w:p>
            <w:pPr>
              <w:spacing w:after="40"/>
            </w:pPr>
            <w:r>
              <w:rPr>
                <w:rFonts w:ascii="Calibri" w:hAnsi="Calibri"/>
                <w:b/>
                <w:sz w:val="17"/>
              </w:rPr>
              <w:t>FCF margin</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Base</w:t>
            </w:r>
          </w:p>
        </w:tc>
        <w:tc>
          <w:tcPr>
            <w:tcW w:type="dxa" w:w="1560"/>
            <w:vAlign w:val="center"/>
          </w:tcPr>
          <w:p>
            <w:pPr>
              <w:spacing w:after="40"/>
            </w:pPr>
            <w:r>
              <w:rPr>
                <w:rFonts w:ascii="Calibri" w:hAnsi="Calibri"/>
                <w:sz w:val="17"/>
              </w:rPr>
              <w:t>11-14%</w:t>
            </w:r>
          </w:p>
        </w:tc>
        <w:tc>
          <w:tcPr>
            <w:tcW w:type="dxa" w:w="1560"/>
            <w:vAlign w:val="center"/>
          </w:tcPr>
          <w:p>
            <w:pPr>
              <w:spacing w:after="40"/>
            </w:pPr>
            <w:r>
              <w:rPr>
                <w:rFonts w:ascii="Calibri" w:hAnsi="Calibri"/>
                <w:sz w:val="17"/>
              </w:rPr>
              <w:t>14-17%</w:t>
            </w:r>
          </w:p>
        </w:tc>
        <w:tc>
          <w:tcPr>
            <w:tcW w:type="dxa" w:w="1560"/>
            <w:vAlign w:val="center"/>
          </w:tcPr>
          <w:p>
            <w:pPr>
              <w:spacing w:after="40"/>
            </w:pPr>
            <w:r>
              <w:rPr>
                <w:rFonts w:ascii="Calibri" w:hAnsi="Calibri"/>
                <w:sz w:val="17"/>
              </w:rPr>
              <w:t>4.4-4.8% of GMV</w:t>
            </w:r>
          </w:p>
        </w:tc>
        <w:tc>
          <w:tcPr>
            <w:tcW w:type="dxa" w:w="1560"/>
            <w:vAlign w:val="center"/>
          </w:tcPr>
          <w:p>
            <w:pPr>
              <w:spacing w:after="40"/>
            </w:pPr>
            <w:r>
              <w:rPr>
                <w:rFonts w:ascii="Calibri" w:hAnsi="Calibri"/>
                <w:sz w:val="17"/>
              </w:rPr>
              <w:t>3.2-3.6% of GMV</w:t>
            </w:r>
          </w:p>
        </w:tc>
        <w:tc>
          <w:tcPr>
            <w:tcW w:type="dxa" w:w="1560"/>
            <w:vAlign w:val="center"/>
          </w:tcPr>
          <w:p>
            <w:pPr>
              <w:spacing w:after="40"/>
            </w:pPr>
            <w:r>
              <w:rPr>
                <w:rFonts w:ascii="Calibri" w:hAnsi="Calibri"/>
                <w:sz w:val="17"/>
              </w:rPr>
              <w:t>talabat's own disclosed FY2026 guidance (TLB-020, TLB-014)</w:t>
            </w:r>
          </w:p>
        </w:tc>
      </w:tr>
      <w:tr>
        <w:tc>
          <w:tcPr>
            <w:tcW w:type="dxa" w:w="1560"/>
            <w:vAlign w:val="center"/>
          </w:tcPr>
          <w:p>
            <w:pPr>
              <w:spacing w:after="40"/>
            </w:pPr>
            <w:r>
              <w:rPr>
                <w:rFonts w:ascii="Calibri" w:hAnsi="Calibri"/>
                <w:sz w:val="17"/>
              </w:rPr>
              <w:t>Upside</w:t>
            </w:r>
          </w:p>
        </w:tc>
        <w:tc>
          <w:tcPr>
            <w:tcW w:type="dxa" w:w="1560"/>
            <w:vAlign w:val="center"/>
          </w:tcPr>
          <w:p>
            <w:pPr>
              <w:spacing w:after="40"/>
            </w:pPr>
            <w:r>
              <w:rPr>
                <w:rFonts w:ascii="Calibri" w:hAnsi="Calibri"/>
                <w:sz w:val="17"/>
              </w:rPr>
              <w:t>Toward/above 14%</w:t>
            </w:r>
          </w:p>
        </w:tc>
        <w:tc>
          <w:tcPr>
            <w:tcW w:type="dxa" w:w="1560"/>
            <w:vAlign w:val="center"/>
          </w:tcPr>
          <w:p>
            <w:pPr>
              <w:spacing w:after="40"/>
            </w:pPr>
            <w:r>
              <w:rPr>
                <w:rFonts w:ascii="Calibri" w:hAnsi="Calibri"/>
                <w:sz w:val="17"/>
              </w:rPr>
              <w:t>Toward/above 17%</w:t>
            </w:r>
          </w:p>
        </w:tc>
        <w:tc>
          <w:tcPr>
            <w:tcW w:type="dxa" w:w="1560"/>
            <w:vAlign w:val="center"/>
          </w:tcPr>
          <w:p>
            <w:pPr>
              <w:spacing w:after="40"/>
            </w:pPr>
            <w:r>
              <w:rPr>
                <w:rFonts w:ascii="Calibri" w:hAnsi="Calibri"/>
                <w:sz w:val="17"/>
              </w:rPr>
              <w:t>Toward 4.8%+</w:t>
            </w:r>
          </w:p>
        </w:tc>
        <w:tc>
          <w:tcPr>
            <w:tcW w:type="dxa" w:w="1560"/>
            <w:vAlign w:val="center"/>
          </w:tcPr>
          <w:p>
            <w:pPr>
              <w:spacing w:after="40"/>
            </w:pPr>
            <w:r>
              <w:rPr>
                <w:rFonts w:ascii="Calibri" w:hAnsi="Calibri"/>
                <w:sz w:val="17"/>
              </w:rPr>
              <w:t>Toward/above 3.6%</w:t>
            </w:r>
          </w:p>
        </w:tc>
        <w:tc>
          <w:tcPr>
            <w:tcW w:type="dxa" w:w="1560"/>
            <w:vAlign w:val="center"/>
          </w:tcPr>
          <w:p>
            <w:pPr>
              <w:spacing w:after="40"/>
            </w:pPr>
            <w:r>
              <w:rPr>
                <w:rFonts w:ascii="Calibri" w:hAnsi="Calibri"/>
                <w:sz w:val="17"/>
              </w:rPr>
              <w:t>Everyday App/Food-leadership mechanisms (multi-vertical, pro, advertising) compound faster than guidance embeds — Scenarios_v2.md upside case</w:t>
            </w:r>
          </w:p>
        </w:tc>
      </w:tr>
      <w:tr>
        <w:tc>
          <w:tcPr>
            <w:tcW w:type="dxa" w:w="1560"/>
            <w:vAlign w:val="center"/>
          </w:tcPr>
          <w:p>
            <w:pPr>
              <w:spacing w:after="40"/>
            </w:pPr>
            <w:r>
              <w:rPr>
                <w:rFonts w:ascii="Calibri" w:hAnsi="Calibri"/>
                <w:sz w:val="17"/>
              </w:rPr>
              <w:t>Downside</w:t>
            </w:r>
          </w:p>
        </w:tc>
        <w:tc>
          <w:tcPr>
            <w:tcW w:type="dxa" w:w="1560"/>
            <w:vAlign w:val="center"/>
          </w:tcPr>
          <w:p>
            <w:pPr>
              <w:spacing w:after="40"/>
            </w:pPr>
            <w:r>
              <w:rPr>
                <w:rFonts w:ascii="Calibri" w:hAnsi="Calibri"/>
                <w:sz w:val="17"/>
              </w:rPr>
              <w:t>Toward/below 11%</w:t>
            </w:r>
          </w:p>
        </w:tc>
        <w:tc>
          <w:tcPr>
            <w:tcW w:type="dxa" w:w="1560"/>
            <w:vAlign w:val="center"/>
          </w:tcPr>
          <w:p>
            <w:pPr>
              <w:spacing w:after="40"/>
            </w:pPr>
            <w:r>
              <w:rPr>
                <w:rFonts w:ascii="Calibri" w:hAnsi="Calibri"/>
                <w:sz w:val="17"/>
              </w:rPr>
              <w:t>Toward/below 14%</w:t>
            </w:r>
          </w:p>
        </w:tc>
        <w:tc>
          <w:tcPr>
            <w:tcW w:type="dxa" w:w="1560"/>
            <w:vAlign w:val="center"/>
          </w:tcPr>
          <w:p>
            <w:pPr>
              <w:spacing w:after="40"/>
            </w:pPr>
            <w:r>
              <w:rPr>
                <w:rFonts w:ascii="Calibri" w:hAnsi="Calibri"/>
                <w:sz w:val="17"/>
              </w:rPr>
              <w:t>Toward/below 4.4% (Q1 2026 actual already 4.8%, -9% y/y in absolute EBITDA dollars)</w:t>
            </w:r>
          </w:p>
        </w:tc>
        <w:tc>
          <w:tcPr>
            <w:tcW w:type="dxa" w:w="1560"/>
            <w:vAlign w:val="center"/>
          </w:tcPr>
          <w:p>
            <w:pPr>
              <w:spacing w:after="40"/>
            </w:pPr>
            <w:r>
              <w:rPr>
                <w:rFonts w:ascii="Calibri" w:hAnsi="Calibri"/>
                <w:sz w:val="17"/>
              </w:rPr>
              <w:t>Toward/below 3.2%</w:t>
            </w:r>
          </w:p>
        </w:tc>
        <w:tc>
          <w:tcPr>
            <w:tcW w:type="dxa" w:w="1560"/>
            <w:vAlign w:val="center"/>
          </w:tcPr>
          <w:p>
            <w:pPr>
              <w:spacing w:after="40"/>
            </w:pPr>
            <w:r>
              <w:rPr>
                <w:rFonts w:ascii="Calibri" w:hAnsi="Calibri"/>
                <w:sz w:val="17"/>
              </w:rPr>
              <w:t>Margin compression deepens, behaviour-change trends moderate faster than guidance assumes — Scenarios_v2.md downside case</w:t>
            </w:r>
          </w:p>
        </w:tc>
      </w:tr>
    </w:tbl>
    <w:p>
      <w:pPr>
        <w:keepLines w:val="0"/>
      </w:pPr>
      <w:r>
        <w:rPr>
          <w:b/>
        </w:rPr>
        <w:t>All three rows are Group-level, per DEC-008. No bucket-level, market-level, or initiative-level breakout of these figures is shown here —</w:t>
      </w:r>
      <w:r>
        <w:t xml:space="preserve"> none is disclosed, and constructing one would be exactly the false-precision error DEC-008 was escalated to prevent.</w:t>
      </w:r>
    </w:p>
    <w:p>
      <w:pPr>
        <w:pStyle w:val="Heading2"/>
      </w:pPr>
      <w:r>
        <w:t>9.4 Break-Even Analysis and P&amp;L Snapshot — What Can and Cannot Be Shown</w:t>
      </w:r>
    </w:p>
    <w:p>
      <w:pPr>
        <w:keepLines w:val="0"/>
      </w:pPr>
      <w:r>
        <w:rPr>
          <w:b/>
        </w:rPr>
        <w:t>A conventional break-even/payback analysis requires a return figure to compare against the USD175mn outlay. No such figure exists in the corpus for either bucket or any candidate initiative —</w:t>
      </w:r>
      <w:r>
        <w:t xml:space="preserve"> confirmed independently by Investment_Relationship_Map.md, EBITDA.md, and Capital Allocation and Investment Governance.md.</w:t>
      </w:r>
    </w:p>
    <w:p>
      <w:pPr>
        <w:pStyle w:val="Heading2"/>
      </w:pPr>
      <w:r>
        <w:t>9.5 Key Assumptions Register (the numbers this case depends on)</w:t>
      </w:r>
    </w:p>
    <w:p>
      <w:pPr>
        <w:keepLines w:val="0"/>
      </w:pPr>
      <w:r>
        <w:rPr>
          <w:b/>
        </w:rPr>
        <w:t>All fourteen listed are status: Approved in vault/Decisions/Assumptions_Register.md (resolved 2026-07-23, alongside DEC-009) —</w:t>
      </w:r>
      <w:r>
        <w:t xml:space="preserve"> citable as settled inputs per the register's own rule. Listed here for transparency, exactly as the pipeline requires: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ID</w:t>
            </w:r>
          </w:p>
        </w:tc>
        <w:tc>
          <w:tcPr>
            <w:tcW w:type="dxa" w:w="3120"/>
            <w:shd w:fill="E8EEF5"/>
            <w:vAlign w:val="center"/>
          </w:tcPr>
          <w:p>
            <w:pPr>
              <w:spacing w:after="40"/>
            </w:pPr>
            <w:r>
              <w:rPr>
                <w:rFonts w:ascii="Calibri" w:hAnsi="Calibri"/>
                <w:b/>
                <w:sz w:val="17"/>
              </w:rPr>
              <w:t>Statement (compressed)</w:t>
            </w:r>
          </w:p>
        </w:tc>
        <w:tc>
          <w:tcPr>
            <w:tcW w:type="dxa" w:w="3120"/>
            <w:shd w:fill="E8EEF5"/>
            <w:vAlign w:val="center"/>
          </w:tcPr>
          <w:p>
            <w:pPr>
              <w:spacing w:after="40"/>
            </w:pPr>
            <w:r>
              <w:rPr>
                <w:rFonts w:ascii="Calibri" w:hAnsi="Calibri"/>
                <w:b/>
                <w:sz w:val="17"/>
              </w:rPr>
              <w:t>Confidence</w:t>
            </w:r>
          </w:p>
        </w:tc>
      </w:tr>
      <w:tr>
        <w:tc>
          <w:tcPr>
            <w:tcW w:type="dxa" w:w="3120"/>
            <w:vAlign w:val="center"/>
          </w:tcPr>
          <w:p>
            <w:pPr>
              <w:spacing w:after="40"/>
            </w:pPr>
            <w:r>
              <w:rPr>
                <w:rFonts w:ascii="Calibri" w:hAnsi="Calibri"/>
                <w:sz w:val="17"/>
              </w:rPr>
              <w:t>ASM-015</w:t>
            </w:r>
          </w:p>
        </w:tc>
        <w:tc>
          <w:tcPr>
            <w:tcW w:type="dxa" w:w="3120"/>
            <w:vAlign w:val="center"/>
          </w:tcPr>
          <w:p>
            <w:pPr>
              <w:spacing w:after="40"/>
            </w:pPr>
            <w:r>
              <w:rPr>
                <w:rFonts w:ascii="Calibri" w:hAnsi="Calibri"/>
                <w:sz w:val="17"/>
              </w:rPr>
              <w:t>Basket/AOV moves directionally with multi-vertical GMV share (no disclosed AOV figure exists)</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ASM-016</w:t>
            </w:r>
          </w:p>
        </w:tc>
        <w:tc>
          <w:tcPr>
            <w:tcW w:type="dxa" w:w="3120"/>
            <w:vAlign w:val="center"/>
          </w:tcPr>
          <w:p>
            <w:pPr>
              <w:spacing w:after="40"/>
            </w:pPr>
            <w:r>
              <w:rPr>
                <w:rFonts w:ascii="Calibri" w:hAnsi="Calibri"/>
                <w:sz w:val="17"/>
              </w:rPr>
              <w:t>GCC+Jordan pro/multi-vertical uplift statistics applied to Egypt/non-GCC as inference, not fact</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ASM-017</w:t>
            </w:r>
          </w:p>
        </w:tc>
        <w:tc>
          <w:tcPr>
            <w:tcW w:type="dxa" w:w="3120"/>
            <w:vAlign w:val="center"/>
          </w:tcPr>
          <w:p>
            <w:pPr>
              <w:spacing w:after="40"/>
            </w:pPr>
            <w:r>
              <w:rPr>
                <w:rFonts w:ascii="Calibri" w:hAnsi="Calibri"/>
                <w:sz w:val="17"/>
              </w:rPr>
              <w:t>FY2026 GMV guidance illustratively split into baseline vs. programme-attributable components</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ASM-018</w:t>
            </w:r>
          </w:p>
        </w:tc>
        <w:tc>
          <w:tcPr>
            <w:tcW w:type="dxa" w:w="3120"/>
            <w:vAlign w:val="center"/>
          </w:tcPr>
          <w:p>
            <w:pPr>
              <w:spacing w:after="40"/>
            </w:pPr>
            <w:r>
              <w:rPr>
                <w:rFonts w:ascii="Calibri" w:hAnsi="Calibri"/>
                <w:sz w:val="17"/>
              </w:rPr>
              <w:t>~2.2:1 Everyday App:Food-leadership GMV-effect split — restricted per DEC-008, narrative only</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ASM-019</w:t>
            </w:r>
          </w:p>
        </w:tc>
        <w:tc>
          <w:tcPr>
            <w:tcW w:type="dxa" w:w="3120"/>
            <w:vAlign w:val="center"/>
          </w:tcPr>
          <w:p>
            <w:pPr>
              <w:spacing w:after="40"/>
            </w:pPr>
            <w:r>
              <w:rPr>
                <w:rFonts w:ascii="Calibri" w:hAnsi="Calibri"/>
                <w:sz w:val="17"/>
              </w:rPr>
              <w:t>FY2026 margin step-down sees directional partial recovery in FY2027+, timing/magnitude unstated</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ASM-020</w:t>
            </w:r>
          </w:p>
        </w:tc>
        <w:tc>
          <w:tcPr>
            <w:tcW w:type="dxa" w:w="3120"/>
            <w:vAlign w:val="center"/>
          </w:tcPr>
          <w:p>
            <w:pPr>
              <w:spacing w:after="40"/>
            </w:pPr>
            <w:r>
              <w:rPr>
                <w:rFonts w:ascii="Calibri" w:hAnsi="Calibri"/>
                <w:sz w:val="17"/>
              </w:rPr>
              <w:t>Egypt's ≈USD19.3m pro-rata programme exposure — illustrative worked-example only, not a budget line</w:t>
            </w:r>
          </w:p>
        </w:tc>
        <w:tc>
          <w:tcPr>
            <w:tcW w:type="dxa" w:w="3120"/>
            <w:vAlign w:val="center"/>
          </w:tcPr>
          <w:p>
            <w:pPr>
              <w:spacing w:after="40"/>
            </w:pPr>
            <w:r>
              <w:rPr>
                <w:rFonts w:ascii="Calibri" w:hAnsi="Calibri"/>
                <w:sz w:val="17"/>
              </w:rPr>
              <w:t>Low</w:t>
            </w:r>
          </w:p>
        </w:tc>
      </w:tr>
      <w:tr>
        <w:tc>
          <w:tcPr>
            <w:tcW w:type="dxa" w:w="3120"/>
            <w:vAlign w:val="center"/>
          </w:tcPr>
          <w:p>
            <w:pPr>
              <w:spacing w:after="40"/>
            </w:pPr>
            <w:r>
              <w:rPr>
                <w:rFonts w:ascii="Calibri" w:hAnsi="Calibri"/>
                <w:sz w:val="17"/>
              </w:rPr>
              <w:t>ASM-021–027</w:t>
            </w:r>
          </w:p>
        </w:tc>
        <w:tc>
          <w:tcPr>
            <w:tcW w:type="dxa" w:w="3120"/>
            <w:vAlign w:val="center"/>
          </w:tcPr>
          <w:p>
            <w:pPr>
              <w:spacing w:after="40"/>
            </w:pPr>
            <w:r>
              <w:rPr>
                <w:rFonts w:ascii="Calibri" w:hAnsi="Calibri"/>
                <w:sz w:val="17"/>
              </w:rPr>
              <w:t>Module-level continuation-trend projections (pro, multi-vertical, AI, incentives, advertising, G&amp;R, Food)</w:t>
            </w:r>
          </w:p>
        </w:tc>
        <w:tc>
          <w:tcPr>
            <w:tcW w:type="dxa" w:w="3120"/>
            <w:vAlign w:val="center"/>
          </w:tcPr>
          <w:p>
            <w:pPr>
              <w:spacing w:after="40"/>
            </w:pPr>
            <w:r>
              <w:rPr>
                <w:rFonts w:ascii="Calibri" w:hAnsi="Calibri"/>
                <w:sz w:val="17"/>
              </w:rPr>
              <w:t>Medium</w:t>
            </w:r>
          </w:p>
        </w:tc>
      </w:tr>
      <w:tr>
        <w:tc>
          <w:tcPr>
            <w:tcW w:type="dxa" w:w="3120"/>
            <w:vAlign w:val="center"/>
          </w:tcPr>
          <w:p>
            <w:pPr>
              <w:spacing w:after="40"/>
            </w:pPr>
            <w:r>
              <w:rPr>
                <w:rFonts w:ascii="Calibri" w:hAnsi="Calibri"/>
                <w:sz w:val="17"/>
              </w:rPr>
              <w:t>ASM-028</w:t>
            </w:r>
          </w:p>
        </w:tc>
        <w:tc>
          <w:tcPr>
            <w:tcW w:type="dxa" w:w="3120"/>
            <w:vAlign w:val="center"/>
          </w:tcPr>
          <w:p>
            <w:pPr>
              <w:spacing w:after="40"/>
            </w:pPr>
            <w:r>
              <w:rPr>
                <w:rFonts w:ascii="Calibri" w:hAnsi="Calibri"/>
                <w:sz w:val="17"/>
              </w:rPr>
              <w:t>Logistics improvement continues, directional-only, no numeric FY2026 target</w:t>
            </w:r>
          </w:p>
        </w:tc>
        <w:tc>
          <w:tcPr>
            <w:tcW w:type="dxa" w:w="3120"/>
            <w:vAlign w:val="center"/>
          </w:tcPr>
          <w:p>
            <w:pPr>
              <w:spacing w:after="40"/>
            </w:pPr>
            <w:r>
              <w:rPr>
                <w:rFonts w:ascii="Calibri" w:hAnsi="Calibri"/>
                <w:sz w:val="17"/>
              </w:rPr>
              <w:t>Low</w:t>
            </w:r>
          </w:p>
        </w:tc>
      </w:tr>
    </w:tbl>
    <w:p>
      <w:pPr>
        <w:pStyle w:val="Heading2"/>
      </w:pPr>
      <w:r>
        <w:t>9.6 Funding Requirements, Allocation, and Monetization Strategy</w:t>
      </w:r>
    </w:p>
    <w:p>
      <w:pPr>
        <w:keepLines w:val="0"/>
      </w:pPr>
      <w:r>
        <w:rPr>
          <w:b/>
        </w:rPr>
        <w:t>Funding requirement: none beyond what talabat has already committed —</w:t>
      </w:r>
      <w:r>
        <w:t xml:space="preserve"> the USD175mn programme is fully funded from internal cash (TLB-020, page 16); this plan does not request incremental capital beyond the disclosed envelope.</w:t>
      </w:r>
    </w:p>
    <w:p>
      <w:pPr>
        <w:spacing w:after="80"/>
      </w:pPr>
    </w:p>
    <w:p>
      <w:pPr>
        <w:pStyle w:val="Heading1"/>
      </w:pPr>
      <w:r>
        <w:t>10. Risk Analysis</w:t>
      </w:r>
    </w:p>
    <w:p>
      <w:pPr>
        <w:pStyle w:val="Heading2"/>
      </w:pPr>
      <w:r>
        <w:t>Answer, stated first</w:t>
      </w:r>
    </w:p>
    <w:p>
      <w:pPr>
        <w:keepLines w:val="0"/>
      </w:pPr>
      <w:r>
        <w:rPr>
          <w:b/>
        </w:rPr>
        <w:t>This plan's largest risk is not algorithmic —</w:t>
      </w:r>
      <w:r>
        <w:t xml:space="preserve"> it is that talabat is funding a margin-dilutive, evidence-thin capital-allocation programme with almost no disclosed internal mechanism to correct course, layered on top of already-realized competitive, regulatory, and leadership volatility.</w:t>
      </w:r>
    </w:p>
    <w:p>
      <w:pPr>
        <w:pStyle w:val="Heading2"/>
      </w:pPr>
      <w:r>
        <w:t>10.1 Technical Risks</w:t>
      </w:r>
    </w:p>
    <w:p>
      <w:pPr>
        <w:keepLines w:val="0"/>
      </w:pPr>
      <w:r>
        <w:rPr>
          <w:b/>
        </w:rPr>
        <w:t>TECH-01 —</w:t>
      </w:r>
      <w:r>
        <w:t xml:space="preserve"> AI/personalisation effectiveness is unconfirmed outside the GCC+Jordan-measured cohort. talabat's AI/ML personalisation stack drives a disclosed, multi-year EBITDA contribution (USD14mn+ FY2024 → USD30mn+ FY2025, Group; TLB-002, p.15, per Topics/AI.md), but the corpus does not disclose whether models are tuned separately for non-GCC markets or run on the same Delivery Hero-inherited regional models (AI.md Open Questions).</w:t>
      </w:r>
    </w:p>
    <w:p>
      <w:pPr>
        <w:pStyle w:val="Heading2"/>
      </w:pPr>
      <w:r>
        <w:t>10.2 Market Risks</w:t>
      </w:r>
    </w:p>
    <w:p>
      <w:pPr>
        <w:keepLines w:val="0"/>
      </w:pPr>
      <w:r>
        <w:rPr>
          <w:b/>
        </w:rPr>
        <w:t>MKT-01 —</w:t>
      </w:r>
      <w:r>
        <w:t xml:space="preserve"> Competitive pressure is already eroding Food's non-high-value customer retention faster than its capital allocation defends against it. The disclosed non-high-value M1 retention decline is -4% y/y, scoped specifically to UAE, Kuwait, and Qatar (market-comparison: UAE, Kuwait, Qatar; TLB-019, p.9) —…</w:t>
      </w:r>
    </w:p>
    <w:p>
      <w:pPr>
        <w:pStyle w:val="Heading2"/>
      </w:pPr>
      <w:r>
        <w:t>10.3 Financial Risks</w:t>
      </w:r>
    </w:p>
    <w:p>
      <w:pPr>
        <w:keepLines w:val="0"/>
      </w:pPr>
      <w:r>
        <w:rPr>
          <w:b/>
        </w:rPr>
        <w:t>FIN-01 —</w:t>
      </w:r>
      <w:r>
        <w:t xml:space="preserve">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Strategic/Strategic Risks.md).</w:t>
      </w:r>
    </w:p>
    <w:p>
      <w:pPr>
        <w:pStyle w:val="Heading2"/>
      </w:pPr>
      <w:r>
        <w:t>10.4 Organizational &amp; Governance Risks</w:t>
      </w:r>
    </w:p>
    <w:p>
      <w:pPr>
        <w:keepLines w:val="0"/>
      </w:pPr>
      <w:r>
        <w:rPr>
          <w:b/>
        </w:rPr>
        <w:t>ORG-01 —</w:t>
      </w:r>
      <w:r>
        <w:t xml:space="preserve"> No internal capital-allocation committee, approval threshold, or stage-gate process is disclosed anywhere in the corpus. This is the single largest, load-bearing governance gap this plan works around: Topics/Capital Allocation and Investment Governance.md states plainly that no document describes how a…</w:t>
      </w:r>
    </w:p>
    <w:p>
      <w:pPr>
        <w:pStyle w:val="Heading2"/>
      </w:pPr>
      <w:r>
        <w:t>10.5 Regulatory Risks</w:t>
      </w:r>
    </w:p>
    <w:p>
      <w:pPr>
        <w:keepLines w:val="0"/>
      </w:pPr>
      <w:r>
        <w:rPr>
          <w:b/>
        </w:rPr>
        <w:t>REG-01 —</w:t>
      </w:r>
      <w:r>
        <w:t xml:space="preserve">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w:t>
      </w:r>
    </w:p>
    <w:p>
      <w:pPr>
        <w:pStyle w:val="Heading2"/>
      </w:pPr>
      <w:r>
        <w:t>10.6 Probability-Impact Matrix</w:t>
      </w:r>
    </w:p>
    <w:p>
      <w:pPr>
        <w:keepLines w:val="0"/>
      </w:pPr>
      <w:r>
        <w:rPr>
          <w:b/>
        </w:rPr>
        <w:t>New synthesis, built fresh against the evidence assembled above —</w:t>
      </w:r>
      <w:r>
        <w:t xml:space="preserve"> not a pre-existing corpus artifact. Probability and Impact are each rated High/Medium/Low based on: Probability — whether the risk is already observed/realized in the corpus (High), a plausible extension of an observed trend or named but unresolved…</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Probability ↓ / Impact →</w:t>
            </w:r>
          </w:p>
        </w:tc>
        <w:tc>
          <w:tcPr>
            <w:tcW w:type="dxa" w:w="2340"/>
            <w:shd w:fill="E8EEF5"/>
            <w:vAlign w:val="center"/>
          </w:tcPr>
          <w:p>
            <w:pPr>
              <w:spacing w:after="40"/>
            </w:pPr>
            <w:r>
              <w:rPr>
                <w:rFonts w:ascii="Calibri" w:hAnsi="Calibri"/>
                <w:b/>
                <w:sz w:val="17"/>
              </w:rPr>
              <w:t>Low</w:t>
            </w:r>
          </w:p>
        </w:tc>
        <w:tc>
          <w:tcPr>
            <w:tcW w:type="dxa" w:w="2340"/>
            <w:shd w:fill="E8EEF5"/>
            <w:vAlign w:val="center"/>
          </w:tcPr>
          <w:p>
            <w:pPr>
              <w:spacing w:after="40"/>
            </w:pPr>
            <w:r>
              <w:rPr>
                <w:rFonts w:ascii="Calibri" w:hAnsi="Calibri"/>
                <w:b/>
                <w:sz w:val="17"/>
              </w:rPr>
              <w:t>Medium</w:t>
            </w:r>
          </w:p>
        </w:tc>
        <w:tc>
          <w:tcPr>
            <w:tcW w:type="dxa" w:w="2340"/>
            <w:shd w:fill="E8EEF5"/>
            <w:vAlign w:val="center"/>
          </w:tcPr>
          <w:p>
            <w:pPr>
              <w:spacing w:after="40"/>
            </w:pPr>
            <w:r>
              <w:rPr>
                <w:rFonts w:ascii="Calibri" w:hAnsi="Calibri"/>
                <w:b/>
                <w:sz w:val="17"/>
              </w:rPr>
              <w:t>High</w:t>
            </w:r>
          </w:p>
        </w:tc>
      </w:tr>
      <w:tr>
        <w:tc>
          <w:tcPr>
            <w:tcW w:type="dxa" w:w="2340"/>
            <w:vAlign w:val="center"/>
          </w:tcPr>
          <w:p>
            <w:pPr>
              <w:spacing w:after="40"/>
            </w:pPr>
            <w:r>
              <w:rPr>
                <w:rFonts w:ascii="Calibri" w:hAnsi="Calibri"/>
                <w:sz w:val="17"/>
              </w:rPr>
              <w:t>High</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FIN-03, REG-02</w:t>
            </w:r>
          </w:p>
        </w:tc>
        <w:tc>
          <w:tcPr>
            <w:tcW w:type="dxa" w:w="2340"/>
            <w:vAlign w:val="center"/>
          </w:tcPr>
          <w:p>
            <w:pPr>
              <w:spacing w:after="40"/>
            </w:pPr>
            <w:r>
              <w:rPr>
                <w:rFonts w:ascii="Calibri" w:hAnsi="Calibri"/>
                <w:sz w:val="17"/>
              </w:rPr>
              <w:t>FIN-01, MKT-01, ORG-01</w:t>
            </w:r>
          </w:p>
        </w:tc>
      </w:tr>
      <w:tr>
        <w:tc>
          <w:tcPr>
            <w:tcW w:type="dxa" w:w="2340"/>
            <w:vAlign w:val="center"/>
          </w:tcPr>
          <w:p>
            <w:pPr>
              <w:spacing w:after="40"/>
            </w:pPr>
            <w:r>
              <w:rPr>
                <w:rFonts w:ascii="Calibri" w:hAnsi="Calibri"/>
                <w:sz w:val="17"/>
              </w:rPr>
              <w:t>Medium</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TECH-01, MKT-02, MKT-03, FIN-02, FIN-04, ORG-03, REG-01, REG-04</w:t>
            </w:r>
          </w:p>
        </w:tc>
        <w:tc>
          <w:tcPr>
            <w:tcW w:type="dxa" w:w="2340"/>
            <w:vAlign w:val="center"/>
          </w:tcPr>
          <w:p>
            <w:pPr>
              <w:spacing w:after="40"/>
            </w:pPr>
            <w:r>
              <w:rPr>
                <w:rFonts w:ascii="Calibri" w:hAnsi="Calibri"/>
                <w:sz w:val="17"/>
              </w:rPr>
              <w:t>TECH-02, ORG-02</w:t>
            </w:r>
          </w:p>
        </w:tc>
      </w:tr>
      <w:tr>
        <w:tc>
          <w:tcPr>
            <w:tcW w:type="dxa" w:w="2340"/>
            <w:vAlign w:val="center"/>
          </w:tcPr>
          <w:p>
            <w:pPr>
              <w:spacing w:after="40"/>
            </w:pPr>
            <w:r>
              <w:rPr>
                <w:rFonts w:ascii="Calibri" w:hAnsi="Calibri"/>
                <w:sz w:val="17"/>
              </w:rPr>
              <w:t>Low</w:t>
            </w:r>
          </w:p>
        </w:tc>
        <w:tc>
          <w:tcPr>
            <w:tcW w:type="dxa" w:w="2340"/>
            <w:vAlign w:val="center"/>
          </w:tcPr>
          <w:p>
            <w:pPr>
              <w:spacing w:after="40"/>
            </w:pPr>
            <w:r>
              <w:rPr>
                <w:rFonts w:ascii="Calibri" w:hAnsi="Calibri"/>
                <w:sz w:val="17"/>
              </w:rPr>
              <w:t>REG-03</w:t>
            </w:r>
          </w:p>
        </w:tc>
        <w:tc>
          <w:tcPr>
            <w:tcW w:type="dxa" w:w="2340"/>
            <w:vAlign w:val="center"/>
          </w:tcPr>
          <w:p>
            <w:pPr>
              <w:spacing w:after="40"/>
            </w:pPr>
            <w:r>
              <w:rPr>
                <w:rFonts w:ascii="Calibri" w:hAnsi="Calibri"/>
                <w:sz w:val="17"/>
              </w:rPr>
              <w:t>MKT-04</w:t>
            </w:r>
          </w:p>
        </w:tc>
        <w:tc>
          <w:tcPr>
            <w:tcW w:type="dxa" w:w="2340"/>
            <w:vAlign w:val="center"/>
          </w:tcPr>
          <w:p>
            <w:pPr>
              <w:spacing w:after="40"/>
            </w:pPr>
            <w:r>
              <w:rPr>
                <w:rFonts w:ascii="Calibri" w:hAnsi="Calibri"/>
                <w:sz w:val="17"/>
              </w:rPr>
              <w:t>—</w:t>
            </w:r>
          </w:p>
        </w:tc>
      </w:tr>
    </w:tbl>
    <w:p>
      <w:pPr>
        <w:pStyle w:val="Heading2"/>
      </w:pPr>
      <w:r>
        <w:t>10.7 Pre-Mortem: "It is FY2028, and the 2026 investment programme failed to deliver a more loyal</w:t>
      </w:r>
    </w:p>
    <w:p>
      <w:pPr>
        <w:pStyle w:val="ListNumber"/>
        <w:keepLines w:val="0"/>
      </w:pPr>
      <w:r>
        <w:t>**The governance gap never closed, and the plan's own numbers were mistaken for commitments</w:t>
      </w:r>
    </w:p>
    <w:p>
      <w:pPr>
        <w:pStyle w:val="ListNumber"/>
        <w:keepLines w:val="0"/>
      </w:pPr>
      <w:r>
        <w:t>**Margin compression deepened past the point of return, and no one could tell which line was responsible</w:t>
      </w:r>
    </w:p>
    <w:p>
      <w:pPr>
        <w:pStyle w:val="Heading2"/>
      </w:pPr>
      <w:r>
        <w:t>10.8 Mitigation Strategy and Owners (per material risk)</w:t>
      </w:r>
    </w:p>
    <w:p>
      <w:pPr>
        <w:keepLines w:val="0"/>
      </w:pPr>
      <w:r>
        <w:rPr>
          <w:b/>
        </w:rPr>
        <w:t>Owners are drawn from talabat's disclosed executive roster (Entities/Executives.md) where a function plausibly exists; where no such function is named —</w:t>
      </w:r>
      <w:r>
        <w:t xml:space="preserve"> a gap this plan states explicitly rather than inventing a role — the nearest disclosed function is named as interim owner, consistent with Section_08_Operations_…</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ID</w:t>
            </w:r>
          </w:p>
        </w:tc>
        <w:tc>
          <w:tcPr>
            <w:tcW w:type="dxa" w:w="1560"/>
            <w:shd w:fill="E8EEF5"/>
            <w:vAlign w:val="center"/>
          </w:tcPr>
          <w:p>
            <w:pPr>
              <w:spacing w:after="40"/>
            </w:pPr>
            <w:r>
              <w:rPr>
                <w:rFonts w:ascii="Calibri" w:hAnsi="Calibri"/>
                <w:b/>
                <w:sz w:val="17"/>
              </w:rPr>
              <w:t>Risk</w:t>
            </w:r>
          </w:p>
        </w:tc>
        <w:tc>
          <w:tcPr>
            <w:tcW w:type="dxa" w:w="1560"/>
            <w:shd w:fill="E8EEF5"/>
            <w:vAlign w:val="center"/>
          </w:tcPr>
          <w:p>
            <w:pPr>
              <w:spacing w:after="40"/>
            </w:pPr>
            <w:r>
              <w:rPr>
                <w:rFonts w:ascii="Calibri" w:hAnsi="Calibri"/>
                <w:b/>
                <w:sz w:val="17"/>
              </w:rPr>
              <w:t>Prob.</w:t>
            </w:r>
          </w:p>
        </w:tc>
        <w:tc>
          <w:tcPr>
            <w:tcW w:type="dxa" w:w="1560"/>
            <w:shd w:fill="E8EEF5"/>
            <w:vAlign w:val="center"/>
          </w:tcPr>
          <w:p>
            <w:pPr>
              <w:spacing w:after="40"/>
            </w:pPr>
            <w:r>
              <w:rPr>
                <w:rFonts w:ascii="Calibri" w:hAnsi="Calibri"/>
                <w:b/>
                <w:sz w:val="17"/>
              </w:rPr>
              <w:t>Impact</w:t>
            </w:r>
          </w:p>
        </w:tc>
        <w:tc>
          <w:tcPr>
            <w:tcW w:type="dxa" w:w="1560"/>
            <w:shd w:fill="E8EEF5"/>
            <w:vAlign w:val="center"/>
          </w:tcPr>
          <w:p>
            <w:pPr>
              <w:spacing w:after="40"/>
            </w:pPr>
            <w:r>
              <w:rPr>
                <w:rFonts w:ascii="Calibri" w:hAnsi="Calibri"/>
                <w:b/>
                <w:sz w:val="17"/>
              </w:rPr>
              <w:t>Mitigation</w:t>
            </w:r>
          </w:p>
        </w:tc>
        <w:tc>
          <w:tcPr>
            <w:tcW w:type="dxa" w:w="1560"/>
            <w:shd w:fill="E8EEF5"/>
            <w:vAlign w:val="center"/>
          </w:tcPr>
          <w:p>
            <w:pPr>
              <w:spacing w:after="40"/>
            </w:pPr>
            <w:r>
              <w:rPr>
                <w:rFonts w:ascii="Calibri" w:hAnsi="Calibri"/>
                <w:b/>
                <w:sz w:val="17"/>
              </w:rPr>
              <w:t>Owner</w:t>
            </w:r>
          </w:p>
        </w:tc>
      </w:tr>
      <w:tr>
        <w:tc>
          <w:tcPr>
            <w:tcW w:type="dxa" w:w="1560"/>
            <w:vAlign w:val="center"/>
          </w:tcPr>
          <w:p>
            <w:pPr>
              <w:spacing w:after="40"/>
            </w:pPr>
            <w:r>
              <w:rPr>
                <w:rFonts w:ascii="Calibri" w:hAnsi="Calibri"/>
                <w:sz w:val="17"/>
              </w:rPr>
              <w:t>TECH-01</w:t>
            </w:r>
          </w:p>
        </w:tc>
        <w:tc>
          <w:tcPr>
            <w:tcW w:type="dxa" w:w="1560"/>
            <w:vAlign w:val="center"/>
          </w:tcPr>
          <w:p>
            <w:pPr>
              <w:spacing w:after="40"/>
            </w:pPr>
            <w:r>
              <w:rPr>
                <w:rFonts w:ascii="Calibri" w:hAnsi="Calibri"/>
                <w:sz w:val="17"/>
              </w:rPr>
              <w:t>AI/personalisation effectiveness unconfirmed outside GCC+Jordan</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Pilot OPT-005's model-tuning specifically in Egypt before crediting Group-level EBITDA trends to non-GCC markets; track via Operational/Governance KPIs, not assumed parity with GCC</w:t>
            </w:r>
          </w:p>
        </w:tc>
        <w:tc>
          <w:tcPr>
            <w:tcW w:type="dxa" w:w="1560"/>
            <w:vAlign w:val="center"/>
          </w:tcPr>
          <w:p>
            <w:pPr>
              <w:spacing w:after="40"/>
            </w:pPr>
            <w:r>
              <w:rPr>
                <w:rFonts w:ascii="Calibri" w:hAnsi="Calibri"/>
                <w:sz w:val="17"/>
              </w:rPr>
              <w:t>Pedram Assadi, COO (no CDO/Head of Data Science is named in the corpus — a disclosed skills gap, §8.3)</w:t>
            </w:r>
          </w:p>
        </w:tc>
      </w:tr>
      <w:tr>
        <w:tc>
          <w:tcPr>
            <w:tcW w:type="dxa" w:w="1560"/>
            <w:vAlign w:val="center"/>
          </w:tcPr>
          <w:p>
            <w:pPr>
              <w:spacing w:after="40"/>
            </w:pPr>
            <w:r>
              <w:rPr>
                <w:rFonts w:ascii="Calibri" w:hAnsi="Calibri"/>
                <w:sz w:val="17"/>
              </w:rPr>
              <w:t>TECH-02</w:t>
            </w:r>
          </w:p>
        </w:tc>
        <w:tc>
          <w:tcPr>
            <w:tcW w:type="dxa" w:w="1560"/>
            <w:vAlign w:val="center"/>
          </w:tcPr>
          <w:p>
            <w:pPr>
              <w:spacing w:after="40"/>
            </w:pPr>
            <w:r>
              <w:rPr>
                <w:rFonts w:ascii="Calibri" w:hAnsi="Calibri"/>
                <w:sz w:val="17"/>
              </w:rPr>
              <w:t>Parent-infrastructure security dependency (Dec 2022 breach)</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Continue relying on the disclosed DTA/Binding Corporate Rules/GDPR-SCC framework as the only disclosed cross-entity control; monitor incident recurrence and regulator engagement explicitly</w:t>
            </w:r>
          </w:p>
        </w:tc>
        <w:tc>
          <w:tcPr>
            <w:tcW w:type="dxa" w:w="1560"/>
            <w:vAlign w:val="center"/>
          </w:tcPr>
          <w:p>
            <w:pPr>
              <w:spacing w:after="40"/>
            </w:pPr>
            <w:r>
              <w:rPr>
                <w:rFonts w:ascii="Calibri" w:hAnsi="Calibri"/>
                <w:sz w:val="17"/>
              </w:rPr>
              <w:t>Mohamd Abu Amara (Head of GRC); Abdullah AlGhrawi (VP Legal, GRC &amp; Board Secretary)</w:t>
            </w:r>
          </w:p>
        </w:tc>
      </w:tr>
      <w:tr>
        <w:tc>
          <w:tcPr>
            <w:tcW w:type="dxa" w:w="1560"/>
            <w:vAlign w:val="center"/>
          </w:tcPr>
          <w:p>
            <w:pPr>
              <w:spacing w:after="40"/>
            </w:pPr>
            <w:r>
              <w:rPr>
                <w:rFonts w:ascii="Calibri" w:hAnsi="Calibri"/>
                <w:sz w:val="17"/>
              </w:rPr>
              <w:t>MKT-01</w:t>
            </w:r>
          </w:p>
        </w:tc>
        <w:tc>
          <w:tcPr>
            <w:tcW w:type="dxa" w:w="1560"/>
            <w:vAlign w:val="center"/>
          </w:tcPr>
          <w:p>
            <w:pPr>
              <w:spacing w:after="40"/>
            </w:pPr>
            <w:r>
              <w:rPr>
                <w:rFonts w:ascii="Calibri" w:hAnsi="Calibri"/>
                <w:sz w:val="17"/>
              </w:rPr>
              <w:t>Competitive pressure vs. Food-leadership's ~USD55mn defense budget</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Hold CVP investment to its stated CVP-over-discounting logic (TLB-020, p.16); monitor the -4% y/y M1 retention metric quarterly; define and deploy the "dry powder" reserve's trigger condition explicitly</w:t>
            </w:r>
          </w:p>
        </w:tc>
        <w:tc>
          <w:tcPr>
            <w:tcW w:type="dxa" w:w="1560"/>
            <w:vAlign w:val="center"/>
          </w:tcPr>
          <w:p>
            <w:pPr>
              <w:spacing w:after="40"/>
            </w:pPr>
            <w:r>
              <w:rPr>
                <w:rFonts w:ascii="Calibri" w:hAnsi="Calibri"/>
                <w:sz w:val="17"/>
              </w:rPr>
              <w:t>Pedram Assadi, COO (no single named Food-vertical commercial owner is disclosed)</w:t>
            </w:r>
          </w:p>
        </w:tc>
      </w:tr>
      <w:tr>
        <w:tc>
          <w:tcPr>
            <w:tcW w:type="dxa" w:w="1560"/>
            <w:vAlign w:val="center"/>
          </w:tcPr>
          <w:p>
            <w:pPr>
              <w:spacing w:after="40"/>
            </w:pPr>
            <w:r>
              <w:rPr>
                <w:rFonts w:ascii="Calibri" w:hAnsi="Calibri"/>
                <w:sz w:val="17"/>
              </w:rPr>
              <w:t>MKT-02</w:t>
            </w:r>
          </w:p>
        </w:tc>
        <w:tc>
          <w:tcPr>
            <w:tcW w:type="dxa" w:w="1560"/>
            <w:vAlign w:val="center"/>
          </w:tcPr>
          <w:p>
            <w:pPr>
              <w:spacing w:after="40"/>
            </w:pPr>
            <w:r>
              <w:rPr>
                <w:rFonts w:ascii="Calibri" w:hAnsi="Calibri"/>
                <w:sz w:val="17"/>
              </w:rPr>
              <w:t>Rider/delivery-workforce dependency (~90-95% 3PL/freelance)</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Treat fulfilment capacity as a monitored dependency, not an assumed input, for any option (OPT-001, OPT-002) that increases order volume; add a fulfilment-capacity check to the ORG-01 stage gate</w:t>
            </w:r>
          </w:p>
        </w:tc>
        <w:tc>
          <w:tcPr>
            <w:tcW w:type="dxa" w:w="1560"/>
            <w:vAlign w:val="center"/>
          </w:tcPr>
          <w:p>
            <w:pPr>
              <w:spacing w:after="40"/>
            </w:pPr>
            <w:r>
              <w:rPr>
                <w:rFonts w:ascii="Calibri" w:hAnsi="Calibri"/>
                <w:sz w:val="17"/>
              </w:rPr>
              <w:t>Pedram Assadi, COO</w:t>
            </w:r>
          </w:p>
        </w:tc>
      </w:tr>
      <w:tr>
        <w:tc>
          <w:tcPr>
            <w:tcW w:type="dxa" w:w="1560"/>
            <w:vAlign w:val="center"/>
          </w:tcPr>
          <w:p>
            <w:pPr>
              <w:spacing w:after="40"/>
            </w:pPr>
            <w:r>
              <w:rPr>
                <w:rFonts w:ascii="Calibri" w:hAnsi="Calibri"/>
                <w:sz w:val="17"/>
              </w:rPr>
              <w:t>MKT-03</w:t>
            </w:r>
          </w:p>
        </w:tc>
        <w:tc>
          <w:tcPr>
            <w:tcW w:type="dxa" w:w="1560"/>
            <w:vAlign w:val="center"/>
          </w:tcPr>
          <w:p>
            <w:pPr>
              <w:spacing w:after="40"/>
            </w:pPr>
            <w:r>
              <w:rPr>
                <w:rFonts w:ascii="Calibri" w:hAnsi="Calibri"/>
                <w:sz w:val="17"/>
              </w:rPr>
              <w:t>AdTech monetization gap not closing at Group scale</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Fund OPT-004 as a longer-horizon build per DEC-009's tiering, not an assumed automatic transfer of the UAE benchmark; track AdTech revenue as % of GMV by market</w:t>
            </w:r>
          </w:p>
        </w:tc>
        <w:tc>
          <w:tcPr>
            <w:tcW w:type="dxa" w:w="1560"/>
            <w:vAlign w:val="center"/>
          </w:tcPr>
          <w:p>
            <w:pPr>
              <w:spacing w:after="40"/>
            </w:pPr>
            <w:r>
              <w:rPr>
                <w:rFonts w:ascii="Calibri" w:hAnsi="Calibri"/>
                <w:sz w:val="17"/>
              </w:rPr>
              <w:t>Wassim Makarem, SVP Grocery &amp; Retail (no dedicated AdTech/commercial-advertising executive is named)</w:t>
            </w:r>
          </w:p>
        </w:tc>
      </w:tr>
      <w:tr>
        <w:tc>
          <w:tcPr>
            <w:tcW w:type="dxa" w:w="1560"/>
            <w:vAlign w:val="center"/>
          </w:tcPr>
          <w:p>
            <w:pPr>
              <w:spacing w:after="40"/>
            </w:pPr>
            <w:r>
              <w:rPr>
                <w:rFonts w:ascii="Calibri" w:hAnsi="Calibri"/>
                <w:sz w:val="17"/>
              </w:rPr>
              <w:t>MKT-04</w:t>
            </w:r>
          </w:p>
        </w:tc>
        <w:tc>
          <w:tcPr>
            <w:tcW w:type="dxa" w:w="1560"/>
            <w:vAlign w:val="center"/>
          </w:tcPr>
          <w:p>
            <w:pPr>
              <w:spacing w:after="40"/>
            </w:pPr>
            <w:r>
              <w:rPr>
                <w:rFonts w:ascii="Calibri" w:hAnsi="Calibri"/>
                <w:sz w:val="17"/>
              </w:rPr>
              <w:t>Recurrence of geopolitical/operational disruption</w:t>
            </w:r>
          </w:p>
        </w:tc>
        <w:tc>
          <w:tcPr>
            <w:tcW w:type="dxa" w:w="1560"/>
            <w:vAlign w:val="center"/>
          </w:tcPr>
          <w:p>
            <w:pPr>
              <w:spacing w:after="40"/>
            </w:pPr>
            <w:r>
              <w:rPr>
                <w:rFonts w:ascii="Calibri" w:hAnsi="Calibri"/>
                <w:sz w:val="17"/>
              </w:rPr>
              <w:t>Low</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Monitor order-volume recovery patterns by market as a leading indicator rather than assuming management's "transitory" framing holds without independent evidence</w:t>
            </w:r>
          </w:p>
        </w:tc>
        <w:tc>
          <w:tcPr>
            <w:tcW w:type="dxa" w:w="1560"/>
            <w:vAlign w:val="center"/>
          </w:tcPr>
          <w:p>
            <w:pPr>
              <w:spacing w:after="40"/>
            </w:pPr>
            <w:r>
              <w:rPr>
                <w:rFonts w:ascii="Calibri" w:hAnsi="Calibri"/>
                <w:sz w:val="17"/>
              </w:rPr>
              <w:t>Pedram Assadi, COO; Board (Pieter-Jan Vandepitte, Chair) for Group-wide escalation</w:t>
            </w:r>
          </w:p>
        </w:tc>
      </w:tr>
      <w:tr>
        <w:tc>
          <w:tcPr>
            <w:tcW w:type="dxa" w:w="1560"/>
            <w:vAlign w:val="center"/>
          </w:tcPr>
          <w:p>
            <w:pPr>
              <w:spacing w:after="40"/>
            </w:pPr>
            <w:r>
              <w:rPr>
                <w:rFonts w:ascii="Calibri" w:hAnsi="Calibri"/>
                <w:sz w:val="17"/>
              </w:rPr>
              <w:t>FIN-01</w:t>
            </w:r>
          </w:p>
        </w:tc>
        <w:tc>
          <w:tcPr>
            <w:tcW w:type="dxa" w:w="1560"/>
            <w:vAlign w:val="center"/>
          </w:tcPr>
          <w:p>
            <w:pPr>
              <w:spacing w:after="40"/>
            </w:pPr>
            <w:r>
              <w:rPr>
                <w:rFonts w:ascii="Calibri" w:hAnsi="Calibri"/>
                <w:sz w:val="17"/>
              </w:rPr>
              <w:t>FY2026 Adjusted EBITDA margin step-down deepening beyond guidance</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Track quarterly margin against the FY2026 4.4-4.8% guided range via KPI G6; treat two consecutive quarters below 4.4% as the ORG-01 stage-gate review trigger</w:t>
            </w:r>
          </w:p>
        </w:tc>
        <w:tc>
          <w:tcPr>
            <w:tcW w:type="dxa" w:w="1560"/>
            <w:vAlign w:val="center"/>
          </w:tcPr>
          <w:p>
            <w:pPr>
              <w:spacing w:after="40"/>
            </w:pPr>
            <w:r>
              <w:rPr>
                <w:rFonts w:ascii="Calibri" w:hAnsi="Calibri"/>
                <w:sz w:val="17"/>
              </w:rPr>
              <w:t>Khaled Alfakesh, CFO</w:t>
            </w:r>
          </w:p>
        </w:tc>
      </w:tr>
      <w:tr>
        <w:tc>
          <w:tcPr>
            <w:tcW w:type="dxa" w:w="1560"/>
            <w:vAlign w:val="center"/>
          </w:tcPr>
          <w:p>
            <w:pPr>
              <w:spacing w:after="40"/>
            </w:pPr>
            <w:r>
              <w:rPr>
                <w:rFonts w:ascii="Calibri" w:hAnsi="Calibri"/>
                <w:sz w:val="17"/>
              </w:rPr>
              <w:t>FIN-02</w:t>
            </w:r>
          </w:p>
        </w:tc>
        <w:tc>
          <w:tcPr>
            <w:tcW w:type="dxa" w:w="1560"/>
            <w:vAlign w:val="center"/>
          </w:tcPr>
          <w:p>
            <w:pPr>
              <w:spacing w:after="40"/>
            </w:pPr>
            <w:r>
              <w:rPr>
                <w:rFonts w:ascii="Calibri" w:hAnsi="Calibri"/>
                <w:sz w:val="17"/>
              </w:rPr>
              <w:t>Egypt FX/currency exposure, unquantified magnitude</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Model any Egypt-specific illustration (e.g. ASM-020's ≈USD19.3mn pro-rata proxy) as FX-sensitive, consistent with management's "GMV inflation-hedge" framing; do not attempt to quantify the depreciation itself</w:t>
            </w:r>
          </w:p>
        </w:tc>
        <w:tc>
          <w:tcPr>
            <w:tcW w:type="dxa" w:w="1560"/>
            <w:vAlign w:val="center"/>
          </w:tcPr>
          <w:p>
            <w:pPr>
              <w:spacing w:after="40"/>
            </w:pPr>
            <w:r>
              <w:rPr>
                <w:rFonts w:ascii="Calibri" w:hAnsi="Calibri"/>
                <w:sz w:val="17"/>
              </w:rPr>
              <w:t>Khaled Alfakesh, CFO</w:t>
            </w:r>
          </w:p>
        </w:tc>
      </w:tr>
      <w:tr>
        <w:tc>
          <w:tcPr>
            <w:tcW w:type="dxa" w:w="1560"/>
            <w:vAlign w:val="center"/>
          </w:tcPr>
          <w:p>
            <w:pPr>
              <w:spacing w:after="40"/>
            </w:pPr>
            <w:r>
              <w:rPr>
                <w:rFonts w:ascii="Calibri" w:hAnsi="Calibri"/>
                <w:sz w:val="17"/>
              </w:rPr>
              <w:t>FIN-03</w:t>
            </w:r>
          </w:p>
        </w:tc>
        <w:tc>
          <w:tcPr>
            <w:tcW w:type="dxa" w:w="1560"/>
            <w:vAlign w:val="center"/>
          </w:tcPr>
          <w:p>
            <w:pPr>
              <w:spacing w:after="40"/>
            </w:pPr>
            <w:r>
              <w:rPr>
                <w:rFonts w:ascii="Calibri" w:hAnsi="Calibri"/>
                <w:sz w:val="17"/>
              </w:rPr>
              <w:t>No disclosed ROI/payback/hurdle-rate criterion for either bucket</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Adopt Governance KPI G5 (ROI/payback-period hurdle-rate compliance rate) as the recommended tracking mechanism; until adopted, present every allocation recommendation as a range or staged proposal, never an implied-return claim</w:t>
            </w:r>
          </w:p>
        </w:tc>
        <w:tc>
          <w:tcPr>
            <w:tcW w:type="dxa" w:w="1560"/>
            <w:vAlign w:val="center"/>
          </w:tcPr>
          <w:p>
            <w:pPr>
              <w:spacing w:after="40"/>
            </w:pPr>
            <w:r>
              <w:rPr>
                <w:rFonts w:ascii="Calibri" w:hAnsi="Calibri"/>
                <w:sz w:val="17"/>
              </w:rPr>
              <w:t>Khaled Alfakesh, CFO, jointly with the proposed Systems function (ORG-01)</w:t>
            </w:r>
          </w:p>
        </w:tc>
      </w:tr>
      <w:tr>
        <w:tc>
          <w:tcPr>
            <w:tcW w:type="dxa" w:w="1560"/>
            <w:vAlign w:val="center"/>
          </w:tcPr>
          <w:p>
            <w:pPr>
              <w:spacing w:after="40"/>
            </w:pPr>
            <w:r>
              <w:rPr>
                <w:rFonts w:ascii="Calibri" w:hAnsi="Calibri"/>
                <w:sz w:val="17"/>
              </w:rPr>
              <w:t>FIN-04</w:t>
            </w:r>
          </w:p>
        </w:tc>
        <w:tc>
          <w:tcPr>
            <w:tcW w:type="dxa" w:w="1560"/>
            <w:vAlign w:val="center"/>
          </w:tcPr>
          <w:p>
            <w:pPr>
              <w:spacing w:after="40"/>
            </w:pPr>
            <w:r>
              <w:rPr>
                <w:rFonts w:ascii="Calibri" w:hAnsi="Calibri"/>
                <w:sz w:val="17"/>
              </w:rPr>
              <w:t>G&amp;R margin drag widening in lower-maturity non-GCC/Egypt markets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Track G&amp;R EBITDA margin drag specifically as store density increases in non-GCC/Egypt; treat OPT-001's own margin-drag checkpoint as the relevant stage gate</w:t>
            </w:r>
          </w:p>
        </w:tc>
        <w:tc>
          <w:tcPr>
            <w:tcW w:type="dxa" w:w="1560"/>
            <w:vAlign w:val="center"/>
          </w:tcPr>
          <w:p>
            <w:pPr>
              <w:spacing w:after="40"/>
            </w:pPr>
            <w:r>
              <w:rPr>
                <w:rFonts w:ascii="Calibri" w:hAnsi="Calibri"/>
                <w:sz w:val="17"/>
              </w:rPr>
              <w:t>Wassim Makarem, SVP Grocery &amp; Retail</w:t>
            </w:r>
          </w:p>
        </w:tc>
      </w:tr>
      <w:tr>
        <w:tc>
          <w:tcPr>
            <w:tcW w:type="dxa" w:w="1560"/>
            <w:vAlign w:val="center"/>
          </w:tcPr>
          <w:p>
            <w:pPr>
              <w:spacing w:after="40"/>
            </w:pPr>
            <w:r>
              <w:rPr>
                <w:rFonts w:ascii="Calibri" w:hAnsi="Calibri"/>
                <w:sz w:val="17"/>
              </w:rPr>
              <w:t>ORG-01</w:t>
            </w:r>
          </w:p>
        </w:tc>
        <w:tc>
          <w:tcPr>
            <w:tcW w:type="dxa" w:w="1560"/>
            <w:vAlign w:val="center"/>
          </w:tcPr>
          <w:p>
            <w:pPr>
              <w:spacing w:after="40"/>
            </w:pPr>
            <w:r>
              <w:rPr>
                <w:rFonts w:ascii="Calibri" w:hAnsi="Calibri"/>
                <w:sz w:val="17"/>
              </w:rPr>
              <w:t>No disclosed internal capital-allocation stage-gate mechanism</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Adopt the stage-gate mechanism proposed in Section_08_Operations_Plan.md §8.4 — each OPT- option reviewed against its own named stage gate before scale-up funding, tracked against KPI family G1-G7 — explicitly labeled as this OS's own proposal pending human/team adoption</w:t>
            </w:r>
          </w:p>
        </w:tc>
        <w:tc>
          <w:tcPr>
            <w:tcW w:type="dxa" w:w="1560"/>
            <w:vAlign w:val="center"/>
          </w:tcPr>
          <w:p>
            <w:pPr>
              <w:spacing w:after="40"/>
            </w:pPr>
            <w:r>
              <w:rPr>
                <w:rFonts w:ascii="Calibri" w:hAnsi="Calibri"/>
                <w:sz w:val="17"/>
              </w:rPr>
              <w:t>Proposed Systems function, located near CFO/GRC (Alfakesh; Abu Amara; AlGhrawi) — no equivalent function is currently named</w:t>
            </w:r>
          </w:p>
        </w:tc>
      </w:tr>
      <w:tr>
        <w:tc>
          <w:tcPr>
            <w:tcW w:type="dxa" w:w="1560"/>
            <w:vAlign w:val="center"/>
          </w:tcPr>
          <w:p>
            <w:pPr>
              <w:spacing w:after="40"/>
            </w:pPr>
            <w:r>
              <w:rPr>
                <w:rFonts w:ascii="Calibri" w:hAnsi="Calibri"/>
                <w:sz w:val="17"/>
              </w:rPr>
              <w:t>ORG-02</w:t>
            </w:r>
          </w:p>
        </w:tc>
        <w:tc>
          <w:tcPr>
            <w:tcW w:type="dxa" w:w="1560"/>
            <w:vAlign w:val="center"/>
          </w:tcPr>
          <w:p>
            <w:pPr>
              <w:spacing w:after="40"/>
            </w:pPr>
            <w:r>
              <w:rPr>
                <w:rFonts w:ascii="Calibri" w:hAnsi="Calibri"/>
                <w:sz w:val="17"/>
              </w:rPr>
              <w:t>False-precision risk on this OS's own constructed allocation ranges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Every constructed range (ASM-029–033) carries the mandatory DEC-009 disclosure sentence wherever shown; appears only as a labeled sensitivity/appendix exhibit, never a headline exhibit (DEC-008/DEC-009); requires explicit human/team sign-off before any capital reallocation executes</w:t>
            </w:r>
          </w:p>
        </w:tc>
        <w:tc>
          <w:tcPr>
            <w:tcW w:type="dxa" w:w="1560"/>
            <w:vAlign w:val="center"/>
          </w:tcPr>
          <w:p>
            <w:pPr>
              <w:spacing w:after="40"/>
            </w:pPr>
            <w:r>
              <w:rPr>
                <w:rFonts w:ascii="Calibri" w:hAnsi="Calibri"/>
                <w:sz w:val="17"/>
              </w:rPr>
              <w:t>decision-steward (this OS), with mandatory human/team (Business Plan Lead / Board-level) sign-off</w:t>
            </w:r>
          </w:p>
        </w:tc>
      </w:tr>
      <w:tr>
        <w:tc>
          <w:tcPr>
            <w:tcW w:type="dxa" w:w="1560"/>
            <w:vAlign w:val="center"/>
          </w:tcPr>
          <w:p>
            <w:pPr>
              <w:spacing w:after="40"/>
            </w:pPr>
            <w:r>
              <w:rPr>
                <w:rFonts w:ascii="Calibri" w:hAnsi="Calibri"/>
                <w:sz w:val="17"/>
              </w:rPr>
              <w:t>ORG-03</w:t>
            </w:r>
          </w:p>
        </w:tc>
        <w:tc>
          <w:tcPr>
            <w:tcW w:type="dxa" w:w="1560"/>
            <w:vAlign w:val="center"/>
          </w:tcPr>
          <w:p>
            <w:pPr>
              <w:spacing w:after="40"/>
            </w:pPr>
            <w:r>
              <w:rPr>
                <w:rFonts w:ascii="Calibri" w:hAnsi="Calibri"/>
                <w:sz w:val="17"/>
              </w:rPr>
              <w:t>Leadership continuity — two unexplained recent transitions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Name this risk explicitly to the Board/sponsor at proposal time; anchor accountability for this plan's recommendations to named functions (CFO, GRC cluster), not to the two most recently vacated seats specifically</w:t>
            </w:r>
          </w:p>
        </w:tc>
        <w:tc>
          <w:tcPr>
            <w:tcW w:type="dxa" w:w="1560"/>
            <w:vAlign w:val="center"/>
          </w:tcPr>
          <w:p>
            <w:pPr>
              <w:spacing w:after="40"/>
            </w:pPr>
            <w:r>
              <w:rPr>
                <w:rFonts w:ascii="Calibri" w:hAnsi="Calibri"/>
                <w:sz w:val="17"/>
              </w:rPr>
              <w:t>Board (Pieter-Jan Vandepitte, Chair)</w:t>
            </w:r>
          </w:p>
        </w:tc>
      </w:tr>
      <w:tr>
        <w:tc>
          <w:tcPr>
            <w:tcW w:type="dxa" w:w="1560"/>
            <w:vAlign w:val="center"/>
          </w:tcPr>
          <w:p>
            <w:pPr>
              <w:spacing w:after="40"/>
            </w:pPr>
            <w:r>
              <w:rPr>
                <w:rFonts w:ascii="Calibri" w:hAnsi="Calibri"/>
                <w:sz w:val="17"/>
              </w:rPr>
              <w:t>REG-01</w:t>
            </w:r>
          </w:p>
        </w:tc>
        <w:tc>
          <w:tcPr>
            <w:tcW w:type="dxa" w:w="1560"/>
            <w:vAlign w:val="center"/>
          </w:tcPr>
          <w:p>
            <w:pPr>
              <w:spacing w:after="40"/>
            </w:pPr>
            <w:r>
              <w:rPr>
                <w:rFonts w:ascii="Calibri" w:hAnsi="Calibri"/>
                <w:sz w:val="17"/>
              </w:rPr>
              <w:t>Antitrust/competition-law exposure (Kuwait, UAE, Iraq)</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Factor active antitrust exposure into commission-economics assumptions for any option touching these markets (OPT-003's UAE component); monitor, since no resolution timeline is disclosed for any of the three inquiries</w:t>
            </w:r>
          </w:p>
        </w:tc>
        <w:tc>
          <w:tcPr>
            <w:tcW w:type="dxa" w:w="1560"/>
            <w:vAlign w:val="center"/>
          </w:tcPr>
          <w:p>
            <w:pPr>
              <w:spacing w:after="40"/>
            </w:pPr>
            <w:r>
              <w:rPr>
                <w:rFonts w:ascii="Calibri" w:hAnsi="Calibri"/>
                <w:sz w:val="17"/>
              </w:rPr>
              <w:t>Abdullah AlGhrawi, VP Legal, GRC &amp; Board Secretary</w:t>
            </w:r>
          </w:p>
        </w:tc>
      </w:tr>
      <w:tr>
        <w:tc>
          <w:tcPr>
            <w:tcW w:type="dxa" w:w="1560"/>
            <w:vAlign w:val="center"/>
          </w:tcPr>
          <w:p>
            <w:pPr>
              <w:spacing w:after="40"/>
            </w:pPr>
            <w:r>
              <w:rPr>
                <w:rFonts w:ascii="Calibri" w:hAnsi="Calibri"/>
                <w:sz w:val="17"/>
              </w:rPr>
              <w:t>REG-02</w:t>
            </w:r>
          </w:p>
        </w:tc>
        <w:tc>
          <w:tcPr>
            <w:tcW w:type="dxa" w:w="1560"/>
            <w:vAlign w:val="center"/>
          </w:tcPr>
          <w:p>
            <w:pPr>
              <w:spacing w:after="40"/>
            </w:pPr>
            <w:r>
              <w:rPr>
                <w:rFonts w:ascii="Calibri" w:hAnsi="Calibri"/>
                <w:sz w:val="17"/>
              </w:rPr>
              <w:t>Realized commission-rate cap in Qatar</w:t>
            </w:r>
          </w:p>
        </w:tc>
        <w:tc>
          <w:tcPr>
            <w:tcW w:type="dxa" w:w="1560"/>
            <w:vAlign w:val="center"/>
          </w:tcPr>
          <w:p>
            <w:pPr>
              <w:spacing w:after="40"/>
            </w:pPr>
            <w:r>
              <w:rPr>
                <w:rFonts w:ascii="Calibri" w:hAnsi="Calibri"/>
                <w:sz w:val="17"/>
              </w:rPr>
              <w:t>High</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Model OPT-003's Qatar-specific commission economics against the already-realized MOCI cap, not the uncapped GCC average</w:t>
            </w:r>
          </w:p>
        </w:tc>
        <w:tc>
          <w:tcPr>
            <w:tcW w:type="dxa" w:w="1560"/>
            <w:vAlign w:val="center"/>
          </w:tcPr>
          <w:p>
            <w:pPr>
              <w:spacing w:after="40"/>
            </w:pPr>
            <w:r>
              <w:rPr>
                <w:rFonts w:ascii="Calibri" w:hAnsi="Calibri"/>
                <w:sz w:val="17"/>
              </w:rPr>
              <w:t>Abdullah AlGhrawi, VP Legal, GRC &amp; Board Secretary; Wassim Makarem for commercial-model impact</w:t>
            </w:r>
          </w:p>
        </w:tc>
      </w:tr>
      <w:tr>
        <w:tc>
          <w:tcPr>
            <w:tcW w:type="dxa" w:w="1560"/>
            <w:vAlign w:val="center"/>
          </w:tcPr>
          <w:p>
            <w:pPr>
              <w:spacing w:after="40"/>
            </w:pPr>
            <w:r>
              <w:rPr>
                <w:rFonts w:ascii="Calibri" w:hAnsi="Calibri"/>
                <w:sz w:val="17"/>
              </w:rPr>
              <w:t>REG-03</w:t>
            </w:r>
          </w:p>
        </w:tc>
        <w:tc>
          <w:tcPr>
            <w:tcW w:type="dxa" w:w="1560"/>
            <w:vAlign w:val="center"/>
          </w:tcPr>
          <w:p>
            <w:pPr>
              <w:spacing w:after="40"/>
            </w:pPr>
            <w:r>
              <w:rPr>
                <w:rFonts w:ascii="Calibri" w:hAnsi="Calibri"/>
                <w:sz w:val="17"/>
              </w:rPr>
              <w:t>Oman licensing dispute</w:t>
            </w:r>
          </w:p>
        </w:tc>
        <w:tc>
          <w:tcPr>
            <w:tcW w:type="dxa" w:w="1560"/>
            <w:vAlign w:val="center"/>
          </w:tcPr>
          <w:p>
            <w:pPr>
              <w:spacing w:after="40"/>
            </w:pPr>
            <w:r>
              <w:rPr>
                <w:rFonts w:ascii="Calibri" w:hAnsi="Calibri"/>
                <w:sz w:val="17"/>
              </w:rPr>
              <w:t>Low</w:t>
            </w:r>
          </w:p>
        </w:tc>
        <w:tc>
          <w:tcPr>
            <w:tcW w:type="dxa" w:w="1560"/>
            <w:vAlign w:val="center"/>
          </w:tcPr>
          <w:p>
            <w:pPr>
              <w:spacing w:after="40"/>
            </w:pPr>
            <w:r>
              <w:rPr>
                <w:rFonts w:ascii="Calibri" w:hAnsi="Calibri"/>
                <w:sz w:val="17"/>
              </w:rPr>
              <w:t>Low</w:t>
            </w:r>
          </w:p>
        </w:tc>
        <w:tc>
          <w:tcPr>
            <w:tcW w:type="dxa" w:w="1560"/>
            <w:vAlign w:val="center"/>
          </w:tcPr>
          <w:p>
            <w:pPr>
              <w:spacing w:after="40"/>
            </w:pPr>
            <w:r>
              <w:rPr>
                <w:rFonts w:ascii="Calibri" w:hAnsi="Calibri"/>
                <w:sz w:val="17"/>
              </w:rPr>
              <w:t>Monitor for resolution/escalation; no OPT- option or dollar figure currently ties to Oman by name</w:t>
            </w:r>
          </w:p>
        </w:tc>
        <w:tc>
          <w:tcPr>
            <w:tcW w:type="dxa" w:w="1560"/>
            <w:vAlign w:val="center"/>
          </w:tcPr>
          <w:p>
            <w:pPr>
              <w:spacing w:after="40"/>
            </w:pPr>
            <w:r>
              <w:rPr>
                <w:rFonts w:ascii="Calibri" w:hAnsi="Calibri"/>
                <w:sz w:val="17"/>
              </w:rPr>
              <w:t>Abdullah AlGhrawi, VP Legal, GRC &amp; Board Secretary</w:t>
            </w:r>
          </w:p>
        </w:tc>
      </w:tr>
      <w:tr>
        <w:tc>
          <w:tcPr>
            <w:tcW w:type="dxa" w:w="1560"/>
            <w:vAlign w:val="center"/>
          </w:tcPr>
          <w:p>
            <w:pPr>
              <w:spacing w:after="40"/>
            </w:pPr>
            <w:r>
              <w:rPr>
                <w:rFonts w:ascii="Calibri" w:hAnsi="Calibri"/>
                <w:sz w:val="17"/>
              </w:rPr>
              <w:t>REG-04</w:t>
            </w:r>
          </w:p>
        </w:tc>
        <w:tc>
          <w:tcPr>
            <w:tcW w:type="dxa" w:w="1560"/>
            <w:vAlign w:val="center"/>
          </w:tcPr>
          <w:p>
            <w:pPr>
              <w:spacing w:after="40"/>
            </w:pPr>
            <w:r>
              <w:rPr>
                <w:rFonts w:ascii="Calibri" w:hAnsi="Calibri"/>
                <w:sz w:val="17"/>
              </w:rPr>
              <w:t>Data-protection regulatory exposure; no jurisdiction-specific statute disclosed for any of 8 markets</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Med</w:t>
            </w:r>
          </w:p>
        </w:tc>
        <w:tc>
          <w:tcPr>
            <w:tcW w:type="dxa" w:w="1560"/>
            <w:vAlign w:val="center"/>
          </w:tcPr>
          <w:p>
            <w:pPr>
              <w:spacing w:after="40"/>
            </w:pPr>
            <w:r>
              <w:rPr>
                <w:rFonts w:ascii="Calibri" w:hAnsi="Calibri"/>
                <w:sz w:val="17"/>
              </w:rPr>
              <w:t>Continue operating this plan's decision-support layer on Group/GCC/segment-level aggregates only (no individual customer personal data processed, §8.5); state the jurisdiction-specific-law gap explicitly rather than inventing citations</w:t>
            </w:r>
          </w:p>
        </w:tc>
        <w:tc>
          <w:tcPr>
            <w:tcW w:type="dxa" w:w="1560"/>
            <w:vAlign w:val="center"/>
          </w:tcPr>
          <w:p>
            <w:pPr>
              <w:spacing w:after="40"/>
            </w:pPr>
            <w:r>
              <w:rPr>
                <w:rFonts w:ascii="Calibri" w:hAnsi="Calibri"/>
                <w:sz w:val="17"/>
              </w:rPr>
              <w:t>Mohamd Abu Amara, Head of Governance, Risk &amp; Compliance</w:t>
            </w:r>
          </w:p>
        </w:tc>
      </w:tr>
    </w:tbl>
    <w:p>
      <w:pPr>
        <w:spacing w:after="80"/>
      </w:pPr>
    </w:p>
    <w:p>
      <w:pPr>
        <w:pStyle w:val="Heading1"/>
      </w:pPr>
      <w:r>
        <w:t>11. Corporate Social Responsibility &amp; Responsible AI</w:t>
      </w:r>
    </w:p>
    <w:p>
      <w:pPr>
        <w:pStyle w:val="Heading2"/>
      </w:pPr>
      <w:r>
        <w:t>Answer, stated first</w:t>
      </w:r>
    </w:p>
    <w:p>
      <w:pPr>
        <w:keepLines w:val="0"/>
      </w:pPr>
      <w:r>
        <w:t>This plan treats Responsible AI as risk management, not decoration, because it has to: this OS's own recommendation process creates a real risk (ORG-02, the false-precision risk DEC-008 and DEC-009 were each escalated to guard against), sits inside an organization with no disclosed correction mechanism for its own…</w:t>
      </w:r>
    </w:p>
    <w:p>
      <w:pPr>
        <w:pStyle w:val="Heading2"/>
      </w:pPr>
      <w:r>
        <w:t>11.1 Ethical AI Commitments Tied to Concrete Controls</w:t>
      </w:r>
    </w:p>
    <w:p>
      <w:pPr>
        <w:keepLines w:val="0"/>
      </w:pPr>
      <w: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Commitment</w:t>
            </w:r>
          </w:p>
        </w:tc>
        <w:tc>
          <w:tcPr>
            <w:tcW w:type="dxa" w:w="2340"/>
            <w:shd w:fill="E8EEF5"/>
            <w:vAlign w:val="center"/>
          </w:tcPr>
          <w:p>
            <w:pPr>
              <w:spacing w:after="40"/>
            </w:pPr>
            <w:r>
              <w:rPr>
                <w:rFonts w:ascii="Calibri" w:hAnsi="Calibri"/>
                <w:b/>
                <w:sz w:val="17"/>
              </w:rPr>
              <w:t>Concrete control</w:t>
            </w:r>
          </w:p>
        </w:tc>
        <w:tc>
          <w:tcPr>
            <w:tcW w:type="dxa" w:w="2340"/>
            <w:shd w:fill="E8EEF5"/>
            <w:vAlign w:val="center"/>
          </w:tcPr>
          <w:p>
            <w:pPr>
              <w:spacing w:after="40"/>
            </w:pPr>
            <w:r>
              <w:rPr>
                <w:rFonts w:ascii="Calibri" w:hAnsi="Calibri"/>
                <w:b/>
                <w:sz w:val="17"/>
              </w:rPr>
              <w:t>Section 10 risk / stakeholder expectation</w:t>
            </w:r>
          </w:p>
        </w:tc>
        <w:tc>
          <w:tcPr>
            <w:tcW w:type="dxa" w:w="2340"/>
            <w:shd w:fill="E8EEF5"/>
            <w:vAlign w:val="center"/>
          </w:tcPr>
          <w:p>
            <w:pPr>
              <w:spacing w:after="40"/>
            </w:pPr>
            <w:r>
              <w:rPr>
                <w:rFonts w:ascii="Calibri" w:hAnsi="Calibri"/>
                <w:b/>
                <w:sz w:val="17"/>
              </w:rPr>
              <w:t>Evidence the control is real, not aspirational</w:t>
            </w:r>
          </w:p>
        </w:tc>
      </w:tr>
      <w:tr>
        <w:tc>
          <w:tcPr>
            <w:tcW w:type="dxa" w:w="2340"/>
            <w:vAlign w:val="center"/>
          </w:tcPr>
          <w:p>
            <w:pPr>
              <w:spacing w:after="40"/>
            </w:pPr>
            <w:r>
              <w:rPr>
                <w:rFonts w:ascii="Calibri" w:hAnsi="Calibri"/>
                <w:sz w:val="17"/>
              </w:rPr>
              <w:t>No false-precision capital numbers</w:t>
            </w:r>
          </w:p>
        </w:tc>
        <w:tc>
          <w:tcPr>
            <w:tcW w:type="dxa" w:w="2340"/>
            <w:vAlign w:val="center"/>
          </w:tcPr>
          <w:p>
            <w:pPr>
              <w:spacing w:after="40"/>
            </w:pPr>
            <w:r>
              <w:rPr>
                <w:rFonts w:ascii="Calibri" w:hAnsi="Calibri"/>
                <w:sz w:val="17"/>
              </w:rPr>
              <w:t>Headline-exhibit restriction + mandatory disclosure sentence on every constructed range</w:t>
            </w:r>
          </w:p>
        </w:tc>
        <w:tc>
          <w:tcPr>
            <w:tcW w:type="dxa" w:w="2340"/>
            <w:vAlign w:val="center"/>
          </w:tcPr>
          <w:p>
            <w:pPr>
              <w:spacing w:after="40"/>
            </w:pPr>
            <w:r>
              <w:rPr>
                <w:rFonts w:ascii="Calibri" w:hAnsi="Calibri"/>
                <w:sz w:val="17"/>
              </w:rPr>
              <w:t>ORG-02</w:t>
            </w:r>
          </w:p>
        </w:tc>
        <w:tc>
          <w:tcPr>
            <w:tcW w:type="dxa" w:w="2340"/>
            <w:vAlign w:val="center"/>
          </w:tcPr>
          <w:p>
            <w:pPr>
              <w:spacing w:after="40"/>
            </w:pPr>
            <w:r>
              <w:rPr>
                <w:rFonts w:ascii="Calibri" w:hAnsi="Calibri"/>
                <w:sz w:val="17"/>
              </w:rPr>
              <w:t>DEC-008 (Option 1, approved); DEC-009 (middle path, approved)</w:t>
            </w:r>
          </w:p>
        </w:tc>
      </w:tr>
      <w:tr>
        <w:tc>
          <w:tcPr>
            <w:tcW w:type="dxa" w:w="2340"/>
            <w:vAlign w:val="center"/>
          </w:tcPr>
          <w:p>
            <w:pPr>
              <w:spacing w:after="40"/>
            </w:pPr>
            <w:r>
              <w:rPr>
                <w:rFonts w:ascii="Calibri" w:hAnsi="Calibri"/>
                <w:sz w:val="17"/>
              </w:rPr>
              <w:t>Geography-crossing inferences always labeled</w:t>
            </w:r>
          </w:p>
        </w:tc>
        <w:tc>
          <w:tcPr>
            <w:tcW w:type="dxa" w:w="2340"/>
            <w:vAlign w:val="center"/>
          </w:tcPr>
          <w:p>
            <w:pPr>
              <w:spacing w:after="40"/>
            </w:pPr>
            <w:r>
              <w:rPr>
                <w:rFonts w:ascii="Calibri" w:hAnsi="Calibri"/>
                <w:sz w:val="17"/>
              </w:rPr>
              <w:t>Nine-tag geography system; checked at citation audit (13.9) and Geographic Evidence Gate (Stage 16)</w:t>
            </w:r>
          </w:p>
        </w:tc>
        <w:tc>
          <w:tcPr>
            <w:tcW w:type="dxa" w:w="2340"/>
            <w:vAlign w:val="center"/>
          </w:tcPr>
          <w:p>
            <w:pPr>
              <w:spacing w:after="40"/>
            </w:pPr>
            <w:r>
              <w:rPr>
                <w:rFonts w:ascii="Calibri" w:hAnsi="Calibri"/>
                <w:sz w:val="17"/>
              </w:rPr>
              <w:t>Fairness/evidentiary-integrity risk this pivot's own root-cause analysis identified</w:t>
            </w:r>
          </w:p>
        </w:tc>
        <w:tc>
          <w:tcPr>
            <w:tcW w:type="dxa" w:w="2340"/>
            <w:vAlign w:val="center"/>
          </w:tcPr>
          <w:p>
            <w:pPr>
              <w:spacing w:after="40"/>
            </w:pPr>
            <w:r>
              <w:rPr>
                <w:rFonts w:ascii="Calibri" w:hAnsi="Calibri"/>
                <w:sz w:val="17"/>
              </w:rPr>
              <w:t>Geographic_Evidence_Rules.md; the superseded Value_Driver_Tree.md case study</w:t>
            </w:r>
          </w:p>
        </w:tc>
      </w:tr>
      <w:tr>
        <w:tc>
          <w:tcPr>
            <w:tcW w:type="dxa" w:w="2340"/>
            <w:vAlign w:val="center"/>
          </w:tcPr>
          <w:p>
            <w:pPr>
              <w:spacing w:after="40"/>
            </w:pPr>
            <w:r>
              <w:rPr>
                <w:rFonts w:ascii="Calibri" w:hAnsi="Calibri"/>
                <w:sz w:val="17"/>
              </w:rPr>
              <w:t>No customer-level data claim</w:t>
            </w:r>
          </w:p>
        </w:tc>
        <w:tc>
          <w:tcPr>
            <w:tcW w:type="dxa" w:w="2340"/>
            <w:vAlign w:val="center"/>
          </w:tcPr>
          <w:p>
            <w:pPr>
              <w:spacing w:after="40"/>
            </w:pPr>
            <w:r>
              <w:rPr>
                <w:rFonts w:ascii="Calibri" w:hAnsi="Calibri"/>
                <w:sz w:val="17"/>
              </w:rPr>
              <w:t>Aggregate-only inputs (Group/GCC/segment)</w:t>
            </w:r>
          </w:p>
        </w:tc>
        <w:tc>
          <w:tcPr>
            <w:tcW w:type="dxa" w:w="2340"/>
            <w:vAlign w:val="center"/>
          </w:tcPr>
          <w:p>
            <w:pPr>
              <w:spacing w:after="40"/>
            </w:pPr>
            <w:r>
              <w:rPr>
                <w:rFonts w:ascii="Calibri" w:hAnsi="Calibri"/>
                <w:sz w:val="17"/>
              </w:rPr>
              <w:t>Stakeholder expectation (Board/investor trust, post-TECH-02/REG-04)</w:t>
            </w:r>
          </w:p>
        </w:tc>
        <w:tc>
          <w:tcPr>
            <w:tcW w:type="dxa" w:w="2340"/>
            <w:vAlign w:val="center"/>
          </w:tcPr>
          <w:p>
            <w:pPr>
              <w:spacing w:after="40"/>
            </w:pPr>
            <w:r>
              <w:rPr>
                <w:rFonts w:ascii="Calibri" w:hAnsi="Calibri"/>
                <w:sz w:val="17"/>
              </w:rPr>
              <w:t>Problem_Charter.md; Section_08_Operations_Plan.md §8.5</w:t>
            </w:r>
          </w:p>
        </w:tc>
      </w:tr>
      <w:tr>
        <w:tc>
          <w:tcPr>
            <w:tcW w:type="dxa" w:w="2340"/>
            <w:vAlign w:val="center"/>
          </w:tcPr>
          <w:p>
            <w:pPr>
              <w:spacing w:after="40"/>
            </w:pPr>
            <w:r>
              <w:rPr>
                <w:rFonts w:ascii="Calibri" w:hAnsi="Calibri"/>
                <w:sz w:val="17"/>
              </w:rPr>
              <w:t>No assumed-uniform AI effectiveness across markets</w:t>
            </w:r>
          </w:p>
        </w:tc>
        <w:tc>
          <w:tcPr>
            <w:tcW w:type="dxa" w:w="2340"/>
            <w:vAlign w:val="center"/>
          </w:tcPr>
          <w:p>
            <w:pPr>
              <w:spacing w:after="40"/>
            </w:pPr>
            <w:r>
              <w:rPr>
                <w:rFonts w:ascii="Calibri" w:hAnsi="Calibri"/>
                <w:sz w:val="17"/>
              </w:rPr>
              <w:t>OPT-005 per-market model-tuning pilot, Egypt first</w:t>
            </w:r>
          </w:p>
        </w:tc>
        <w:tc>
          <w:tcPr>
            <w:tcW w:type="dxa" w:w="2340"/>
            <w:vAlign w:val="center"/>
          </w:tcPr>
          <w:p>
            <w:pPr>
              <w:spacing w:after="40"/>
            </w:pPr>
            <w:r>
              <w:rPr>
                <w:rFonts w:ascii="Calibri" w:hAnsi="Calibri"/>
                <w:sz w:val="17"/>
              </w:rPr>
              <w:t>TECH-01</w:t>
            </w:r>
          </w:p>
        </w:tc>
        <w:tc>
          <w:tcPr>
            <w:tcW w:type="dxa" w:w="2340"/>
            <w:vAlign w:val="center"/>
          </w:tcPr>
          <w:p>
            <w:pPr>
              <w:spacing w:after="40"/>
            </w:pPr>
            <w:r>
              <w:rPr>
                <w:rFonts w:ascii="Calibri" w:hAnsi="Calibri"/>
                <w:sz w:val="17"/>
              </w:rPr>
              <w:t>Section_08_Operations_Plan.md §8.4; Section_10_Risk_Analysis.md §10.8</w:t>
            </w:r>
          </w:p>
        </w:tc>
      </w:tr>
    </w:tbl>
    <w:p>
      <w:pPr>
        <w:pStyle w:val="Heading2"/>
      </w:pPr>
      <w:r>
        <w:t>11.2 Sustainability Initiatives</w:t>
      </w:r>
    </w:p>
    <w:p>
      <w:pPr>
        <w:keepLines w:val="0"/>
      </w:pPr>
      <w:r>
        <w:rPr>
          <w:b/>
        </w:rPr>
        <w:t>talabat discloses real, if partial, sustainability activity —</w:t>
      </w:r>
      <w:r>
        <w:t xml:space="preserve"> this plan reports it honestly, including what it does not know. Four categories of disclosed activity exist in the primary corpus:</w:t>
      </w:r>
    </w:p>
    <w:p>
      <w:pPr>
        <w:pStyle w:val="ListBullet"/>
        <w:keepLines w:val="0"/>
      </w:pPr>
      <w:r>
        <w:t>Electric-vehicle delivery fleet. talabat operates 240 electric vehicles in the UAE (as of January</w:t>
      </w:r>
    </w:p>
    <w:p>
      <w:pPr>
        <w:pStyle w:val="Heading2"/>
      </w:pPr>
      <w:r>
        <w:t>11.3 Commitment to Responsible AI Practices and Governance Structures</w:t>
      </w:r>
    </w:p>
    <w:p>
      <w:pPr>
        <w:keepLines w:val="0"/>
      </w:pPr>
      <w:r>
        <w:t>The governing principle, stated at charter level and never diluted downstream. Problem_Charter.md states: "The AI does not claim to possess talabat's internal, customer-level data, and its output is not a substitute for management decision-making...</w:t>
      </w:r>
    </w:p>
    <w:p>
      <w:pPr>
        <w:pStyle w:val="Heading2"/>
      </w:pPr>
      <w:r>
        <w:t>11.4 What this section does not claim</w:t>
      </w:r>
    </w:p>
    <w:p>
      <w:pPr>
        <w:keepLines w:val="0"/>
      </w:pPr>
      <w:r>
        <w:rPr>
          <w:b/>
        </w:rPr>
        <w:t>Consistent with the discipline the rest of this plan applies, this section states three things it explicitly does not do: (1) it does not claim talabat has adopted, or has committed to adopt, any of the governance structures proposed above —</w:t>
      </w:r>
      <w:r>
        <w:t xml:space="preserve"> they are this OS's own recommendation, pending human/team decision, exactly…</w:t>
      </w:r>
    </w:p>
    <w:p>
      <w:pPr>
        <w:spacing w:after="80"/>
      </w:pPr>
    </w:p>
    <w:p>
      <w:pPr>
        <w:pStyle w:val="Heading1"/>
      </w:pPr>
      <w:r>
        <w:t>12. Implementation Plan</w:t>
      </w:r>
    </w:p>
    <w:p>
      <w:pPr>
        <w:pStyle w:val="Heading2"/>
      </w:pPr>
      <w:r>
        <w:t>Answer, stated first</w:t>
      </w:r>
    </w:p>
    <w:p>
      <w:pPr>
        <w:keepLines w:val="0"/>
      </w:pPr>
      <w:r>
        <w:rPr>
          <w:b/>
        </w:rPr>
        <w:t>The five candidate Investment Options this plan has identified do not all belong at the same starting point. DEC-009's underlying 11-criterion comparison groups OPT-001 (talabat mart densification) and OPT-005 (AI/personalisation scaling) as the strongest-evidence, broadest-applicability pair —</w:t>
      </w:r>
      <w:r>
        <w:t xml:space="preserve"> continue-at-pace items requiring no new pilot.</w:t>
      </w:r>
    </w:p>
    <w:p>
      <w:pPr>
        <w:pStyle w:val="Heading2"/>
      </w:pPr>
      <w:r>
        <w:t>Three Horizons Roadmap</w:t>
      </w:r>
    </w:p>
    <w:p>
      <w:pPr>
        <w:pStyle w:val="Heading3"/>
      </w:pPr>
      <w:r>
        <w:t>Horizon 1 (0-6 months) — Fund the near-term priority pair, continue Tier 1 at pace</w:t>
      </w:r>
    </w:p>
    <w:p>
      <w:pPr>
        <w:pStyle w:val="ListBullet"/>
        <w:keepLines w:val="0"/>
      </w:pPr>
      <w:r>
        <w:t>Continue at pace: OPT-001 (talabat mart densification) and OPT-005 (AI/personalisation</w:t>
      </w:r>
    </w:p>
    <w:p>
      <w:pPr>
        <w:pStyle w:val="ListBullet"/>
        <w:keepLines w:val="0"/>
      </w:pPr>
      <w:r>
        <w:t>Pilot: OPT-002 (talabat pro acceleration in Egypt and Iraq) — DEC-009 names this the</w:t>
      </w:r>
    </w:p>
    <w:p>
      <w:pPr>
        <w:pStyle w:val="Heading3"/>
      </w:pPr>
      <w:r>
        <w:t>Horizon 2 (6-18 months) — Evidence-gated decisions on the piloted/continuing items</w:t>
      </w:r>
    </w:p>
    <w:p>
      <w:pPr>
        <w:pStyle w:val="ListBullet"/>
        <w:keepLines w:val="0"/>
      </w:pPr>
      <w:r>
        <w:t>OPT-002 go/no-go: contingent on H1's Egypt/Iraq pro-adoption evidence. If frequency/retention</w:t>
      </w:r>
    </w:p>
    <w:p>
      <w:pPr>
        <w:pStyle w:val="ListBullet"/>
        <w:keepLines w:val="0"/>
      </w:pPr>
      <w:r>
        <w:t>OPT-003 review: using H1's budget-weighting and dry-powder-trigger baseline, assess whether the</w:t>
      </w:r>
    </w:p>
    <w:p>
      <w:pPr>
        <w:pStyle w:val="Heading3"/>
      </w:pPr>
      <w:r>
        <w:t>Horizon 3 (18+ months) — Scale what H1/H2 evidenced, revisit the cross-market gap</w:t>
      </w:r>
    </w:p>
    <w:p>
      <w:pPr>
        <w:pStyle w:val="ListBullet"/>
        <w:keepLines w:val="0"/>
      </w:pPr>
      <w:r>
        <w:t>OPT-002: scale if H2's go/no-go supported it; hold or reassess if it did not clear its evidence</w:t>
      </w:r>
    </w:p>
    <w:p>
      <w:pPr>
        <w:pStyle w:val="ListBullet"/>
        <w:keepLines w:val="0"/>
      </w:pPr>
      <w:r>
        <w:t>Revisit the largest remaining open question from Section 2.2 (problem 3: cross-market allocation) —</w:t>
      </w:r>
    </w:p>
    <w:p>
      <w:pPr>
        <w:pStyle w:val="Heading2"/>
      </w:pPr>
      <w:r>
        <w:t>Dependencies and Timelines</w:t>
      </w:r>
    </w:p>
    <w:p>
      <w:pPr>
        <w:keepLines w:val="0"/>
      </w:pPr>
      <w:r>
        <w:rPr>
          <w:b/>
        </w:rPr>
        <w:t>H2 decisions are explicitly gated on H1 evidence, not calendar time alone —</w:t>
      </w:r>
      <w:r>
        <w:t xml:space="preserve"> per the KPI Tree's Governance family (KPI_Tree_v2.md), none of which currently has a baseline. The single largest dependency across all three horizons is the same one flagged in Section 2.2: no market-level allocation logic is disclosed…</w:t>
      </w:r>
    </w:p>
    <w:p>
      <w:pPr>
        <w:pStyle w:val="Heading2"/>
      </w:pPr>
      <w:r>
        <w:t>Marketing Rollout Plan</w:t>
      </w:r>
    </w:p>
    <w:p>
      <w:pPr>
        <w:keepLines w:val="0"/>
      </w:pPr>
      <w:r>
        <w:rPr>
          <w:b/>
        </w:rPr>
        <w:t>Not primarily applicable to this plan's actual product (an internal capital-allocation decision-support system, per Section 5) —</w:t>
      </w:r>
      <w:r>
        <w:t xml:space="preserve"> the "rollout" that matters is internal: to the extent H1's OPT-002 pilot involves customer-facing changes (accelerated pro marketing in Egypt/Iraq), that rollout should follow the same…</w:t>
      </w:r>
    </w:p>
    <w:p>
      <w:pPr>
        <w:pStyle w:val="Heading2"/>
      </w:pPr>
      <w:r>
        <w:t>Team Expansion and Recruitment Goals</w:t>
      </w:r>
    </w:p>
    <w:p>
      <w:pPr>
        <w:keepLines w:val="0"/>
      </w:pPr>
      <w:r>
        <w:rPr>
          <w:b/>
        </w:rPr>
        <w:t>Not disclosed anywhere in the corpus for either the underlying AI capability or a capital-allocation function (Capital Allocation and Investment Governance.md's governance-mechanics gap extends here) —</w:t>
      </w:r>
      <w:r>
        <w:t xml:space="preserve"> this plan does not invent a headcount figure.</w:t>
      </w:r>
    </w:p>
    <w:p>
      <w:pPr>
        <w:spacing w:after="80"/>
      </w:pPr>
    </w:p>
    <w:p>
      <w:pPr>
        <w:pStyle w:val="Heading1"/>
      </w:pPr>
      <w:r>
        <w:t>13. Monitoring and Evaluation</w:t>
      </w:r>
    </w:p>
    <w:p>
      <w:pPr>
        <w:pStyle w:val="Heading2"/>
      </w:pPr>
      <w:r>
        <w:t>Answer, stated first</w:t>
      </w:r>
    </w:p>
    <w:p>
      <w:pPr>
        <w:keepLines w:val="0"/>
      </w:pPr>
      <w:r>
        <w:rPr>
          <w:b/>
        </w:rPr>
        <w:t>This plan's monitoring framework does not invent new metrics to look complete —</w:t>
      </w:r>
      <w:r>
        <w:t xml:space="preserve"> it reproduces KPI_Tree_v2.md's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w:t>
      </w:r>
    </w:p>
    <w:p>
      <w:pPr>
        <w:pStyle w:val="Heading2"/>
      </w:pPr>
      <w:r>
        <w:t>KPIs Mapped to the Value Driver Tree</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872"/>
            <w:shd w:fill="E8EEF5"/>
            <w:vAlign w:val="center"/>
          </w:tcPr>
          <w:p>
            <w:pPr>
              <w:spacing w:after="40"/>
            </w:pPr>
            <w:r>
              <w:rPr>
                <w:rFonts w:ascii="Calibri" w:hAnsi="Calibri"/>
                <w:b/>
                <w:sz w:val="17"/>
              </w:rPr>
              <w:t>Family</w:t>
            </w:r>
          </w:p>
        </w:tc>
        <w:tc>
          <w:tcPr>
            <w:tcW w:type="dxa" w:w="1872"/>
            <w:shd w:fill="E8EEF5"/>
            <w:vAlign w:val="center"/>
          </w:tcPr>
          <w:p>
            <w:pPr>
              <w:spacing w:after="40"/>
            </w:pPr>
            <w:r>
              <w:rPr>
                <w:rFonts w:ascii="Calibri" w:hAnsi="Calibri"/>
                <w:b/>
                <w:sz w:val="17"/>
              </w:rPr>
              <w:t>Count</w:t>
            </w:r>
          </w:p>
        </w:tc>
        <w:tc>
          <w:tcPr>
            <w:tcW w:type="dxa" w:w="1872"/>
            <w:shd w:fill="E8EEF5"/>
            <w:vAlign w:val="center"/>
          </w:tcPr>
          <w:p>
            <w:pPr>
              <w:spacing w:after="40"/>
            </w:pPr>
            <w:r>
              <w:rPr>
                <w:rFonts w:ascii="Calibri" w:hAnsi="Calibri"/>
                <w:b/>
                <w:sz w:val="17"/>
              </w:rPr>
              <w:t>Baseline-exists</w:t>
            </w:r>
          </w:p>
        </w:tc>
        <w:tc>
          <w:tcPr>
            <w:tcW w:type="dxa" w:w="1872"/>
            <w:shd w:fill="E8EEF5"/>
            <w:vAlign w:val="center"/>
          </w:tcPr>
          <w:p>
            <w:pPr>
              <w:spacing w:after="40"/>
            </w:pPr>
            <w:r>
              <w:rPr>
                <w:rFonts w:ascii="Calibri" w:hAnsi="Calibri"/>
                <w:b/>
                <w:sz w:val="17"/>
              </w:rPr>
              <w:t>Newly-instrumented</w:t>
            </w:r>
          </w:p>
        </w:tc>
        <w:tc>
          <w:tcPr>
            <w:tcW w:type="dxa" w:w="1872"/>
            <w:shd w:fill="E8EEF5"/>
            <w:vAlign w:val="center"/>
          </w:tcPr>
          <w:p>
            <w:pPr>
              <w:spacing w:after="40"/>
            </w:pPr>
            <w:r>
              <w:rPr>
                <w:rFonts w:ascii="Calibri" w:hAnsi="Calibri"/>
                <w:b/>
                <w:sz w:val="17"/>
              </w:rPr>
              <w:t>Representative KPIs</w:t>
            </w:r>
          </w:p>
        </w:tc>
      </w:tr>
      <w:tr>
        <w:tc>
          <w:tcPr>
            <w:tcW w:type="dxa" w:w="1872"/>
            <w:vAlign w:val="center"/>
          </w:tcPr>
          <w:p>
            <w:pPr>
              <w:spacing w:after="40"/>
            </w:pPr>
            <w:r>
              <w:rPr>
                <w:rFonts w:ascii="Calibri" w:hAnsi="Calibri"/>
                <w:sz w:val="17"/>
              </w:rPr>
              <w:t>Portfolio</w:t>
            </w:r>
          </w:p>
        </w:tc>
        <w:tc>
          <w:tcPr>
            <w:tcW w:type="dxa" w:w="1872"/>
            <w:vAlign w:val="center"/>
          </w:tcPr>
          <w:p>
            <w:pPr>
              <w:spacing w:after="40"/>
            </w:pPr>
            <w:r>
              <w:rPr>
                <w:rFonts w:ascii="Calibri" w:hAnsi="Calibri"/>
                <w:sz w:val="17"/>
              </w:rPr>
              <w:t>8</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4</w:t>
            </w:r>
          </w:p>
        </w:tc>
        <w:tc>
          <w:tcPr>
            <w:tcW w:type="dxa" w:w="1872"/>
            <w:vAlign w:val="center"/>
          </w:tcPr>
          <w:p>
            <w:pPr>
              <w:spacing w:after="40"/>
            </w:pPr>
            <w:r>
              <w:rPr>
                <w:rFonts w:ascii="Calibri" w:hAnsi="Calibri"/>
                <w:sz w:val="17"/>
              </w:rPr>
              <w:t>Spend-to-plan by bucket (baseline: disclosed EBITDA bridge); % of programme spend passing a documented stage-gate (new)</w:t>
            </w:r>
          </w:p>
        </w:tc>
      </w:tr>
      <w:tr>
        <w:tc>
          <w:tcPr>
            <w:tcW w:type="dxa" w:w="1872"/>
            <w:vAlign w:val="center"/>
          </w:tcPr>
          <w:p>
            <w:pPr>
              <w:spacing w:after="40"/>
            </w:pPr>
            <w:r>
              <w:rPr>
                <w:rFonts w:ascii="Calibri" w:hAnsi="Calibri"/>
                <w:sz w:val="17"/>
              </w:rPr>
              <w:t>Customer &amp; growth</w:t>
            </w:r>
          </w:p>
        </w:tc>
        <w:tc>
          <w:tcPr>
            <w:tcW w:type="dxa" w:w="1872"/>
            <w:vAlign w:val="center"/>
          </w:tcPr>
          <w:p>
            <w:pPr>
              <w:spacing w:after="40"/>
            </w:pPr>
            <w:r>
              <w:rPr>
                <w:rFonts w:ascii="Calibri" w:hAnsi="Calibri"/>
                <w:sz w:val="17"/>
              </w:rPr>
              <w:t>12</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talabat pro subscriber GMV share (baseline: 32%→49%, Q1 2025→Q1 2026); multi-vertical GMV share (baseline: 68%→73%→76%, Dec'24→Dec'25→Mar'26); churn rate (new — see below)</w:t>
            </w:r>
          </w:p>
        </w:tc>
      </w:tr>
      <w:tr>
        <w:tc>
          <w:tcPr>
            <w:tcW w:type="dxa" w:w="1872"/>
            <w:vAlign w:val="center"/>
          </w:tcPr>
          <w:p>
            <w:pPr>
              <w:spacing w:after="40"/>
            </w:pPr>
            <w:r>
              <w:rPr>
                <w:rFonts w:ascii="Calibri" w:hAnsi="Calibri"/>
                <w:sz w:val="17"/>
              </w:rPr>
              <w:t>Financial</w:t>
            </w:r>
          </w:p>
        </w:tc>
        <w:tc>
          <w:tcPr>
            <w:tcW w:type="dxa" w:w="1872"/>
            <w:vAlign w:val="center"/>
          </w:tcPr>
          <w:p>
            <w:pPr>
              <w:spacing w:after="40"/>
            </w:pPr>
            <w:r>
              <w:rPr>
                <w:rFonts w:ascii="Calibri" w:hAnsi="Calibri"/>
                <w:sz w:val="17"/>
              </w:rPr>
              <w:t>14</w:t>
            </w:r>
          </w:p>
        </w:tc>
        <w:tc>
          <w:tcPr>
            <w:tcW w:type="dxa" w:w="1872"/>
            <w:vAlign w:val="center"/>
          </w:tcPr>
          <w:p>
            <w:pPr>
              <w:spacing w:after="40"/>
            </w:pPr>
            <w:r>
              <w:rPr>
                <w:rFonts w:ascii="Calibri" w:hAnsi="Calibri"/>
                <w:sz w:val="17"/>
              </w:rPr>
              <w:t>11</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Adj. EBITDA margin (baseline: guided range); programme-attributable incremental GMV (new, ASM-017-derived, illustrative only)</w:t>
            </w:r>
          </w:p>
        </w:tc>
      </w:tr>
      <w:tr>
        <w:tc>
          <w:tcPr>
            <w:tcW w:type="dxa" w:w="1872"/>
            <w:vAlign w:val="center"/>
          </w:tcPr>
          <w:p>
            <w:pPr>
              <w:spacing w:after="40"/>
            </w:pPr>
            <w:r>
              <w:rPr>
                <w:rFonts w:ascii="Calibri" w:hAnsi="Calibri"/>
                <w:sz w:val="17"/>
              </w:rPr>
              <w:t>Operational</w:t>
            </w:r>
          </w:p>
        </w:tc>
        <w:tc>
          <w:tcPr>
            <w:tcW w:type="dxa" w:w="1872"/>
            <w:vAlign w:val="center"/>
          </w:tcPr>
          <w:p>
            <w:pPr>
              <w:spacing w:after="40"/>
            </w:pPr>
            <w:r>
              <w:rPr>
                <w:rFonts w:ascii="Calibri" w:hAnsi="Calibri"/>
                <w:sz w:val="17"/>
              </w:rPr>
              <w:t>9</w:t>
            </w:r>
          </w:p>
        </w:tc>
        <w:tc>
          <w:tcPr>
            <w:tcW w:type="dxa" w:w="1872"/>
            <w:vAlign w:val="center"/>
          </w:tcPr>
          <w:p>
            <w:pPr>
              <w:spacing w:after="40"/>
            </w:pPr>
            <w:r>
              <w:rPr>
                <w:rFonts w:ascii="Calibri" w:hAnsi="Calibri"/>
                <w:sz w:val="17"/>
              </w:rPr>
              <w:t>6</w:t>
            </w:r>
          </w:p>
        </w:tc>
        <w:tc>
          <w:tcPr>
            <w:tcW w:type="dxa" w:w="1872"/>
            <w:vAlign w:val="center"/>
          </w:tcPr>
          <w:p>
            <w:pPr>
              <w:spacing w:after="40"/>
            </w:pPr>
            <w:r>
              <w:rPr>
                <w:rFonts w:ascii="Calibri" w:hAnsi="Calibri"/>
                <w:sz w:val="17"/>
              </w:rPr>
              <w:t>3</w:t>
            </w:r>
          </w:p>
        </w:tc>
        <w:tc>
          <w:tcPr>
            <w:tcW w:type="dxa" w:w="1872"/>
            <w:vAlign w:val="center"/>
          </w:tcPr>
          <w:p>
            <w:pPr>
              <w:spacing w:after="40"/>
            </w:pPr>
            <w:r>
              <w:rPr>
                <w:rFonts w:ascii="Calibri" w:hAnsi="Calibri"/>
                <w:sz w:val="17"/>
              </w:rPr>
              <w:t>Dark-store count/density (baseline: 130→160 stores); delivery time/on-time rate (baseline: disclosed trend)</w:t>
            </w:r>
          </w:p>
        </w:tc>
      </w:tr>
      <w:tr>
        <w:tc>
          <w:tcPr>
            <w:tcW w:type="dxa" w:w="1872"/>
            <w:vAlign w:val="center"/>
          </w:tcPr>
          <w:p>
            <w:pPr>
              <w:spacing w:after="40"/>
            </w:pPr>
            <w:r>
              <w:rPr>
                <w:rFonts w:ascii="Calibri" w:hAnsi="Calibri"/>
                <w:sz w:val="17"/>
              </w:rPr>
              <w:t>Governance</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0</w:t>
            </w:r>
          </w:p>
        </w:tc>
        <w:tc>
          <w:tcPr>
            <w:tcW w:type="dxa" w:w="1872"/>
            <w:vAlign w:val="center"/>
          </w:tcPr>
          <w:p>
            <w:pPr>
              <w:spacing w:after="40"/>
            </w:pPr>
            <w:r>
              <w:rPr>
                <w:rFonts w:ascii="Calibri" w:hAnsi="Calibri"/>
                <w:sz w:val="17"/>
              </w:rPr>
              <w:t>7</w:t>
            </w:r>
          </w:p>
        </w:tc>
        <w:tc>
          <w:tcPr>
            <w:tcW w:type="dxa" w:w="1872"/>
            <w:vAlign w:val="center"/>
          </w:tcPr>
          <w:p>
            <w:pPr>
              <w:spacing w:after="40"/>
            </w:pPr>
            <w:r>
              <w:rPr>
                <w:rFonts w:ascii="Calibri" w:hAnsi="Calibri"/>
                <w:sz w:val="17"/>
              </w:rPr>
              <w:t>% of spend passing a documented stage-gate; ROI/payback hurdle-rate compliance — entire family newly-instrumented</w:t>
            </w:r>
          </w:p>
        </w:tc>
      </w:tr>
    </w:tbl>
    <w:p>
      <w:pPr>
        <w:keepLines w:val="0"/>
      </w:pPr>
      <w:r>
        <w:t>Full 50-KPI detail, leading/lagging tags, and geography tags: KPI_Tree_v2.md.</w:t>
      </w:r>
    </w:p>
    <w:p>
      <w:pPr>
        <w:pStyle w:val="Heading2"/>
      </w:pPr>
      <w:r>
        <w:t>Leading vs. Lagging Split</w:t>
      </w:r>
    </w:p>
    <w:p>
      <w:pPr>
        <w:keepLines w:val="0"/>
      </w:pPr>
      <w:r>
        <w:t>Every KPI in KPI_Tree_v2.md carries this tag explicitly. The pattern that matters most for this plan's own decision logic: Portfolio and Operational KPIs are predominantly leading (spend pacing, dark-store density predict downstream GMV effect before it shows up in Financial KPIs); Financial KPIs are predominantly…</w:t>
      </w:r>
    </w:p>
    <w:p>
      <w:pPr>
        <w:pStyle w:val="Heading2"/>
      </w:pPr>
      <w:r>
        <w:t>Churn — the Single Biggest Customer-Side Gap</w:t>
      </w:r>
    </w:p>
    <w:p>
      <w:pPr>
        <w:keepLines w:val="0"/>
      </w:pPr>
      <w:r>
        <w:rPr>
          <w:b/>
        </w:rPr>
        <w:t>No churn rate, definition, or cohort analysis exists anywhere in the corpus, for talabat overall (Group) or for Egypt specifically (Topics/Customer Churn.md) —</w:t>
      </w:r>
      <w:r>
        <w:t xml:space="preserve"> the only country the corpus addresses this question for at all.</w:t>
      </w:r>
    </w:p>
    <w:p>
      <w:pPr>
        <w:pStyle w:val="Heading2"/>
      </w:pPr>
      <w:r>
        <w:t>Review Cadence</w:t>
      </w:r>
    </w:p>
    <w:p>
      <w:pPr>
        <w:keepLines w:val="0"/>
      </w:pPr>
      <w:r>
        <w:rPr>
          <w:b/>
        </w:rPr>
        <w:t>Root/Portfolio and Financial KPIs follow talabat's own quarterly reporting cadence (the corpus's actual disclosure rhythm —</w:t>
      </w:r>
      <w:r>
        <w:t xml:space="preserve"> TLB-019, TLB-020, TLB-014), tracked against Section 9's base-case trajectory.</w:t>
      </w:r>
    </w:p>
    <w:p>
      <w:pPr>
        <w:pStyle w:val="Heading2"/>
      </w:pPr>
      <w:r>
        <w:t>Governance KPIs — Explicitly the OS's Own Proposal, Not talabat's Process</w:t>
      </w:r>
    </w:p>
    <w:p>
      <w:pPr>
        <w:keepLines w:val="0"/>
      </w:pPr>
      <w:r>
        <w:t>Per Topics/Capital Allocation and Investment Governance.md's central finding, talabat discloses the programme's headline figures and one qualitative rationale, but no described approval committee, evaluation threshold, or stage-gate process.</w:t>
      </w:r>
    </w:p>
    <w:p>
      <w:pPr>
        <w:pStyle w:val="Heading2"/>
      </w:pPr>
      <w:r>
        <w:t>Tracking Tools and Feedback Loops</w:t>
      </w:r>
    </w:p>
    <w:p>
      <w:pPr>
        <w:keepLines w:val="0"/>
      </w:pPr>
      <w:r>
        <w:t>Not disclosed for talabat's own internal systems. This plan's own tracking mechanism is the vault-based architecture itself: Assumptions_Register.md (status transitions from Proposed to Approved), Investment_Options_Register.md and individual OPT- records (status transitions from candidate through…</w:t>
      </w:r>
    </w:p>
    <w:p>
      <w:pPr>
        <w:pStyle w:val="Heading2"/>
      </w:pPr>
      <w:r>
        <w:t>Kill/Pivot Criteria</w:t>
      </w:r>
    </w:p>
    <w:p>
      <w:pPr>
        <w:keepLines w:val="0"/>
      </w:pPr>
      <w:r>
        <w:rPr>
          <w:b/>
        </w:rPr>
        <w:t>Per Section 12's evidence-gated horizon structure: OPT-002 (the H1 pilot) is the clearest candidate for an explicit kill/pivot test —</w:t>
      </w:r>
      <w:r>
        <w:t xml:space="preserve"> if Egypt/Iraq pro-adoption evidence at the H1→H2 gate falls materially short of the GCC+Jordan cohort's 20-28%/26-32% uplift range, the correct response is reassessment, not continued funding on the original ASM-016 inference.</w:t>
      </w:r>
    </w:p>
    <w:p>
      <w:pPr>
        <w:spacing w:after="80"/>
      </w:pPr>
    </w:p>
    <w:p>
      <w:pPr>
        <w:pStyle w:val="Heading1"/>
      </w:pPr>
      <w:r>
        <w:t>14. Appendices</w:t>
      </w:r>
    </w:p>
    <w:p>
      <w:pPr>
        <w:pStyle w:val="Heading2"/>
      </w:pPr>
      <w:r>
        <w:t>Answer, stated first</w:t>
      </w:r>
    </w:p>
    <w:p>
      <w:pPr>
        <w:keepLines w:val="0"/>
      </w:pPr>
      <w:r>
        <w:rPr>
          <w:b/>
        </w:rPr>
        <w:t>This appendix is the plan's ghost deck: it does not introduce new arguments, it backs the ones the other thirteen sections already made. Three things live here and nowhere else in the plan: the full traceability note (§14.2), mapping this plan's headline claims —</w:t>
      </w:r>
      <w:r>
        <w:t xml:space="preserve"> the USD175mn/120mn/55mn envelope, the five ranked…</w:t>
      </w:r>
    </w:p>
    <w:p>
      <w:pPr>
        <w:pStyle w:val="Heading2"/>
      </w:pPr>
      <w:r>
        <w:t>14.1 Supporting Research and Data</w:t>
      </w:r>
    </w:p>
    <w:p>
      <w:pPr>
        <w:keepLines w:val="0"/>
      </w:pPr>
      <w:r>
        <w:rPr>
          <w:b/>
        </w:rPr>
        <w:t>The evidentiary infrastructure this plan draws on is not ad hoc —</w:t>
      </w:r>
      <w:r>
        <w:t xml:space="preserve"> it is a maintained, auditable knowledge base with its own index and quality-control record:</w:t>
      </w:r>
    </w:p>
    <w:p>
      <w:pPr>
        <w:pStyle w:val="ListBullet"/>
        <w:keepLines w:val="0"/>
      </w:pPr>
      <w:r>
        <w:t>vault/MOC/Source Register.md — the document-level index for the 29-document primary corpus</w:t>
      </w:r>
    </w:p>
    <w:p>
      <w:pPr>
        <w:pStyle w:val="Heading2"/>
      </w:pPr>
      <w:r>
        <w:t>14.2 Traceability Note — Claim → Vault Note → Source</w:t>
      </w:r>
    </w:p>
    <w:p>
      <w:pPr>
        <w:keepLines w:val="0"/>
      </w:pPr>
      <w:r>
        <w:rPr>
          <w:b/>
        </w:rPr>
        <w:t>Per AI_Business_Plan_Template.md's explicit requirement and the drafting skill's own description of this section as "the closest to mechanically ready," the table below compiles this plan's actual argument —</w:t>
      </w:r>
      <w:r>
        <w:t xml:space="preserve"> not every sentence in Sections 2–13, but every headline claim, the five Investment Options, the USD175mn/120mn/55mn figures, and each section's most load-bearing 2–4 numbers — into a single claim → vault note → source table.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Sec.</w:t>
            </w:r>
          </w:p>
        </w:tc>
        <w:tc>
          <w:tcPr>
            <w:tcW w:type="dxa" w:w="2340"/>
            <w:shd w:fill="E8EEF5"/>
            <w:vAlign w:val="center"/>
          </w:tcPr>
          <w:p>
            <w:pPr>
              <w:spacing w:after="40"/>
            </w:pPr>
            <w:r>
              <w:rPr>
                <w:rFonts w:ascii="Calibri" w:hAnsi="Calibri"/>
                <w:b/>
                <w:sz w:val="17"/>
              </w:rPr>
              <w:t>Claim</w:t>
            </w:r>
          </w:p>
        </w:tc>
        <w:tc>
          <w:tcPr>
            <w:tcW w:type="dxa" w:w="2340"/>
            <w:shd w:fill="E8EEF5"/>
            <w:vAlign w:val="center"/>
          </w:tcPr>
          <w:p>
            <w:pPr>
              <w:spacing w:after="40"/>
            </w:pPr>
            <w:r>
              <w:rPr>
                <w:rFonts w:ascii="Calibri" w:hAnsi="Calibri"/>
                <w:b/>
                <w:sz w:val="17"/>
              </w:rPr>
              <w:t>Vault note</w:t>
            </w:r>
          </w:p>
        </w:tc>
        <w:tc>
          <w:tcPr>
            <w:tcW w:type="dxa" w:w="2340"/>
            <w:shd w:fill="E8EEF5"/>
            <w:vAlign w:val="center"/>
          </w:tcPr>
          <w:p>
            <w:pPr>
              <w:spacing w:after="40"/>
            </w:pPr>
            <w:r>
              <w:rPr>
                <w:rFonts w:ascii="Calibri" w:hAnsi="Calibri"/>
                <w:b/>
                <w:sz w:val="17"/>
              </w:rPr>
              <w:t>Source</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USD175mn = ~120mn Everyday App + ~55mn Food-leadership (Group, Board-approved Feb 2026, internally funded)</w:t>
            </w:r>
          </w:p>
        </w:tc>
        <w:tc>
          <w:tcPr>
            <w:tcW w:type="dxa" w:w="2340"/>
            <w:vAlign w:val="center"/>
          </w:tcPr>
          <w:p>
            <w:pPr>
              <w:spacing w:after="40"/>
            </w:pPr>
            <w:r>
              <w:rPr>
                <w:rFonts w:ascii="Calibri" w:hAnsi="Calibri"/>
                <w:sz w:val="17"/>
              </w:rPr>
              <w:t>Investment_Portfolio_Register.md</w:t>
            </w:r>
          </w:p>
        </w:tc>
        <w:tc>
          <w:tcPr>
            <w:tcW w:type="dxa" w:w="2340"/>
            <w:vAlign w:val="center"/>
          </w:tcPr>
          <w:p>
            <w:pPr>
              <w:spacing w:after="40"/>
            </w:pPr>
            <w:r>
              <w:rPr>
                <w:rFonts w:ascii="Calibri" w:hAnsi="Calibri"/>
                <w:sz w:val="17"/>
              </w:rPr>
              <w:t>TLB-020, pp.12,16; TLB-014, pp.6,19</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"Investments rather than costs... expected to offset the margin impact over time"</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TLB-020, page 16</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No disclosed internal capital-allocation governance mechanics (committee, approval threshold, stage-gate)</w:t>
            </w:r>
          </w:p>
        </w:tc>
        <w:tc>
          <w:tcPr>
            <w:tcW w:type="dxa" w:w="2340"/>
            <w:vAlign w:val="center"/>
          </w:tcPr>
          <w:p>
            <w:pPr>
              <w:spacing w:after="40"/>
            </w:pPr>
            <w:r>
              <w:rPr>
                <w:rFonts w:ascii="Calibri" w:hAnsi="Calibri"/>
                <w:sz w:val="17"/>
              </w:rPr>
              <w:t>Topics/Capital Allocation and Investment Governance.md</w:t>
            </w:r>
          </w:p>
        </w:tc>
        <w:tc>
          <w:tcPr>
            <w:tcW w:type="dxa" w:w="2340"/>
            <w:vAlign w:val="center"/>
          </w:tcPr>
          <w:p>
            <w:pPr>
              <w:spacing w:after="40"/>
            </w:pPr>
            <w:r>
              <w:rPr>
                <w:rFonts w:ascii="Calibri" w:hAnsi="Calibri"/>
                <w:sz w:val="17"/>
              </w:rPr>
              <w:t>corpus-wide absence finding</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Five candidate Investment Options identified and ranked</w:t>
            </w:r>
          </w:p>
        </w:tc>
        <w:tc>
          <w:tcPr>
            <w:tcW w:type="dxa" w:w="2340"/>
            <w:vAlign w:val="center"/>
          </w:tcPr>
          <w:p>
            <w:pPr>
              <w:spacing w:after="40"/>
            </w:pPr>
            <w:r>
              <w:rPr>
                <w:rFonts w:ascii="Calibri" w:hAnsi="Calibri"/>
                <w:sz w:val="17"/>
              </w:rPr>
              <w:t>Investment_Options_Register.md; OPT-001–005</w:t>
            </w:r>
          </w:p>
        </w:tc>
        <w:tc>
          <w:tcPr>
            <w:tcW w:type="dxa" w:w="2340"/>
            <w:vAlign w:val="center"/>
          </w:tcPr>
          <w:p>
            <w:pPr>
              <w:spacing w:after="40"/>
            </w:pPr>
            <w:r>
              <w:rPr>
                <w:rFonts w:ascii="Calibri" w:hAnsi="Calibri"/>
                <w:sz w:val="17"/>
              </w:rPr>
              <w:t>DEC-009</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FY2024 GMV USD7,428mn (+23% YoY), Group</w:t>
            </w:r>
          </w:p>
        </w:tc>
        <w:tc>
          <w:tcPr>
            <w:tcW w:type="dxa" w:w="2340"/>
            <w:vAlign w:val="center"/>
          </w:tcPr>
          <w:p>
            <w:pPr>
              <w:spacing w:after="40"/>
            </w:pPr>
            <w:r>
              <w:rPr>
                <w:rFonts w:ascii="Calibri" w:hAnsi="Calibri"/>
                <w:sz w:val="17"/>
              </w:rPr>
              <w:t>Topics/GMV.md</w:t>
            </w:r>
          </w:p>
        </w:tc>
        <w:tc>
          <w:tcPr>
            <w:tcW w:type="dxa" w:w="2340"/>
            <w:vAlign w:val="center"/>
          </w:tcPr>
          <w:p>
            <w:pPr>
              <w:spacing w:after="40"/>
            </w:pPr>
            <w:r>
              <w:rPr>
                <w:rFonts w:ascii="Calibri" w:hAnsi="Calibri"/>
                <w:sz w:val="17"/>
              </w:rPr>
              <w:t>TLB-001, pages 6, 26</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Eight operating markets (UAE, Kuwait, Qatar, Bahrain, Oman, Jordan, Iraq, Egypt)</w:t>
            </w:r>
          </w:p>
        </w:tc>
        <w:tc>
          <w:tcPr>
            <w:tcW w:type="dxa" w:w="2340"/>
            <w:vAlign w:val="center"/>
          </w:tcPr>
          <w:p>
            <w:pPr>
              <w:spacing w:after="40"/>
            </w:pPr>
            <w:r>
              <w:rPr>
                <w:rFonts w:ascii="Calibri" w:hAnsi="Calibri"/>
                <w:sz w:val="17"/>
              </w:rPr>
              <w:t>Entities/Countries.md</w:t>
            </w:r>
          </w:p>
        </w:tc>
        <w:tc>
          <w:tcPr>
            <w:tcW w:type="dxa" w:w="2340"/>
            <w:vAlign w:val="center"/>
          </w:tcPr>
          <w:p>
            <w:pPr>
              <w:spacing w:after="40"/>
            </w:pPr>
            <w:r>
              <w:rPr>
                <w:rFonts w:ascii="Calibri" w:hAnsi="Calibri"/>
                <w:sz w:val="17"/>
              </w:rPr>
              <w:t>Problem_Charter.md</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Dubai Financial Market listing, November 2024</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TLB-025</w:t>
            </w:r>
          </w:p>
        </w:tc>
      </w:tr>
      <w:tr>
        <w:tc>
          <w:tcPr>
            <w:tcW w:type="dxa" w:w="2340"/>
            <w:vAlign w:val="center"/>
          </w:tcPr>
          <w:p>
            <w:pPr>
              <w:spacing w:after="40"/>
            </w:pPr>
            <w:r>
              <w:rPr>
                <w:rFonts w:ascii="Calibri" w:hAnsi="Calibri"/>
                <w:sz w:val="17"/>
              </w:rPr>
              <w:t>2</w:t>
            </w:r>
          </w:p>
        </w:tc>
        <w:tc>
          <w:tcPr>
            <w:tcW w:type="dxa" w:w="2340"/>
            <w:vAlign w:val="center"/>
          </w:tcPr>
          <w:p>
            <w:pPr>
              <w:spacing w:after="40"/>
            </w:pPr>
            <w:r>
              <w:rPr>
                <w:rFonts w:ascii="Calibri" w:hAnsi="Calibri"/>
                <w:sz w:val="17"/>
              </w:rPr>
              <w:t>FY2025 Adjusted EBITDA margin ~6.5% of GMV, Group</w:t>
            </w:r>
          </w:p>
        </w:tc>
        <w:tc>
          <w:tcPr>
            <w:tcW w:type="dxa" w:w="2340"/>
            <w:vAlign w:val="center"/>
          </w:tcPr>
          <w:p>
            <w:pPr>
              <w:spacing w:after="40"/>
            </w:pPr>
            <w:r>
              <w:rPr>
                <w:rFonts w:ascii="Calibri" w:hAnsi="Calibri"/>
                <w:sz w:val="17"/>
              </w:rPr>
              <w:t>Facts/Marketplace_Facts.md</w:t>
            </w:r>
          </w:p>
        </w:tc>
        <w:tc>
          <w:tcPr>
            <w:tcW w:type="dxa" w:w="2340"/>
            <w:vAlign w:val="center"/>
          </w:tcPr>
          <w:p>
            <w:pPr>
              <w:spacing w:after="40"/>
            </w:pPr>
            <w:r>
              <w:rPr>
                <w:rFonts w:ascii="Calibri" w:hAnsi="Calibri"/>
                <w:sz w:val="17"/>
              </w:rPr>
              <w:t>corpus-wide</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FY2025 GMV USD9.5bn (+28% y/y cFX), Group; ~7.7mn customers, ~585mn orders, ~84k Partners</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TLB-019, pp.5,13; TLB-002, page 12</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Category share 1x+–10x+ across 8 markets vs. next-closest peer</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TLB-001 p.5; TLB-002 p.5; TLB-014 p.4</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Grocery/retail penetration ~1–3% of a USD104–150bn+ addressable category (two unreconciled TAM figures, both stated)</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TLB-014, pages 5, 19; TLB-020, page 16</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GCC/non-GCC/Egypt FY2025 segment revenue, gross profit, net profit (Egypt-standalone; GCC/non-GCC country-comparison)</w:t>
            </w:r>
          </w:p>
        </w:tc>
        <w:tc>
          <w:tcPr>
            <w:tcW w:type="dxa" w:w="2340"/>
            <w:vAlign w:val="center"/>
          </w:tcPr>
          <w:p>
            <w:pPr>
              <w:spacing w:after="40"/>
            </w:pPr>
            <w:r>
              <w:rPr>
                <w:rFonts w:ascii="Calibri" w:hAnsi="Calibri"/>
                <w:sz w:val="17"/>
              </w:rPr>
              <w:t>Topics/GCC vs non-GCC.md</w:t>
            </w:r>
          </w:p>
        </w:tc>
        <w:tc>
          <w:tcPr>
            <w:tcW w:type="dxa" w:w="2340"/>
            <w:vAlign w:val="center"/>
          </w:tcPr>
          <w:p>
            <w:pPr>
              <w:spacing w:after="40"/>
            </w:pPr>
            <w:r>
              <w:rPr>
                <w:rFonts w:ascii="Calibri" w:hAnsi="Calibri"/>
                <w:sz w:val="17"/>
              </w:rPr>
              <w:t>TLB-002, page 111</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Non-GCC GMV +57% y/y vs. GCC +22% y/y, FY2025 (market-comparison)</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TLB-019, page 14</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talabat pro subscriber GMV share 32%→49% (Q1 2025→Q1 2026), Group</w:t>
            </w:r>
          </w:p>
        </w:tc>
        <w:tc>
          <w:tcPr>
            <w:tcW w:type="dxa" w:w="2340"/>
            <w:vAlign w:val="center"/>
          </w:tcPr>
          <w:p>
            <w:pPr>
              <w:spacing w:after="40"/>
            </w:pPr>
            <w:r>
              <w:rPr>
                <w:rFonts w:ascii="Calibri" w:hAnsi="Calibri"/>
                <w:sz w:val="17"/>
              </w:rPr>
              <w:t>Topics/Talabat Pro.md</w:t>
            </w:r>
          </w:p>
        </w:tc>
        <w:tc>
          <w:tcPr>
            <w:tcW w:type="dxa" w:w="2340"/>
            <w:vAlign w:val="center"/>
          </w:tcPr>
          <w:p>
            <w:pPr>
              <w:spacing w:after="40"/>
            </w:pPr>
            <w:r>
              <w:rPr>
                <w:rFonts w:ascii="Calibri" w:hAnsi="Calibri"/>
                <w:sz w:val="17"/>
              </w:rPr>
              <w:t>corpus-wide</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Multi-vertical GMV share 68%→73%→76% (Dec'24→Dec'25→Mar'26), Group</w:t>
            </w:r>
          </w:p>
        </w:tc>
        <w:tc>
          <w:tcPr>
            <w:tcW w:type="dxa" w:w="2340"/>
            <w:vAlign w:val="center"/>
          </w:tcPr>
          <w:p>
            <w:pPr>
              <w:spacing w:after="40"/>
            </w:pPr>
            <w:r>
              <w:rPr>
                <w:rFonts w:ascii="Calibri" w:hAnsi="Calibri"/>
                <w:sz w:val="17"/>
              </w:rPr>
              <w:t>Topics/Multi-Verticality.md</w:t>
            </w:r>
          </w:p>
        </w:tc>
        <w:tc>
          <w:tcPr>
            <w:tcW w:type="dxa" w:w="2340"/>
            <w:vAlign w:val="center"/>
          </w:tcPr>
          <w:p>
            <w:pPr>
              <w:spacing w:after="40"/>
            </w:pPr>
            <w:r>
              <w:rPr>
                <w:rFonts w:ascii="Calibri" w:hAnsi="Calibri"/>
                <w:sz w:val="17"/>
              </w:rPr>
              <w:t>TLB-019 p.7; TLB-020 p.8</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Egypt category-share figure inconsistent across the corpus (10x+ vs. 1x+→4x+), both stated, neither resolved</w:t>
            </w:r>
          </w:p>
        </w:tc>
        <w:tc>
          <w:tcPr>
            <w:tcW w:type="dxa" w:w="2340"/>
            <w:vAlign w:val="center"/>
          </w:tcPr>
          <w:p>
            <w:pPr>
              <w:spacing w:after="40"/>
            </w:pPr>
            <w:r>
              <w:rPr>
                <w:rFonts w:ascii="Calibri" w:hAnsi="Calibri"/>
                <w:sz w:val="17"/>
              </w:rPr>
              <w:t>Topics/Egypt.md; Topics/Competition.md</w:t>
            </w:r>
          </w:p>
        </w:tc>
        <w:tc>
          <w:tcPr>
            <w:tcW w:type="dxa" w:w="2340"/>
            <w:vAlign w:val="center"/>
          </w:tcPr>
          <w:p>
            <w:pPr>
              <w:spacing w:after="40"/>
            </w:pPr>
            <w:r>
              <w:rPr>
                <w:rFonts w:ascii="Calibri" w:hAnsi="Calibri"/>
                <w:sz w:val="17"/>
              </w:rPr>
              <w:t>TLB-001 p.5; TLB-002 p.5; TLB-014 p.4; TLB-026 p.114</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Non-high-value M1 retention -4% y/y (market-comparison: UAE, Kuwait, Qatar only)</w:t>
            </w:r>
          </w:p>
        </w:tc>
        <w:tc>
          <w:tcPr>
            <w:tcW w:type="dxa" w:w="2340"/>
            <w:vAlign w:val="center"/>
          </w:tcPr>
          <w:p>
            <w:pPr>
              <w:spacing w:after="40"/>
            </w:pPr>
            <w:r>
              <w:rPr>
                <w:rFonts w:ascii="Calibri" w:hAnsi="Calibri"/>
                <w:sz w:val="17"/>
              </w:rPr>
              <w:t>Topics/Food Leadership.md</w:t>
            </w:r>
          </w:p>
        </w:tc>
        <w:tc>
          <w:tcPr>
            <w:tcW w:type="dxa" w:w="2340"/>
            <w:vAlign w:val="center"/>
          </w:tcPr>
          <w:p>
            <w:pPr>
              <w:spacing w:after="40"/>
            </w:pPr>
            <w:r>
              <w:rPr>
                <w:rFonts w:ascii="Calibri" w:hAnsi="Calibri"/>
                <w:sz w:val="17"/>
              </w:rPr>
              <w:t>TLB-019, page 9</w:t>
            </w:r>
          </w:p>
        </w:tc>
      </w:tr>
      <w:tr>
        <w:tc>
          <w:tcPr>
            <w:tcW w:type="dxa" w:w="2340"/>
            <w:vAlign w:val="center"/>
          </w:tcPr>
          <w:p>
            <w:pPr>
              <w:spacing w:after="40"/>
            </w:pPr>
            <w:r>
              <w:rPr>
                <w:rFonts w:ascii="Calibri" w:hAnsi="Calibri"/>
                <w:sz w:val="17"/>
              </w:rPr>
              <w:t>3</w:t>
            </w:r>
          </w:p>
        </w:tc>
        <w:tc>
          <w:tcPr>
            <w:tcW w:type="dxa" w:w="2340"/>
            <w:vAlign w:val="center"/>
          </w:tcPr>
          <w:p>
            <w:pPr>
              <w:spacing w:after="40"/>
            </w:pPr>
            <w:r>
              <w:rPr>
                <w:rFonts w:ascii="Calibri" w:hAnsi="Calibri"/>
                <w:sz w:val="17"/>
              </w:rPr>
              <w:t>Only Deliveroo/Careem/noon/Jahez/Snoonu named anywhere in the primary corpus, all from one document</w:t>
            </w:r>
          </w:p>
        </w:tc>
        <w:tc>
          <w:tcPr>
            <w:tcW w:type="dxa" w:w="2340"/>
            <w:vAlign w:val="center"/>
          </w:tcPr>
          <w:p>
            <w:pPr>
              <w:spacing w:after="40"/>
            </w:pPr>
            <w:r>
              <w:rPr>
                <w:rFonts w:ascii="Calibri" w:hAnsi="Calibri"/>
                <w:sz w:val="17"/>
              </w:rPr>
              <w:t>Entities/Competitors.md</w:t>
            </w:r>
          </w:p>
        </w:tc>
        <w:tc>
          <w:tcPr>
            <w:tcW w:type="dxa" w:w="2340"/>
            <w:vAlign w:val="center"/>
          </w:tcPr>
          <w:p>
            <w:pPr>
              <w:spacing w:after="40"/>
            </w:pPr>
            <w:r>
              <w:rPr>
                <w:rFonts w:ascii="Calibri" w:hAnsi="Calibri"/>
                <w:sz w:val="17"/>
              </w:rPr>
              <w:t>TLB-026, page 146</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Multi-vertical 13.0x vs. 3.8x order frequency (Group)</w:t>
            </w:r>
          </w:p>
        </w:tc>
        <w:tc>
          <w:tcPr>
            <w:tcW w:type="dxa" w:w="2340"/>
            <w:vAlign w:val="center"/>
          </w:tcPr>
          <w:p>
            <w:pPr>
              <w:spacing w:after="40"/>
            </w:pPr>
            <w:r>
              <w:rPr>
                <w:rFonts w:ascii="Calibri" w:hAnsi="Calibri"/>
                <w:sz w:val="17"/>
              </w:rPr>
              <w:t>Topics/Multi-Verticality.md; Value_Driver_Tree_v2.md N-14 (order frequency), N-11 (GMV-share trend)</w:t>
            </w:r>
          </w:p>
        </w:tc>
        <w:tc>
          <w:tcPr>
            <w:tcW w:type="dxa" w:w="2340"/>
            <w:vAlign w:val="center"/>
          </w:tcPr>
          <w:p>
            <w:pPr>
              <w:spacing w:after="40"/>
            </w:pPr>
            <w:r>
              <w:rPr>
                <w:rFonts w:ascii="Calibri" w:hAnsi="Calibri"/>
                <w:sz w:val="17"/>
              </w:rPr>
              <w:t>TLB-012 p.9; TLB-013 p.6</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talabat pro 20-28% frequency uplift / 26-32% retention uplift (GCC+Jordan cohort, six markets pre-Dec 2024, excludes Egypt/Iraq)</w:t>
            </w:r>
          </w:p>
        </w:tc>
        <w:tc>
          <w:tcPr>
            <w:tcW w:type="dxa" w:w="2340"/>
            <w:vAlign w:val="center"/>
          </w:tcPr>
          <w:p>
            <w:pPr>
              <w:spacing w:after="40"/>
            </w:pPr>
            <w:r>
              <w:rPr>
                <w:rFonts w:ascii="Calibri" w:hAnsi="Calibri"/>
                <w:sz w:val="17"/>
              </w:rPr>
              <w:t>ASM-016 (Approved)</w:t>
            </w:r>
          </w:p>
        </w:tc>
        <w:tc>
          <w:tcPr>
            <w:tcW w:type="dxa" w:w="2340"/>
            <w:vAlign w:val="center"/>
          </w:tcPr>
          <w:p>
            <w:pPr>
              <w:spacing w:after="40"/>
            </w:pPr>
            <w:r>
              <w:rPr>
                <w:rFonts w:ascii="Calibri" w:hAnsi="Calibri"/>
                <w:sz w:val="17"/>
              </w:rPr>
              <w:t>TLB-001 p.18; TLB-015 pp.78,104; TLB-019 p.11</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Rewards &gt;15%, PostPaid 14% order-frequency uplift (Group)</w:t>
            </w:r>
          </w:p>
        </w:tc>
        <w:tc>
          <w:tcPr>
            <w:tcW w:type="dxa" w:w="2340"/>
            <w:vAlign w:val="center"/>
          </w:tcPr>
          <w:p>
            <w:pPr>
              <w:spacing w:after="40"/>
            </w:pPr>
            <w:r>
              <w:rPr>
                <w:rFonts w:ascii="Calibri" w:hAnsi="Calibri"/>
                <w:sz w:val="17"/>
              </w:rPr>
              <w:t>Business_Relationships.md Chain 1</w:t>
            </w:r>
          </w:p>
        </w:tc>
        <w:tc>
          <w:tcPr>
            <w:tcW w:type="dxa" w:w="2340"/>
            <w:vAlign w:val="center"/>
          </w:tcPr>
          <w:p>
            <w:pPr>
              <w:spacing w:after="40"/>
            </w:pPr>
            <w:r>
              <w:rPr>
                <w:rFonts w:ascii="Calibri" w:hAnsi="Calibri"/>
                <w:sz w:val="17"/>
              </w:rPr>
              <w:t>TLB-001, pp.18-19; TLB-026, p.134</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AI/personalisation EBITDA contribution USD14mn+ (FY2024) → USD30mn+ (FY2025), Group</w:t>
            </w:r>
          </w:p>
        </w:tc>
        <w:tc>
          <w:tcPr>
            <w:tcW w:type="dxa" w:w="2340"/>
            <w:vAlign w:val="center"/>
          </w:tcPr>
          <w:p>
            <w:pPr>
              <w:spacing w:after="40"/>
            </w:pPr>
            <w:r>
              <w:rPr>
                <w:rFonts w:ascii="Calibri" w:hAnsi="Calibri"/>
                <w:sz w:val="17"/>
              </w:rPr>
              <w:t>Topics/AI.md; Value_Driver_Tree_v2.md N-09</w:t>
            </w:r>
          </w:p>
        </w:tc>
        <w:tc>
          <w:tcPr>
            <w:tcW w:type="dxa" w:w="2340"/>
            <w:vAlign w:val="center"/>
          </w:tcPr>
          <w:p>
            <w:pPr>
              <w:spacing w:after="40"/>
            </w:pPr>
            <w:r>
              <w:rPr>
                <w:rFonts w:ascii="Calibri" w:hAnsi="Calibri"/>
                <w:sz w:val="17"/>
              </w:rPr>
              <w:t>TLB-001 p.23; TLB-002 p.15</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AI/personalisation EBITDA contribution not a discrete dollar line in either bucket</w:t>
            </w:r>
          </w:p>
        </w:tc>
        <w:tc>
          <w:tcPr>
            <w:tcW w:type="dxa" w:w="2340"/>
            <w:vAlign w:val="center"/>
          </w:tcPr>
          <w:p>
            <w:pPr>
              <w:spacing w:after="40"/>
            </w:pPr>
            <w:r>
              <w:rPr>
                <w:rFonts w:ascii="Calibri" w:hAnsi="Calibri"/>
                <w:sz w:val="17"/>
              </w:rPr>
              <w:t>Value_Driver_Tree_v2.md N-06</w:t>
            </w:r>
          </w:p>
        </w:tc>
        <w:tc>
          <w:tcPr>
            <w:tcW w:type="dxa" w:w="2340"/>
            <w:vAlign w:val="center"/>
          </w:tcPr>
          <w:p>
            <w:pPr>
              <w:spacing w:after="40"/>
            </w:pPr>
            <w:r>
              <w:rPr>
                <w:rFonts w:ascii="Calibri" w:hAnsi="Calibri"/>
                <w:sz w:val="17"/>
              </w:rPr>
              <w:t>—</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Advertising revenue USD246mn→USD323mn (+32% y/y) vs. ~7%-of-GMV UAE benchmark not yet reached Group-wide</w:t>
            </w:r>
          </w:p>
        </w:tc>
        <w:tc>
          <w:tcPr>
            <w:tcW w:type="dxa" w:w="2340"/>
            <w:vAlign w:val="center"/>
          </w:tcPr>
          <w:p>
            <w:pPr>
              <w:spacing w:after="40"/>
            </w:pPr>
            <w:r>
              <w:rPr>
                <w:rFonts w:ascii="Calibri" w:hAnsi="Calibri"/>
                <w:sz w:val="17"/>
              </w:rPr>
              <w:t>Topics/Revenue Drivers.md</w:t>
            </w:r>
          </w:p>
        </w:tc>
        <w:tc>
          <w:tcPr>
            <w:tcW w:type="dxa" w:w="2340"/>
            <w:vAlign w:val="center"/>
          </w:tcPr>
          <w:p>
            <w:pPr>
              <w:spacing w:after="40"/>
            </w:pPr>
            <w:r>
              <w:rPr>
                <w:rFonts w:ascii="Calibri" w:hAnsi="Calibri"/>
                <w:sz w:val="17"/>
              </w:rPr>
              <w:t>TLB-001 p.21; TLB-002 pp.10,14,19; TLB-014 p.19</w:t>
            </w:r>
          </w:p>
        </w:tc>
      </w:tr>
      <w:tr>
        <w:tc>
          <w:tcPr>
            <w:tcW w:type="dxa" w:w="2340"/>
            <w:vAlign w:val="center"/>
          </w:tcPr>
          <w:p>
            <w:pPr>
              <w:spacing w:after="40"/>
            </w:pPr>
            <w:r>
              <w:rPr>
                <w:rFonts w:ascii="Calibri" w:hAnsi="Calibri"/>
                <w:sz w:val="17"/>
              </w:rPr>
              <w:t>4</w:t>
            </w:r>
          </w:p>
        </w:tc>
        <w:tc>
          <w:tcPr>
            <w:tcW w:type="dxa" w:w="2340"/>
            <w:vAlign w:val="center"/>
          </w:tcPr>
          <w:p>
            <w:pPr>
              <w:spacing w:after="40"/>
            </w:pPr>
            <w:r>
              <w:rPr>
                <w:rFonts w:ascii="Calibri" w:hAnsi="Calibri"/>
                <w:sz w:val="17"/>
              </w:rPr>
              <w:t>No disclosed ROI, payback period, or return figure for either investment bucket (Group, absence-of-disclosure finding)</w:t>
            </w:r>
          </w:p>
        </w:tc>
        <w:tc>
          <w:tcPr>
            <w:tcW w:type="dxa" w:w="2340"/>
            <w:vAlign w:val="center"/>
          </w:tcPr>
          <w:p>
            <w:pPr>
              <w:spacing w:after="40"/>
            </w:pPr>
            <w:r>
              <w:rPr>
                <w:rFonts w:ascii="Calibri" w:hAnsi="Calibri"/>
                <w:sz w:val="17"/>
              </w:rPr>
              <w:t>Investment_Relationship_Map.md</w:t>
            </w:r>
          </w:p>
        </w:tc>
        <w:tc>
          <w:tcPr>
            <w:tcW w:type="dxa" w:w="2340"/>
            <w:vAlign w:val="center"/>
          </w:tcPr>
          <w:p>
            <w:pPr>
              <w:spacing w:after="40"/>
            </w:pPr>
            <w:r>
              <w:rPr>
                <w:rFonts w:ascii="Calibri" w:hAnsi="Calibri"/>
                <w:sz w:val="17"/>
              </w:rPr>
              <w:t>corpus-wide</w:t>
            </w:r>
          </w:p>
        </w:tc>
      </w:tr>
      <w:tr>
        <w:tc>
          <w:tcPr>
            <w:tcW w:type="dxa" w:w="2340"/>
            <w:vAlign w:val="center"/>
          </w:tcPr>
          <w:p>
            <w:pPr>
              <w:spacing w:after="40"/>
            </w:pPr>
            <w:r>
              <w:rPr>
                <w:rFonts w:ascii="Calibri" w:hAnsi="Calibri"/>
                <w:sz w:val="17"/>
              </w:rPr>
              <w:t>5</w:t>
            </w:r>
          </w:p>
        </w:tc>
        <w:tc>
          <w:tcPr>
            <w:tcW w:type="dxa" w:w="2340"/>
            <w:vAlign w:val="center"/>
          </w:tcPr>
          <w:p>
            <w:pPr>
              <w:spacing w:after="40"/>
            </w:pPr>
            <w:r>
              <w:rPr>
                <w:rFonts w:ascii="Calibri" w:hAnsi="Calibri"/>
                <w:sz w:val="17"/>
              </w:rPr>
              <w:t>talabat's technology stack is licensed from Delivery Hero SE, a partner arrangement, not a standalone build</w:t>
            </w:r>
          </w:p>
        </w:tc>
        <w:tc>
          <w:tcPr>
            <w:tcW w:type="dxa" w:w="2340"/>
            <w:vAlign w:val="center"/>
          </w:tcPr>
          <w:p>
            <w:pPr>
              <w:spacing w:after="40"/>
            </w:pPr>
            <w:r>
              <w:rPr>
                <w:rFonts w:ascii="Calibri" w:hAnsi="Calibri"/>
                <w:sz w:val="17"/>
              </w:rPr>
              <w:t>Entities/Technology_Platforms.md</w:t>
            </w:r>
          </w:p>
        </w:tc>
        <w:tc>
          <w:tcPr>
            <w:tcW w:type="dxa" w:w="2340"/>
            <w:vAlign w:val="center"/>
          </w:tcPr>
          <w:p>
            <w:pPr>
              <w:spacing w:after="40"/>
            </w:pPr>
            <w:r>
              <w:rPr>
                <w:rFonts w:ascii="Calibri" w:hAnsi="Calibri"/>
                <w:sz w:val="17"/>
              </w:rPr>
              <w:t>Topics/AI.md</w:t>
            </w:r>
          </w:p>
        </w:tc>
      </w:tr>
      <w:tr>
        <w:tc>
          <w:tcPr>
            <w:tcW w:type="dxa" w:w="2340"/>
            <w:vAlign w:val="center"/>
          </w:tcPr>
          <w:p>
            <w:pPr>
              <w:spacing w:after="40"/>
            </w:pPr>
            <w:r>
              <w:rPr>
                <w:rFonts w:ascii="Calibri" w:hAnsi="Calibri"/>
                <w:sz w:val="17"/>
              </w:rPr>
              <w:t>5</w:t>
            </w:r>
          </w:p>
        </w:tc>
        <w:tc>
          <w:tcPr>
            <w:tcW w:type="dxa" w:w="2340"/>
            <w:vAlign w:val="center"/>
          </w:tcPr>
          <w:p>
            <w:pPr>
              <w:spacing w:after="40"/>
            </w:pPr>
            <w:r>
              <w:rPr>
                <w:rFonts w:ascii="Calibri" w:hAnsi="Calibri"/>
                <w:sz w:val="17"/>
              </w:rPr>
              <w:t>talabat pro live in 6 of 8 countries by end-2024 (excludes Egypt, Iraq)</w:t>
            </w:r>
          </w:p>
        </w:tc>
        <w:tc>
          <w:tcPr>
            <w:tcW w:type="dxa" w:w="2340"/>
            <w:vAlign w:val="center"/>
          </w:tcPr>
          <w:p>
            <w:pPr>
              <w:spacing w:after="40"/>
            </w:pPr>
            <w:r>
              <w:rPr>
                <w:rFonts w:ascii="Calibri" w:hAnsi="Calibri"/>
                <w:sz w:val="17"/>
              </w:rPr>
              <w:t>Value_Driver_Tree_v2.md N-08/N-13</w:t>
            </w:r>
          </w:p>
        </w:tc>
        <w:tc>
          <w:tcPr>
            <w:tcW w:type="dxa" w:w="2340"/>
            <w:vAlign w:val="center"/>
          </w:tcPr>
          <w:p>
            <w:pPr>
              <w:spacing w:after="40"/>
            </w:pPr>
            <w:r>
              <w:rPr>
                <w:rFonts w:ascii="Calibri" w:hAnsi="Calibri"/>
                <w:sz w:val="17"/>
              </w:rPr>
              <w:t>TLB-012, TLB-013, TLB-015, TLB-016, TLB-026</w:t>
            </w:r>
          </w:p>
        </w:tc>
      </w:tr>
      <w:tr>
        <w:tc>
          <w:tcPr>
            <w:tcW w:type="dxa" w:w="2340"/>
            <w:vAlign w:val="center"/>
          </w:tcPr>
          <w:p>
            <w:pPr>
              <w:spacing w:after="40"/>
            </w:pPr>
            <w:r>
              <w:rPr>
                <w:rFonts w:ascii="Calibri" w:hAnsi="Calibri"/>
                <w:sz w:val="17"/>
              </w:rPr>
              <w:t>5</w:t>
            </w:r>
          </w:p>
        </w:tc>
        <w:tc>
          <w:tcPr>
            <w:tcW w:type="dxa" w:w="2340"/>
            <w:vAlign w:val="center"/>
          </w:tcPr>
          <w:p>
            <w:pPr>
              <w:spacing w:after="40"/>
            </w:pPr>
            <w:r>
              <w:rPr>
                <w:rFonts w:ascii="Calibri" w:hAnsi="Calibri"/>
                <w:sz w:val="17"/>
              </w:rPr>
              <w:t>This plan's own decision-support system's MCP-integration status remains undecided</w:t>
            </w:r>
          </w:p>
        </w:tc>
        <w:tc>
          <w:tcPr>
            <w:tcW w:type="dxa" w:w="2340"/>
            <w:vAlign w:val="center"/>
          </w:tcPr>
          <w:p>
            <w:pPr>
              <w:spacing w:after="40"/>
            </w:pPr>
            <w:r>
              <w:rPr>
                <w:rFonts w:ascii="Calibri" w:hAnsi="Calibri"/>
                <w:sz w:val="17"/>
              </w:rPr>
              <w:t>—</w:t>
            </w:r>
          </w:p>
        </w:tc>
        <w:tc>
          <w:tcPr>
            <w:tcW w:type="dxa" w:w="2340"/>
            <w:vAlign w:val="center"/>
          </w:tcPr>
          <w:p>
            <w:pPr>
              <w:spacing w:after="40"/>
            </w:pPr>
            <w:r>
              <w:rPr>
                <w:rFonts w:ascii="Calibri" w:hAnsi="Calibri"/>
                <w:sz w:val="17"/>
              </w:rPr>
              <w:t>MEMORY.md</w:t>
            </w:r>
          </w:p>
        </w:tc>
      </w:tr>
      <w:tr>
        <w:tc>
          <w:tcPr>
            <w:tcW w:type="dxa" w:w="2340"/>
            <w:vAlign w:val="center"/>
          </w:tcPr>
          <w:p>
            <w:pPr>
              <w:spacing w:after="40"/>
            </w:pPr>
            <w:r>
              <w:rPr>
                <w:rFonts w:ascii="Calibri" w:hAnsi="Calibri"/>
                <w:sz w:val="17"/>
              </w:rPr>
              <w:t>6</w:t>
            </w:r>
          </w:p>
        </w:tc>
        <w:tc>
          <w:tcPr>
            <w:tcW w:type="dxa" w:w="2340"/>
            <w:vAlign w:val="center"/>
          </w:tcPr>
          <w:p>
            <w:pPr>
              <w:spacing w:after="40"/>
            </w:pPr>
            <w:r>
              <w:rPr>
                <w:rFonts w:ascii="Calibri" w:hAnsi="Calibri"/>
                <w:sz w:val="17"/>
              </w:rPr>
              <w:t>FY2024/FY2025 revenue by fee type (Commission, Delivery &amp; Service, Subscription &amp; Other Income, Advertising &amp; Listing, Vouchers) — MECE by talabat's own Management Revenue convention</w:t>
            </w:r>
          </w:p>
        </w:tc>
        <w:tc>
          <w:tcPr>
            <w:tcW w:type="dxa" w:w="2340"/>
            <w:vAlign w:val="center"/>
          </w:tcPr>
          <w:p>
            <w:pPr>
              <w:spacing w:after="40"/>
            </w:pPr>
            <w:r>
              <w:rPr>
                <w:rFonts w:ascii="Calibri" w:hAnsi="Calibri"/>
                <w:sz w:val="17"/>
              </w:rPr>
              <w:t>Strategic/Revenue Model.md; Facts/Revenue.md</w:t>
            </w:r>
          </w:p>
        </w:tc>
        <w:tc>
          <w:tcPr>
            <w:tcW w:type="dxa" w:w="2340"/>
            <w:vAlign w:val="center"/>
          </w:tcPr>
          <w:p>
            <w:pPr>
              <w:spacing w:after="40"/>
            </w:pPr>
            <w:r>
              <w:rPr>
                <w:rFonts w:ascii="Calibri" w:hAnsi="Calibri"/>
                <w:sz w:val="17"/>
              </w:rPr>
              <w:t>TLB-001 p.27; TLB-002 p.20; TLB-009 p.4</w:t>
            </w:r>
          </w:p>
        </w:tc>
      </w:tr>
    </w:tbl>
    <w:p>
      <w:pPr>
        <w:pStyle w:val="Heading2"/>
      </w:pPr>
      <w:r>
        <w:t>14.3 The DEC-009 Allocation-Range Sensitivity Exhibit (Designated Home)</w:t>
      </w:r>
    </w:p>
    <w:p>
      <w:pPr>
        <w:keepLines w:val="0"/>
      </w:pPr>
      <w:r>
        <w:t>Action title: talabat's disclosed 175mn/120mn/55mn envelope is fixed; this OS's own five-option cost ranges within it are an analytical recommendation, not a talabat allocation.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Option</w:t>
            </w:r>
          </w:p>
        </w:tc>
        <w:tc>
          <w:tcPr>
            <w:tcW w:type="dxa" w:w="1560"/>
            <w:shd w:fill="E8EEF5"/>
            <w:vAlign w:val="center"/>
          </w:tcPr>
          <w:p>
            <w:pPr>
              <w:spacing w:after="40"/>
            </w:pPr>
            <w:r>
              <w:rPr>
                <w:rFonts w:ascii="Calibri" w:hAnsi="Calibri"/>
                <w:b/>
                <w:sz w:val="17"/>
              </w:rPr>
              <w:t>Bucket</w:t>
            </w:r>
          </w:p>
        </w:tc>
        <w:tc>
          <w:tcPr>
            <w:tcW w:type="dxa" w:w="1560"/>
            <w:shd w:fill="E8EEF5"/>
            <w:vAlign w:val="center"/>
          </w:tcPr>
          <w:p>
            <w:pPr>
              <w:spacing w:after="40"/>
            </w:pPr>
            <w:r>
              <w:rPr>
                <w:rFonts w:ascii="Calibri" w:hAnsi="Calibri"/>
                <w:b/>
                <w:sz w:val="17"/>
              </w:rPr>
              <w:t>Base</w:t>
            </w:r>
          </w:p>
        </w:tc>
        <w:tc>
          <w:tcPr>
            <w:tcW w:type="dxa" w:w="1560"/>
            <w:shd w:fill="E8EEF5"/>
            <w:vAlign w:val="center"/>
          </w:tcPr>
          <w:p>
            <w:pPr>
              <w:spacing w:after="40"/>
            </w:pPr>
            <w:r>
              <w:rPr>
                <w:rFonts w:ascii="Calibri" w:hAnsi="Calibri"/>
                <w:b/>
                <w:sz w:val="17"/>
              </w:rPr>
              <w:t>Upside</w:t>
            </w:r>
          </w:p>
        </w:tc>
        <w:tc>
          <w:tcPr>
            <w:tcW w:type="dxa" w:w="1560"/>
            <w:shd w:fill="E8EEF5"/>
            <w:vAlign w:val="center"/>
          </w:tcPr>
          <w:p>
            <w:pPr>
              <w:spacing w:after="40"/>
            </w:pPr>
            <w:r>
              <w:rPr>
                <w:rFonts w:ascii="Calibri" w:hAnsi="Calibri"/>
                <w:b/>
                <w:sz w:val="17"/>
              </w:rPr>
              <w:t>Downside</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OPT-001 — talabat mart dark-store densification</w:t>
            </w:r>
          </w:p>
        </w:tc>
        <w:tc>
          <w:tcPr>
            <w:tcW w:type="dxa" w:w="1560"/>
            <w:vAlign w:val="center"/>
          </w:tcPr>
          <w:p>
            <w:pPr>
              <w:spacing w:after="40"/>
            </w:pPr>
            <w:r>
              <w:rPr>
                <w:rFonts w:ascii="Calibri" w:hAnsi="Calibri"/>
                <w:sz w:val="17"/>
              </w:rPr>
              <w:t>Everyday App</w:t>
            </w:r>
          </w:p>
        </w:tc>
        <w:tc>
          <w:tcPr>
            <w:tcW w:type="dxa" w:w="1560"/>
            <w:vAlign w:val="center"/>
          </w:tcPr>
          <w:p>
            <w:pPr>
              <w:spacing w:after="40"/>
            </w:pPr>
            <w:r>
              <w:rPr>
                <w:rFonts w:ascii="Calibri" w:hAnsi="Calibri"/>
                <w:sz w:val="17"/>
              </w:rPr>
              <w:t>USD 45-55mn</w:t>
            </w:r>
          </w:p>
        </w:tc>
        <w:tc>
          <w:tcPr>
            <w:tcW w:type="dxa" w:w="1560"/>
            <w:vAlign w:val="center"/>
          </w:tcPr>
          <w:p>
            <w:pPr>
              <w:spacing w:after="40"/>
            </w:pPr>
            <w:r>
              <w:rPr>
                <w:rFonts w:ascii="Calibri" w:hAnsi="Calibri"/>
                <w:sz w:val="17"/>
              </w:rPr>
              <w:t>USD 55-70mn</w:t>
            </w:r>
          </w:p>
        </w:tc>
        <w:tc>
          <w:tcPr>
            <w:tcW w:type="dxa" w:w="1560"/>
            <w:vAlign w:val="center"/>
          </w:tcPr>
          <w:p>
            <w:pPr>
              <w:spacing w:after="40"/>
            </w:pPr>
            <w:r>
              <w:rPr>
                <w:rFonts w:ascii="Calibri" w:hAnsi="Calibri"/>
                <w:sz w:val="17"/>
              </w:rPr>
              <w:t>USD 30-40mn</w:t>
            </w:r>
          </w:p>
        </w:tc>
        <w:tc>
          <w:tcPr>
            <w:tcW w:type="dxa" w:w="1560"/>
            <w:vAlign w:val="center"/>
          </w:tcPr>
          <w:p>
            <w:pPr>
              <w:spacing w:after="40"/>
            </w:pPr>
            <w:r>
              <w:rPr>
                <w:rFonts w:ascii="Calibri" w:hAnsi="Calibri"/>
                <w:sz w:val="17"/>
              </w:rPr>
              <w:t>ASM-029</w:t>
            </w:r>
          </w:p>
        </w:tc>
      </w:tr>
      <w:tr>
        <w:tc>
          <w:tcPr>
            <w:tcW w:type="dxa" w:w="1560"/>
            <w:vAlign w:val="center"/>
          </w:tcPr>
          <w:p>
            <w:pPr>
              <w:spacing w:after="40"/>
            </w:pPr>
            <w:r>
              <w:rPr>
                <w:rFonts w:ascii="Calibri" w:hAnsi="Calibri"/>
                <w:sz w:val="17"/>
              </w:rPr>
              <w:t>OPT-002 — talabat pro acceleration (Egypt, Iraq)</w:t>
            </w:r>
          </w:p>
        </w:tc>
        <w:tc>
          <w:tcPr>
            <w:tcW w:type="dxa" w:w="1560"/>
            <w:vAlign w:val="center"/>
          </w:tcPr>
          <w:p>
            <w:pPr>
              <w:spacing w:after="40"/>
            </w:pPr>
            <w:r>
              <w:rPr>
                <w:rFonts w:ascii="Calibri" w:hAnsi="Calibri"/>
                <w:sz w:val="17"/>
              </w:rPr>
              <w:t>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12-20mn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ASM-030</w:t>
            </w:r>
          </w:p>
        </w:tc>
      </w:tr>
      <w:tr>
        <w:tc>
          <w:tcPr>
            <w:tcW w:type="dxa" w:w="1560"/>
            <w:vAlign w:val="center"/>
          </w:tcPr>
          <w:p>
            <w:pPr>
              <w:spacing w:after="40"/>
            </w:pPr>
            <w:r>
              <w:rPr>
                <w:rFonts w:ascii="Calibri" w:hAnsi="Calibri"/>
                <w:sz w:val="17"/>
              </w:rPr>
              <w:t>OPT-003 — Food-leadership CVP/partner-retention (UAE, Kuwait, Qatar)</w:t>
            </w:r>
          </w:p>
        </w:tc>
        <w:tc>
          <w:tcPr>
            <w:tcW w:type="dxa" w:w="1560"/>
            <w:vAlign w:val="center"/>
          </w:tcPr>
          <w:p>
            <w:pPr>
              <w:spacing w:after="40"/>
            </w:pPr>
            <w:r>
              <w:rPr>
                <w:rFonts w:ascii="Calibri" w:hAnsi="Calibri"/>
                <w:sz w:val="17"/>
              </w:rPr>
              <w:t>Food-leadership</w:t>
            </w:r>
          </w:p>
        </w:tc>
        <w:tc>
          <w:tcPr>
            <w:tcW w:type="dxa" w:w="1560"/>
            <w:vAlign w:val="center"/>
          </w:tcPr>
          <w:p>
            <w:pPr>
              <w:spacing w:after="40"/>
            </w:pPr>
            <w:r>
              <w:rPr>
                <w:rFonts w:ascii="Calibri" w:hAnsi="Calibri"/>
                <w:sz w:val="17"/>
              </w:rPr>
              <w:t>USD 25-32mn</w:t>
            </w:r>
          </w:p>
        </w:tc>
        <w:tc>
          <w:tcPr>
            <w:tcW w:type="dxa" w:w="1560"/>
            <w:vAlign w:val="center"/>
          </w:tcPr>
          <w:p>
            <w:pPr>
              <w:spacing w:after="40"/>
            </w:pPr>
            <w:r>
              <w:rPr>
                <w:rFonts w:ascii="Calibri" w:hAnsi="Calibri"/>
                <w:sz w:val="17"/>
              </w:rPr>
              <w:t>USD 32-40mn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ASM-031</w:t>
            </w:r>
          </w:p>
        </w:tc>
      </w:tr>
      <w:tr>
        <w:tc>
          <w:tcPr>
            <w:tcW w:type="dxa" w:w="1560"/>
            <w:vAlign w:val="center"/>
          </w:tcPr>
          <w:p>
            <w:pPr>
              <w:spacing w:after="40"/>
            </w:pPr>
            <w:r>
              <w:rPr>
                <w:rFonts w:ascii="Calibri" w:hAnsi="Calibri"/>
                <w:sz w:val="17"/>
              </w:rPr>
              <w:t>OPT-004 — Advertising monetization gap closure</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12-18mn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ASM-032</w:t>
            </w:r>
          </w:p>
        </w:tc>
      </w:tr>
      <w:tr>
        <w:tc>
          <w:tcPr>
            <w:tcW w:type="dxa" w:w="1560"/>
            <w:vAlign w:val="center"/>
          </w:tcPr>
          <w:p>
            <w:pPr>
              <w:spacing w:after="40"/>
            </w:pPr>
            <w:r>
              <w:rPr>
                <w:rFonts w:ascii="Calibri" w:hAnsi="Calibri"/>
                <w:sz w:val="17"/>
              </w:rPr>
              <w:t>OPT-005 — AI/personalisation capability scaling</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10-15mn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USD 5-8mn</w:t>
            </w:r>
          </w:p>
        </w:tc>
        <w:tc>
          <w:tcPr>
            <w:tcW w:type="dxa" w:w="1560"/>
            <w:vAlign w:val="center"/>
          </w:tcPr>
          <w:p>
            <w:pPr>
              <w:spacing w:after="40"/>
            </w:pPr>
            <w:r>
              <w:rPr>
                <w:rFonts w:ascii="Calibri" w:hAnsi="Calibri"/>
                <w:sz w:val="17"/>
              </w:rPr>
              <w:t>ASM-033</w:t>
            </w:r>
          </w:p>
        </w:tc>
      </w:tr>
    </w:tbl>
    <w:p>
      <w:pPr>
        <w:pStyle w:val="ListNumber"/>
        <w:keepLines w:val="0"/>
      </w:pPr>
      <w:r>
        <w:t>Non-additive across the envelope. OPT-004 and OPT-005 are cross-cutting Enabling-capability options</w:t>
      </w:r>
    </w:p>
    <w:p>
      <w:pPr>
        <w:pStyle w:val="Heading2"/>
      </w:pPr>
      <w:r>
        <w:t>14.4 Resumes of Key Team Members — Not Applicable</w:t>
      </w:r>
    </w:p>
    <w:p>
      <w:pPr>
        <w:keepLines w:val="0"/>
      </w:pPr>
      <w:r>
        <w:rPr>
          <w:b/>
        </w:rPr>
        <w:t>Stated honestly, not fabricated. Problem_Charter.md names six AASTMT MBA capstone team members (Group G02) with AASTMT student IDs, but every role assignment in that table is marked [assign] —</w:t>
      </w:r>
      <w:r>
        <w:t xml:space="preserve"> no role has been finalized, and no biographical or professional-experience content for any team member exists anywhere in this project's corpus or vault.</w:t>
      </w:r>
    </w:p>
    <w:p>
      <w:pPr>
        <w:pStyle w:val="Heading2"/>
      </w:pPr>
      <w:r>
        <w:t>14.5 Technical Specifications of the AI Product</w:t>
      </w:r>
    </w:p>
    <w:p>
      <w:pPr>
        <w:keepLines w:val="0"/>
      </w:pPr>
      <w:r>
        <w:rPr>
          <w:b/>
        </w:rPr>
        <w:t>Full detail is Section 5's —</w:t>
      </w:r>
      <w:r>
        <w:t xml:space="preserve"> this appendix gives the compressed specification, keeping the same explicit separation Section 5 established between the two distinct AI systems in scope:</w:t>
      </w:r>
    </w:p>
    <w:p>
      <w:pPr>
        <w:pStyle w:val="ListBullet"/>
        <w:keepLines w:val="0"/>
      </w:pPr>
      <w:r>
        <w:t>talabat's own embedded AI/personalisation capability (scaled, not built, by the 2026 investment</w:t>
      </w:r>
    </w:p>
    <w:p>
      <w:pPr>
        <w:pStyle w:val="Heading2"/>
      </w:pPr>
      <w:r>
        <w:t>14.6 Case Studies or Pilot Program Results</w:t>
      </w:r>
    </w:p>
    <w:p>
      <w:pPr>
        <w:keepLines w:val="0"/>
      </w:pPr>
      <w:r>
        <w:rPr>
          <w:b/>
        </w:rPr>
        <w:t>Two categories, kept explicitly separate —</w:t>
      </w:r>
      <w:r>
        <w:t xml:space="preserve"> this section does not let either be mistaken for the other.</w:t>
      </w:r>
    </w:p>
    <w:p>
      <w:pPr>
        <w:pStyle w:val="Heading2"/>
      </w:pPr>
      <w:r>
        <w:t>14.7 Legal and Compliance Documents</w:t>
      </w:r>
    </w:p>
    <w:p>
      <w:pPr>
        <w:keepLines w:val="0"/>
      </w:pPr>
      <w:r>
        <w:rPr>
          <w:b/>
        </w:rPr>
        <w:t>No separate legal or compliance filing was produced for, or by, this plan —</w:t>
      </w:r>
      <w:r>
        <w:t xml:space="preserve"> this is a capstone Business Plan, not a regulatory submission, and no such document exists in this project's Outputs/ or elsewhere in the vault.</w:t>
      </w:r>
    </w:p>
    <w:p>
      <w:pPr>
        <w:pStyle w:val="ListBullet"/>
        <w:keepLines w:val="0"/>
      </w:pPr>
      <w:r>
        <w:t>Inter-company/data-governance mechanism: the Delivery Hero Group Inter-Company Data Transfer</w:t>
      </w:r>
    </w:p>
    <w:p>
      <w:pPr>
        <w:pStyle w:val="Heading2"/>
      </w:pPr>
      <w:r>
        <w:t>Document Control and Validation</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Control</w:t>
            </w:r>
          </w:p>
        </w:tc>
        <w:tc>
          <w:tcPr>
            <w:tcW w:type="dxa" w:w="4680"/>
            <w:shd w:fill="E8EEF5"/>
            <w:vAlign w:val="center"/>
          </w:tcPr>
          <w:p>
            <w:pPr>
              <w:spacing w:after="40"/>
            </w:pPr>
            <w:r>
              <w:rPr>
                <w:rFonts w:ascii="Calibri" w:hAnsi="Calibri"/>
                <w:b/>
                <w:sz w:val="17"/>
              </w:rPr>
              <w:t>Result</w:t>
            </w:r>
          </w:p>
        </w:tc>
      </w:tr>
      <w:tr>
        <w:tc>
          <w:tcPr>
            <w:tcW w:type="dxa" w:w="4680"/>
            <w:vAlign w:val="center"/>
          </w:tcPr>
          <w:p>
            <w:pPr>
              <w:spacing w:after="40"/>
            </w:pPr>
            <w:r>
              <w:rPr>
                <w:rFonts w:ascii="Calibri" w:hAnsi="Calibri"/>
                <w:sz w:val="17"/>
              </w:rPr>
              <w:t>Section verification</w:t>
            </w:r>
          </w:p>
        </w:tc>
        <w:tc>
          <w:tcPr>
            <w:tcW w:type="dxa" w:w="4680"/>
            <w:vAlign w:val="center"/>
          </w:tcPr>
          <w:p>
            <w:pPr>
              <w:spacing w:after="40"/>
            </w:pPr>
            <w:r>
              <w:rPr>
                <w:rFonts w:ascii="Calibri" w:hAnsi="Calibri"/>
                <w:sz w:val="17"/>
              </w:rPr>
              <w:t>14/14 Done (independently verified)</w:t>
            </w:r>
          </w:p>
        </w:tc>
      </w:tr>
      <w:tr>
        <w:tc>
          <w:tcPr>
            <w:tcW w:type="dxa" w:w="4680"/>
            <w:vAlign w:val="center"/>
          </w:tcPr>
          <w:p>
            <w:pPr>
              <w:spacing w:after="40"/>
            </w:pPr>
            <w:r>
              <w:rPr>
                <w:rFonts w:ascii="Calibri" w:hAnsi="Calibri"/>
                <w:sz w:val="17"/>
              </w:rPr>
              <w:t>Whole-plan gates</w:t>
            </w:r>
          </w:p>
        </w:tc>
        <w:tc>
          <w:tcPr>
            <w:tcW w:type="dxa" w:w="4680"/>
            <w:vAlign w:val="center"/>
          </w:tcPr>
          <w:p>
            <w:pPr>
              <w:spacing w:after="40"/>
            </w:pPr>
            <w:r>
              <w:rPr>
                <w:rFonts w:ascii="Calibri" w:hAnsi="Calibri"/>
                <w:sz w:val="17"/>
              </w:rPr>
              <w:t>Problem, financial, geographic, citation, and template gates PASS</w:t>
            </w:r>
          </w:p>
        </w:tc>
      </w:tr>
      <w:tr>
        <w:tc>
          <w:tcPr>
            <w:tcW w:type="dxa" w:w="4680"/>
            <w:vAlign w:val="center"/>
          </w:tcPr>
          <w:p>
            <w:pPr>
              <w:spacing w:after="40"/>
            </w:pPr>
            <w:r>
              <w:rPr>
                <w:rFonts w:ascii="Calibri" w:hAnsi="Calibri"/>
                <w:sz w:val="17"/>
              </w:rPr>
              <w:t>Evidence limitation</w:t>
            </w:r>
          </w:p>
        </w:tc>
        <w:tc>
          <w:tcPr>
            <w:tcW w:type="dxa" w:w="4680"/>
            <w:vAlign w:val="center"/>
          </w:tcPr>
          <w:p>
            <w:pPr>
              <w:spacing w:after="40"/>
            </w:pPr>
            <w:r>
              <w:rPr>
                <w:rFonts w:ascii="Calibri" w:hAnsi="Calibri"/>
                <w:sz w:val="17"/>
              </w:rPr>
              <w:t>Country-level allocation and proprietary customer telemetry remain undisclosed; no synthetic value is presented as fact</w:t>
            </w:r>
          </w:p>
        </w:tc>
      </w:tr>
      <w:tr>
        <w:tc>
          <w:tcPr>
            <w:tcW w:type="dxa" w:w="4680"/>
            <w:vAlign w:val="center"/>
          </w:tcPr>
          <w:p>
            <w:pPr>
              <w:spacing w:after="40"/>
            </w:pPr>
            <w:r>
              <w:rPr>
                <w:rFonts w:ascii="Calibri" w:hAnsi="Calibri"/>
                <w:sz w:val="17"/>
              </w:rPr>
              <w:t>Decision governance</w:t>
            </w:r>
          </w:p>
        </w:tc>
        <w:tc>
          <w:tcPr>
            <w:tcW w:type="dxa" w:w="4680"/>
            <w:vAlign w:val="center"/>
          </w:tcPr>
          <w:p>
            <w:pPr>
              <w:spacing w:after="40"/>
            </w:pPr>
            <w:r>
              <w:rPr>
                <w:rFonts w:ascii="Calibri" w:hAnsi="Calibri"/>
                <w:sz w:val="17"/>
              </w:rPr>
              <w:t>Human approval remains mandatory before capital movement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5252"/>
        <w:sz w:val="16"/>
      </w:rPr>
      <w:t xml:space="preserve">AASTMT MBA · Group G02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5252"/>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252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