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bottom w:val="single" w:color="FF5A00" w:sz="24" w:space="20"/>
        </w:pBdr>
        <w:spacing w:after="400"/>
        <w:jc w:val="center"/>
      </w:pPr>
      <w:r>
        <w:rPr>
          <w:rFonts w:ascii="Cambria" w:cs="Cambria" w:eastAsia="Cambria" w:hAnsi="Cambria"/>
          <w:b/>
          <w:bCs/>
          <w:color w:val="FF5A00"/>
          <w:sz w:val="72"/>
          <w:szCs w:val="72"/>
        </w:rPr>
        <w:t xml:space="preserve">talabat</w:t>
      </w:r>
    </w:p>
    <w:p>
      <w:pPr>
        <w:spacing w:after="200"/>
        <w:jc w:val="center"/>
      </w:pPr>
      <w:r>
        <w:rPr>
          <w:rFonts w:ascii="Cambria" w:cs="Cambria" w:eastAsia="Cambria" w:hAnsi="Cambria"/>
          <w:b/>
          <w:bCs/>
          <w:color w:val="1A1A1A"/>
          <w:sz w:val="44"/>
          <w:szCs w:val="44"/>
        </w:rPr>
        <w:t xml:space="preserve">AI-Driven Customer Retention Strategy for talabat Egypt</w:t>
      </w:r>
    </w:p>
    <w:p>
      <w:pPr>
        <w:spacing w:after="800"/>
        <w:jc w:val="center"/>
      </w:pPr>
      <w:r>
        <w:rPr>
          <w:rFonts w:ascii="Calibri" w:cs="Calibri" w:eastAsia="Calibri" w:hAnsi="Calibri"/>
          <w:i/>
          <w:iCs/>
          <w:color w:val="595959"/>
          <w:sz w:val="26"/>
          <w:szCs w:val="26"/>
        </w:rPr>
        <w:t xml:space="preserve">AI Business Plan — GSB Template v2.0 (McKinsey Edition)</w:t>
      </w:r>
    </w:p>
    <w:p>
      <w:pPr>
        <w:spacing w:after="80"/>
        <w:jc w:val="center"/>
      </w:pPr>
      <w:r>
        <w:rPr>
          <w:rFonts w:ascii="Calibri" w:cs="Calibri" w:eastAsia="Calibri" w:hAnsi="Calibri"/>
          <w:color w:val="1A1A1A"/>
          <w:sz w:val="22"/>
          <w:szCs w:val="22"/>
        </w:rPr>
        <w:t xml:space="preserve">AASTMT — Graduate School of Business</w:t>
      </w:r>
    </w:p>
    <w:p>
      <w:pPr>
        <w:spacing w:after="80"/>
        <w:jc w:val="center"/>
      </w:pPr>
      <w:r>
        <w:rPr>
          <w:rFonts w:ascii="Calibri" w:cs="Calibri" w:eastAsia="Calibri" w:hAnsi="Calibri"/>
          <w:color w:val="1A1A1A"/>
          <w:sz w:val="22"/>
          <w:szCs w:val="22"/>
        </w:rPr>
        <w:t xml:space="preserve">AI for Business Organizations Track</w:t>
      </w:r>
    </w:p>
    <w:p>
      <w:pPr>
        <w:spacing w:after="80"/>
        <w:jc w:val="center"/>
      </w:pPr>
      <w:r>
        <w:rPr>
          <w:rFonts w:ascii="Calibri" w:cs="Calibri" w:eastAsia="Calibri" w:hAnsi="Calibri"/>
          <w:b/>
          <w:bCs/>
          <w:color w:val="1A1A1A"/>
          <w:sz w:val="22"/>
          <w:szCs w:val="22"/>
        </w:rPr>
        <w:t xml:space="preserve">Group G02</w:t>
      </w:r>
    </w:p>
    <w:p>
      <w:pPr>
        <w:spacing w:after="80"/>
        <w:jc w:val="center"/>
      </w:pPr>
      <w:r>
        <w:rPr>
          <w:rFonts w:ascii="Calibri" w:cs="Calibri" w:eastAsia="Calibri" w:hAnsi="Calibri"/>
          <w:color w:val="1A1A1A"/>
          <w:sz w:val="22"/>
          <w:szCs w:val="22"/>
        </w:rPr>
        <w:t xml:space="preserve">Prepared for Dr. Hossam Daoud</w:t>
      </w:r>
    </w:p>
    <w:p>
      <w:pPr>
        <w:spacing w:after="1200"/>
        <w:jc w:val="center"/>
      </w:pPr>
      <w:r>
        <w:rPr>
          <w:rFonts w:ascii="Calibri" w:cs="Calibri" w:eastAsia="Calibri" w:hAnsi="Calibri"/>
          <w:color w:val="1A1A1A"/>
          <w:sz w:val="22"/>
          <w:szCs w:val="22"/>
        </w:rPr>
        <w:t xml:space="preserve">22 July 2026</w:t>
      </w:r>
    </w:p>
    <w:p>
      <w:pPr>
        <w:jc w:val="center"/>
      </w:pPr>
      <w:r>
        <w:rPr>
          <w:rFonts w:ascii="Calibri" w:cs="Calibri" w:eastAsia="Calibri" w:hAnsi="Calibri"/>
          <w:b/>
          <w:bCs/>
          <w:color w:val="FF5A00"/>
          <w:sz w:val="20"/>
          <w:szCs w:val="20"/>
        </w:rPr>
        <w:t xml:space="preserve">DRAFT — pending instructor submission</w:t>
      </w:r>
    </w:p>
    <w:p>
      <w:pPr>
        <w:sectPr>
          <w:type w:val="nextPage"/>
          <w:pgSz w:w="12240" w:h="15840" w:orient="portrait"/>
          <w:pgMar w:top="1440" w:right="1440" w:bottom="1440" w:left="1440" w:header="708" w:footer="708" w:gutter="0"/>
          <w:pgNumType/>
          <w:docGrid w:linePitch="360"/>
        </w:sectPr>
      </w:pPr>
    </w:p>
    <w:p>
      <w:pPr>
        <w:pStyle w:val="Heading1"/>
        <w:spacing w:after="300" w:before="200"/>
      </w:pPr>
      <w:r>
        <w:t xml:space="preserve">Document Control</w:t>
      </w:r>
    </w:p>
    <w:tbl>
      <w:tblPr>
        <w:tblW w:type="dxa" w:w="10440"/>
        <w:tblBorders>
          <w:top w:val="single" w:color="CCCCCC" w:sz="4"/>
          <w:left w:val="single" w:color="CCCCCC" w:sz="4"/>
          <w:bottom w:val="single" w:color="CCCCCC" w:sz="4"/>
          <w:right w:val="single" w:color="CCCCCC" w:sz="4"/>
          <w:insideH w:val="single" w:color="DDDDDD" w:sz="2"/>
          <w:insideV w:val="single" w:color="DDDDDD" w:sz="2"/>
        </w:tblBorders>
      </w:tblPr>
      <w:tblGrid>
        <w:gridCol w:w="3000"/>
        <w:gridCol w:w="7440"/>
      </w:tblGrid>
      <w:tr>
        <w:tc>
          <w:tcPr>
            <w:tcW w:type="dxa" w:w="3000"/>
            <w:shd w:fill="F7F3EF" w:val="clear"/>
            <w:tcMar>
              <w:top w:type="dxa" w:w="100"/>
              <w:left w:type="dxa" w:w="120"/>
              <w:bottom w:type="dxa" w:w="100"/>
              <w:right w:type="dxa" w:w="120"/>
            </w:tcMar>
          </w:tcPr>
          <w:p>
            <w:r>
              <w:rPr>
                <w:rFonts w:ascii="Calibri" w:cs="Calibri" w:eastAsia="Calibri" w:hAnsi="Calibri"/>
                <w:b/>
                <w:bCs/>
                <w:sz w:val="20"/>
                <w:szCs w:val="20"/>
              </w:rPr>
              <w:t xml:space="preserve">Document title</w:t>
            </w:r>
          </w:p>
        </w:tc>
        <w:tc>
          <w:tcPr>
            <w:tcW w:type="dxa" w:w="7440"/>
            <w:tcMar>
              <w:top w:type="dxa" w:w="100"/>
              <w:left w:type="dxa" w:w="120"/>
              <w:bottom w:type="dxa" w:w="100"/>
              <w:right w:type="dxa" w:w="120"/>
            </w:tcMar>
          </w:tcPr>
          <w:p>
            <w:r>
              <w:rPr>
                <w:rFonts w:ascii="Calibri" w:cs="Calibri" w:eastAsia="Calibri" w:hAnsi="Calibri"/>
                <w:sz w:val="20"/>
                <w:szCs w:val="20"/>
              </w:rPr>
              <w:t xml:space="preserve">AI-Driven Customer Retention Strategy for talabat Egypt</w:t>
            </w:r>
          </w:p>
        </w:tc>
      </w:tr>
      <w:tr>
        <w:tc>
          <w:tcPr>
            <w:tcW w:type="dxa" w:w="3000"/>
            <w:shd w:fill="F7F3EF" w:val="clear"/>
            <w:tcMar>
              <w:top w:type="dxa" w:w="100"/>
              <w:left w:type="dxa" w:w="120"/>
              <w:bottom w:type="dxa" w:w="100"/>
              <w:right w:type="dxa" w:w="120"/>
            </w:tcMar>
          </w:tcPr>
          <w:p>
            <w:r>
              <w:rPr>
                <w:rFonts w:ascii="Calibri" w:cs="Calibri" w:eastAsia="Calibri" w:hAnsi="Calibri"/>
                <w:b/>
                <w:bCs/>
                <w:sz w:val="20"/>
                <w:szCs w:val="20"/>
              </w:rPr>
              <w:t xml:space="preserve">Document type</w:t>
            </w:r>
          </w:p>
        </w:tc>
        <w:tc>
          <w:tcPr>
            <w:tcW w:type="dxa" w:w="7440"/>
            <w:tcMar>
              <w:top w:type="dxa" w:w="100"/>
              <w:left w:type="dxa" w:w="120"/>
              <w:bottom w:type="dxa" w:w="100"/>
              <w:right w:type="dxa" w:w="120"/>
            </w:tcMar>
          </w:tcPr>
          <w:p>
            <w:r>
              <w:rPr>
                <w:rFonts w:ascii="Calibri" w:cs="Calibri" w:eastAsia="Calibri" w:hAnsi="Calibri"/>
                <w:sz w:val="20"/>
                <w:szCs w:val="20"/>
              </w:rPr>
              <w:t xml:space="preserve">AI Business Plan — GSB Template v2.0 (McKinsey Edition)</w:t>
            </w:r>
          </w:p>
        </w:tc>
      </w:tr>
      <w:tr>
        <w:tc>
          <w:tcPr>
            <w:tcW w:type="dxa" w:w="3000"/>
            <w:shd w:fill="F7F3EF" w:val="clear"/>
            <w:tcMar>
              <w:top w:type="dxa" w:w="100"/>
              <w:left w:type="dxa" w:w="120"/>
              <w:bottom w:type="dxa" w:w="100"/>
              <w:right w:type="dxa" w:w="120"/>
            </w:tcMar>
          </w:tcPr>
          <w:p>
            <w:r>
              <w:rPr>
                <w:rFonts w:ascii="Calibri" w:cs="Calibri" w:eastAsia="Calibri" w:hAnsi="Calibri"/>
                <w:b/>
                <w:bCs/>
                <w:sz w:val="20"/>
                <w:szCs w:val="20"/>
              </w:rPr>
              <w:t xml:space="preserve">Version</w:t>
            </w:r>
          </w:p>
        </w:tc>
        <w:tc>
          <w:tcPr>
            <w:tcW w:type="dxa" w:w="7440"/>
            <w:tcMar>
              <w:top w:type="dxa" w:w="100"/>
              <w:left w:type="dxa" w:w="120"/>
              <w:bottom w:type="dxa" w:w="100"/>
              <w:right w:type="dxa" w:w="120"/>
            </w:tcMar>
          </w:tcPr>
          <w:p>
            <w:r>
              <w:rPr>
                <w:rFonts w:ascii="Calibri" w:cs="Calibri" w:eastAsia="Calibri" w:hAnsi="Calibri"/>
                <w:sz w:val="20"/>
                <w:szCs w:val="20"/>
              </w:rPr>
              <w:t xml:space="preserve">Draft 1.0</w:t>
            </w:r>
          </w:p>
        </w:tc>
      </w:tr>
      <w:tr>
        <w:tc>
          <w:tcPr>
            <w:tcW w:type="dxa" w:w="3000"/>
            <w:shd w:fill="F7F3EF" w:val="clear"/>
            <w:tcMar>
              <w:top w:type="dxa" w:w="100"/>
              <w:left w:type="dxa" w:w="120"/>
              <w:bottom w:type="dxa" w:w="100"/>
              <w:right w:type="dxa" w:w="120"/>
            </w:tcMar>
          </w:tcPr>
          <w:p>
            <w:r>
              <w:rPr>
                <w:rFonts w:ascii="Calibri" w:cs="Calibri" w:eastAsia="Calibri" w:hAnsi="Calibri"/>
                <w:b/>
                <w:bCs/>
                <w:sz w:val="20"/>
                <w:szCs w:val="20"/>
              </w:rPr>
              <w:t xml:space="preserve">Status</w:t>
            </w:r>
          </w:p>
        </w:tc>
        <w:tc>
          <w:tcPr>
            <w:tcW w:type="dxa" w:w="7440"/>
            <w:tcMar>
              <w:top w:type="dxa" w:w="100"/>
              <w:left w:type="dxa" w:w="120"/>
              <w:bottom w:type="dxa" w:w="100"/>
              <w:right w:type="dxa" w:w="120"/>
            </w:tcMar>
          </w:tcPr>
          <w:p>
            <w:r>
              <w:rPr>
                <w:rFonts w:ascii="Calibri" w:cs="Calibri" w:eastAsia="Calibri" w:hAnsi="Calibri"/>
                <w:sz w:val="20"/>
                <w:szCs w:val="20"/>
              </w:rPr>
              <w:t xml:space="preserve">Draft — pending instructor submission</w:t>
            </w:r>
          </w:p>
        </w:tc>
      </w:tr>
      <w:tr>
        <w:tc>
          <w:tcPr>
            <w:tcW w:type="dxa" w:w="3000"/>
            <w:shd w:fill="F7F3EF" w:val="clear"/>
            <w:tcMar>
              <w:top w:type="dxa" w:w="100"/>
              <w:left w:type="dxa" w:w="120"/>
              <w:bottom w:type="dxa" w:w="100"/>
              <w:right w:type="dxa" w:w="120"/>
            </w:tcMar>
          </w:tcPr>
          <w:p>
            <w:r>
              <w:rPr>
                <w:rFonts w:ascii="Calibri" w:cs="Calibri" w:eastAsia="Calibri" w:hAnsi="Calibri"/>
                <w:b/>
                <w:bCs/>
                <w:sz w:val="20"/>
                <w:szCs w:val="20"/>
              </w:rPr>
              <w:t xml:space="preserve">Prepared by</w:t>
            </w:r>
          </w:p>
        </w:tc>
        <w:tc>
          <w:tcPr>
            <w:tcW w:type="dxa" w:w="7440"/>
            <w:tcMar>
              <w:top w:type="dxa" w:w="100"/>
              <w:left w:type="dxa" w:w="120"/>
              <w:bottom w:type="dxa" w:w="100"/>
              <w:right w:type="dxa" w:w="120"/>
            </w:tcMar>
          </w:tcPr>
          <w:p>
            <w:r>
              <w:rPr>
                <w:rFonts w:ascii="Calibri" w:cs="Calibri" w:eastAsia="Calibri" w:hAnsi="Calibri"/>
                <w:sz w:val="20"/>
                <w:szCs w:val="20"/>
              </w:rPr>
              <w:t xml:space="preserve">AASTMT MBA Capstone, Group G02</w:t>
            </w:r>
          </w:p>
        </w:tc>
      </w:tr>
      <w:tr>
        <w:tc>
          <w:tcPr>
            <w:tcW w:type="dxa" w:w="3000"/>
            <w:shd w:fill="F7F3EF" w:val="clear"/>
            <w:tcMar>
              <w:top w:type="dxa" w:w="100"/>
              <w:left w:type="dxa" w:w="120"/>
              <w:bottom w:type="dxa" w:w="100"/>
              <w:right w:type="dxa" w:w="120"/>
            </w:tcMar>
          </w:tcPr>
          <w:p>
            <w:r>
              <w:rPr>
                <w:rFonts w:ascii="Calibri" w:cs="Calibri" w:eastAsia="Calibri" w:hAnsi="Calibri"/>
                <w:b/>
                <w:bCs/>
                <w:sz w:val="20"/>
                <w:szCs w:val="20"/>
              </w:rPr>
              <w:t xml:space="preserve">Prepared for</w:t>
            </w:r>
          </w:p>
        </w:tc>
        <w:tc>
          <w:tcPr>
            <w:tcW w:type="dxa" w:w="7440"/>
            <w:tcMar>
              <w:top w:type="dxa" w:w="100"/>
              <w:left w:type="dxa" w:w="120"/>
              <w:bottom w:type="dxa" w:w="100"/>
              <w:right w:type="dxa" w:w="120"/>
            </w:tcMar>
          </w:tcPr>
          <w:p>
            <w:r>
              <w:rPr>
                <w:rFonts w:ascii="Calibri" w:cs="Calibri" w:eastAsia="Calibri" w:hAnsi="Calibri"/>
                <w:sz w:val="20"/>
                <w:szCs w:val="20"/>
              </w:rPr>
              <w:t xml:space="preserve">Dr. Hossam Daoud, Graduate School of Business</w:t>
            </w:r>
          </w:p>
        </w:tc>
      </w:tr>
      <w:tr>
        <w:tc>
          <w:tcPr>
            <w:tcW w:type="dxa" w:w="3000"/>
            <w:shd w:fill="F7F3EF" w:val="clear"/>
            <w:tcMar>
              <w:top w:type="dxa" w:w="100"/>
              <w:left w:type="dxa" w:w="120"/>
              <w:bottom w:type="dxa" w:w="100"/>
              <w:right w:type="dxa" w:w="120"/>
            </w:tcMar>
          </w:tcPr>
          <w:p>
            <w:r>
              <w:rPr>
                <w:rFonts w:ascii="Calibri" w:cs="Calibri" w:eastAsia="Calibri" w:hAnsi="Calibri"/>
                <w:b/>
                <w:bCs/>
                <w:sz w:val="20"/>
                <w:szCs w:val="20"/>
              </w:rPr>
              <w:t xml:space="preserve">Date</w:t>
            </w:r>
          </w:p>
        </w:tc>
        <w:tc>
          <w:tcPr>
            <w:tcW w:type="dxa" w:w="7440"/>
            <w:tcMar>
              <w:top w:type="dxa" w:w="100"/>
              <w:left w:type="dxa" w:w="120"/>
              <w:bottom w:type="dxa" w:w="100"/>
              <w:right w:type="dxa" w:w="120"/>
            </w:tcMar>
          </w:tcPr>
          <w:p>
            <w:r>
              <w:rPr>
                <w:rFonts w:ascii="Calibri" w:cs="Calibri" w:eastAsia="Calibri" w:hAnsi="Calibri"/>
                <w:sz w:val="20"/>
                <w:szCs w:val="20"/>
              </w:rPr>
              <w:t xml:space="preserve">22 July 2026</w:t>
            </w:r>
          </w:p>
        </w:tc>
      </w:tr>
      <w:tr>
        <w:tc>
          <w:tcPr>
            <w:tcW w:type="dxa" w:w="3000"/>
            <w:shd w:fill="F7F3EF" w:val="clear"/>
            <w:tcMar>
              <w:top w:type="dxa" w:w="100"/>
              <w:left w:type="dxa" w:w="120"/>
              <w:bottom w:type="dxa" w:w="100"/>
              <w:right w:type="dxa" w:w="120"/>
            </w:tcMar>
          </w:tcPr>
          <w:p>
            <w:r>
              <w:rPr>
                <w:rFonts w:ascii="Calibri" w:cs="Calibri" w:eastAsia="Calibri" w:hAnsi="Calibri"/>
                <w:b/>
                <w:bCs/>
                <w:sz w:val="20"/>
                <w:szCs w:val="20"/>
              </w:rPr>
              <w:t xml:space="preserve">Distribution</w:t>
            </w:r>
          </w:p>
        </w:tc>
        <w:tc>
          <w:tcPr>
            <w:tcW w:type="dxa" w:w="7440"/>
            <w:tcMar>
              <w:top w:type="dxa" w:w="100"/>
              <w:left w:type="dxa" w:w="120"/>
              <w:bottom w:type="dxa" w:w="100"/>
              <w:right w:type="dxa" w:w="120"/>
            </w:tcMar>
          </w:tcPr>
          <w:p>
            <w:r>
              <w:rPr>
                <w:rFonts w:ascii="Calibri" w:cs="Calibri" w:eastAsia="Calibri" w:hAnsi="Calibri"/>
                <w:sz w:val="20"/>
                <w:szCs w:val="20"/>
              </w:rPr>
              <w:t xml:space="preserve">Instructor grading submission; internal team use</w:t>
            </w:r>
          </w:p>
        </w:tc>
      </w:tr>
    </w:tbl>
    <w:p>
      <w:pPr>
        <w:spacing w:before="400"/>
      </w:pPr>
    </w:p>
    <w:p>
      <w:pPr>
        <w:spacing w:before="100"/>
      </w:pPr>
      <w:r>
        <w:rPr>
          <w:rFonts w:ascii="Calibri" w:cs="Calibri" w:eastAsia="Calibri" w:hAnsi="Calibri"/>
          <w:i/>
          <w:iCs/>
          <w:color w:val="595959"/>
          <w:sz w:val="20"/>
          <w:szCs w:val="20"/>
        </w:rPr>
        <w:t xml:space="preserve">This document compiles all 14 sections of the AI Business Plan, each independently verified through this capstone’s Agentic OS citation-audit and QA-review pipeline, plus a whole-plan McKinsey Lens pressure test. Formatting was produced by the executive-document-formatting skill; no business content, figure, claim, or citation was altered during formatting. See the accompanying Formatting QA Report for the full verification record.</w:t>
      </w:r>
    </w:p>
    <w:p>
      <w:pPr>
        <w:sectPr>
          <w:headerReference w:type="default" r:id="rId7"/>
          <w:footerReference w:type="default" r:id="rId8"/>
          <w:type w:val="nextPage"/>
          <w:pgSz w:w="12240" w:h="15840" w:orient="portrait"/>
          <w:pgMar w:top="1440" w:right="1440" w:bottom="1440" w:left="1440" w:header="708" w:footer="708" w:gutter="0"/>
          <w:pgNumType/>
          <w:docGrid w:linePitch="360"/>
        </w:sectPr>
      </w:pPr>
    </w:p>
    <w:p>
      <w:pPr>
        <w:pStyle w:val="Heading1"/>
        <w:spacing w:after="300" w:before="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9"/>
          <w:footerReference w:type="default" r:id="rId10"/>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1. Executive Summary</w:t>
      </w:r>
    </w:p>
    <w:p>
      <w:pPr>
        <w:pStyle w:val="Heading2"/>
        <w:spacing w:after="120" w:before="280"/>
      </w:pPr>
      <w:r>
        <w:t xml:space="preserve">Bottom Line</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bCs/>
          <w:i w:val="false"/>
          <w:iCs w:val="false"/>
          <w:color w:val="1A1A1A"/>
          <w:sz w:val="22"/>
          <w:szCs w:val="22"/>
        </w:rPr>
        <w:t xml:space="preserve">Recommendation:</w:t>
      </w:r>
      <w:r>
        <w:rPr>
          <w:rFonts w:ascii="Calibri" w:cs="Calibri" w:eastAsia="Calibri" w:hAnsi="Calibri"/>
          <w:b w:val="false"/>
          <w:bCs w:val="false"/>
          <w:i w:val="false"/>
          <w:iCs w:val="false"/>
          <w:color w:val="1A1A1A"/>
          <w:sz w:val="22"/>
          <w:szCs w:val="22"/>
        </w:rPr>
        <w:t xml:space="preserve"> extend talabat's already-announced Group AI roadmap into Egypt — richer recommendation form factors, cross-sell timing/incentive optimisation, and deepened adtech-embedded personalisation — not a new churn-prediction build and not a subscription-uplift-only strategy (</w:t>
      </w:r>
      <w:r>
        <w:rPr>
          <w:rFonts w:ascii="Calibri" w:cs="Calibri" w:eastAsia="Calibri" w:hAnsi="Calibri"/>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Investment:</w:t>
      </w:r>
      <w:r>
        <w:rPr>
          <w:rFonts w:ascii="Calibri" w:cs="Calibri" w:eastAsia="Calibri" w:hAnsi="Calibri"/>
          <w:b w:val="false"/>
          <w:bCs w:val="false"/>
          <w:i w:val="false"/>
          <w:iCs w:val="false"/>
          <w:color w:val="1A1A1A"/>
          <w:sz w:val="22"/>
          <w:szCs w:val="22"/>
        </w:rPr>
        <w:t xml:space="preserve"> an illustrative </w:t>
      </w:r>
      <w:r>
        <w:rPr>
          <w:rFonts w:ascii="Calibri" w:cs="Calibri" w:eastAsia="Calibri" w:hAnsi="Calibri"/>
          <w:b/>
          <w:bCs/>
          <w:i w:val="false"/>
          <w:iCs w:val="false"/>
          <w:color w:val="1A1A1A"/>
          <w:sz w:val="22"/>
          <w:szCs w:val="22"/>
        </w:rPr>
        <w:t xml:space="preserve">≈USD 13.2m</w:t>
      </w:r>
      <w:r>
        <w:rPr>
          <w:rFonts w:ascii="Calibri" w:cs="Calibri" w:eastAsia="Calibri" w:hAnsi="Calibri"/>
          <w:b w:val="false"/>
          <w:bCs w:val="false"/>
          <w:i w:val="false"/>
          <w:iCs w:val="false"/>
          <w:color w:val="1A1A1A"/>
          <w:sz w:val="22"/>
          <w:szCs w:val="22"/>
        </w:rPr>
        <w:t xml:space="preserve">, entirely a prioritization within talabat's already Board-approved USD 175mn 2026 envelope, not new capital (</w:t>
      </w:r>
      <w:r>
        <w:rPr>
          <w:rFonts w:ascii="Calibri" w:cs="Calibri" w:eastAsia="Calibri" w:hAnsi="Calibri"/>
          <w:b w:val="false"/>
          <w:bCs w:val="false"/>
          <w:i w:val="false"/>
          <w:iCs w:val="false"/>
          <w:color w:val="1A1A1A"/>
          <w:sz w:val="22"/>
          <w:szCs w:val="22"/>
        </w:rPr>
        <w:t xml:space="preserve">DEC-004</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Expected impact:</w:t>
      </w:r>
      <w:r>
        <w:rPr>
          <w:rFonts w:ascii="Calibri" w:cs="Calibri" w:eastAsia="Calibri" w:hAnsi="Calibri"/>
          <w:b w:val="false"/>
          <w:bCs w:val="false"/>
          <w:i w:val="false"/>
          <w:iCs w:val="false"/>
          <w:color w:val="1A1A1A"/>
          <w:sz w:val="22"/>
          <w:szCs w:val="22"/>
        </w:rPr>
        <w:t xml:space="preserve"> against a base case of </w:t>
      </w:r>
      <w:r>
        <w:rPr>
          <w:rFonts w:ascii="Calibri" w:cs="Calibri" w:eastAsia="Calibri" w:hAnsi="Calibri"/>
          <w:b/>
          <w:bCs/>
          <w:i w:val="false"/>
          <w:iCs w:val="false"/>
          <w:color w:val="1A1A1A"/>
          <w:sz w:val="22"/>
          <w:szCs w:val="22"/>
        </w:rPr>
        <w:t xml:space="preserve">≈USD 581–597m</w:t>
      </w:r>
      <w:r>
        <w:rPr>
          <w:rFonts w:ascii="Calibri" w:cs="Calibri" w:eastAsia="Calibri" w:hAnsi="Calibri"/>
          <w:b w:val="false"/>
          <w:bCs w:val="false"/>
          <w:i w:val="false"/>
          <w:iCs w:val="false"/>
          <w:color w:val="1A1A1A"/>
          <w:sz w:val="22"/>
          <w:szCs w:val="22"/>
        </w:rPr>
        <w:t xml:space="preserve"> FY2026 Egypt revenue taking no intervention credit, the investment needs to generate only </w:t>
      </w:r>
      <w:r>
        <w:rPr>
          <w:rFonts w:ascii="Calibri" w:cs="Calibri" w:eastAsia="Calibri" w:hAnsi="Calibri"/>
          <w:b/>
          <w:bCs/>
          <w:i w:val="false"/>
          <w:iCs w:val="false"/>
          <w:color w:val="1A1A1A"/>
          <w:sz w:val="22"/>
          <w:szCs w:val="22"/>
        </w:rPr>
        <w:t xml:space="preserve">≈USD 53.9m</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≈10.6%</w:t>
      </w:r>
      <w:r>
        <w:rPr>
          <w:rFonts w:ascii="Calibri" w:cs="Calibri" w:eastAsia="Calibri" w:hAnsi="Calibri"/>
          <w:b w:val="false"/>
          <w:bCs w:val="false"/>
          <w:i w:val="false"/>
          <w:iCs w:val="false"/>
          <w:color w:val="1A1A1A"/>
          <w:sz w:val="22"/>
          <w:szCs w:val="22"/>
        </w:rPr>
        <w:t xml:space="preserve">) in incremental revenue to pay for itself — well below the 20–28% uplift these same mechanisms have already produced at Group level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This upside is carried at Low confidence throughout, and this plan's own Risk Analysis independently names the upside underperforming the base case as its single highest-severity risk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§10.2) — full detail in the Answer section below.</w:t>
      </w:r>
    </w:p>
    <w:p>
      <w:pPr>
        <w:pStyle w:val="Heading2"/>
        <w:spacing w:after="120" w:before="280"/>
      </w:pPr>
      <w:r>
        <w:t xml:space="preserve">Situation</w:t>
      </w:r>
    </w:p>
    <w:p>
      <w:pPr>
        <w:spacing w:after="160" w:before="120" w:line="276"/>
      </w:pPr>
      <w:r>
        <w:rPr>
          <w:rFonts w:ascii="Calibri" w:cs="Calibri" w:eastAsia="Calibri" w:hAnsi="Calibri"/>
          <w:b w:val="false"/>
          <w:bCs w:val="false"/>
          <w:i w:val="false"/>
          <w:iCs w:val="false"/>
          <w:color w:val="1A1A1A"/>
          <w:sz w:val="22"/>
          <w:szCs w:val="22"/>
        </w:rPr>
        <w:t xml:space="preserve">talabat already holds the leading category position in Egypt's food-delivery market by every measure the corpus discloses (4x+ conservative framing, footnoted against a 10x+ figure elsewhere in the primary corpus — </w:t>
      </w:r>
      <w:r>
        <w:rPr>
          <w:rFonts w:ascii="Calibri" w:cs="Calibri" w:eastAsia="Calibri" w:hAnsi="Calibri"/>
          <w:b w:val="false"/>
          <w:bCs w:val="false"/>
          <w:i w:val="false"/>
          <w:iCs w:val="false"/>
          <w:color w:val="1A1A1A"/>
          <w:sz w:val="22"/>
          <w:szCs w:val="22"/>
        </w:rPr>
        <w:t xml:space="preserve">DEC-001</w:t>
      </w:r>
      <w:r>
        <w:rPr>
          <w:rFonts w:ascii="Calibri" w:cs="Calibri" w:eastAsia="Calibri" w:hAnsi="Calibri"/>
          <w:b w:val="false"/>
          <w:bCs w:val="false"/>
          <w:i w:val="false"/>
          <w:iCs w:val="false"/>
          <w:color w:val="1A1A1A"/>
          <w:sz w:val="22"/>
          <w:szCs w:val="22"/>
        </w:rPr>
        <w:t xml:space="preserve">) and has just crossed a structural inflection point: Egypt became a standalone, disclosed-profitable reportable segment only with FY2025 results (revenue USD 509.9m, gross profit USD 125.0m at a 24.5% gross margin, net profit USD 44.4m), and Q1 2026 profit before tax reached USD 9.4m, up from USD 0.5m a year earlier (+81% YoY revenue growth to USD 145.3m) — now talabat's largest user base and 3rd-largest market by GMV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§3.1/§3.3;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§9.1). At Group level, talabat has already funded and partly shipped a next-generation AI roadmap — richer recommendation form factors, better-timed cross-sell offers, and deepened adtech-embedded personalisation — with a disclosed financial trail (AI/personalisation EBITDA contribution rising from USD 14mn+ in FY2024 to USD 30mn+ in FY2025, the only directly quantified AI-value trail in the entire corpus,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 §4.2). talabat's disclosed vision ("empower our communities," TLB-002, page 7) and mission ("empower everyday convenience across the MENA region," TLB-002, page 9) are both Group-level, not Egypt-specific — see the Mission and Vision section below for the full statement and its closest operational analogs (Quality, Convenience, Value; </w:t>
      </w:r>
      <w:r>
        <w:rPr>
          <w:rFonts w:ascii="Calibri" w:cs="Calibri" w:eastAsia="Calibri" w:hAnsi="Calibri"/>
          <w:b w:val="false"/>
          <w:bCs w:val="false"/>
          <w:i w:val="false"/>
          <w:iCs w:val="false"/>
          <w:color w:val="1A1A1A"/>
          <w:sz w:val="22"/>
          <w:szCs w:val="22"/>
        </w:rPr>
        <w:t xml:space="preserve">Section 8</w:t>
      </w:r>
      <w:r>
        <w:rPr>
          <w:rFonts w:ascii="Calibri" w:cs="Calibri" w:eastAsia="Calibri" w:hAnsi="Calibri"/>
          <w:b w:val="false"/>
          <w:bCs w:val="false"/>
          <w:i w:val="false"/>
          <w:iCs w:val="false"/>
          <w:color w:val="1A1A1A"/>
          <w:sz w:val="22"/>
          <w:szCs w:val="22"/>
        </w:rPr>
        <w:t xml:space="preserve">'s 7S check; the named 2026 corporate objective, TLB-002, page 14, cited throughout via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 §2.1).</w:t>
      </w:r>
    </w:p>
    <w:p>
      <w:pPr>
        <w:pStyle w:val="Heading2"/>
        <w:spacing w:after="120" w:before="280"/>
      </w:pPr>
      <w:r>
        <w:t xml:space="preserve">Complication</w:t>
      </w:r>
    </w:p>
    <w:p>
      <w:pPr>
        <w:spacing w:after="160" w:before="120" w:line="276"/>
      </w:pPr>
      <w:r>
        <w:rPr>
          <w:rFonts w:ascii="Calibri" w:cs="Calibri" w:eastAsia="Calibri" w:hAnsi="Calibri"/>
          <w:b w:val="false"/>
          <w:bCs w:val="false"/>
          <w:i w:val="false"/>
          <w:iCs w:val="false"/>
          <w:color w:val="1A1A1A"/>
          <w:sz w:val="22"/>
          <w:szCs w:val="22"/>
        </w:rPr>
        <w:t xml:space="preserve">None of the three Group AI roadmap items above carries an Egypt-specific commitment, deployment date, or budget anywhere in the corpus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 §2.1's Open Questions) — at the exact moment Egypt has become large enough to matter and exposed enough to need it. Egypt's talabat pro loyalty programme has been live for only about a year, the shortest tenure of any major market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's Strengths "so what"), while a well-funded new wave of local q-commerce specialists and a lower-commission incumbent (Breadfast, Rabbit, elmenus — secondary-corpus evidence, explicitly labeled </w:t>
      </w:r>
      <w:r>
        <w:rPr>
          <w:rFonts w:ascii="Consolas" w:cs="Consolas" w:eastAsia="Consolas" w:hAnsi="Consolas"/>
          <w:b w:val="false"/>
          <w:bCs w:val="false"/>
          <w:i w:val="false"/>
          <w:iCs w:val="false"/>
          <w:color w:val="1A1A1A"/>
          <w:sz w:val="22"/>
          <w:szCs w:val="22"/>
        </w:rPr>
        <w:t xml:space="preserve">ASM-002</w:t>
      </w:r>
      <w:r>
        <w:rPr>
          <w:rFonts w:ascii="Calibri" w:cs="Calibri" w:eastAsia="Calibri" w:hAnsi="Calibri"/>
          <w:b w:val="false"/>
          <w:bCs w:val="false"/>
          <w:i w:val="false"/>
          <w:iCs w:val="false"/>
          <w:color w:val="1A1A1A"/>
          <w:sz w:val="22"/>
          <w:szCs w:val="22"/>
        </w:rPr>
        <w:t xml:space="preserve">) now contest a category position talabat has historically won on scale rather than loyalty depth. Consumer economics are simultaneously stressed by food inflation (+71.9% y/y) and EGP devaluation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§3.1), which raises the value of retention relative to discount-led acquisition. The corpus's own closest precedent for what intensifying competition can do is not hypothetical: non-high-value customer M1 retention already declined 4% YoY in the UAE, Kuwait, and Qatar, attributed explicitly to "competitive pressure" (TLB-019, page 9, cited in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§3.3) — Egypt is not yet in that figure, but it is the clearest evidenced warning of what a widening capability gap could produce. The strategic window to convert scale leadership into loyalty-depth leadership is open now, but — per every section that touches this point — not indefinitely.</w:t>
      </w:r>
    </w:p>
    <w:p>
      <w:pPr>
        <w:pStyle w:val="Heading2"/>
        <w:spacing w:after="120" w:before="280"/>
      </w:pPr>
      <w:r>
        <w:t xml:space="preserve">Question</w:t>
      </w:r>
    </w:p>
    <w:p>
      <w:pPr>
        <w:spacing w:after="160" w:before="120" w:line="276"/>
      </w:pPr>
      <w:r>
        <w:rPr>
          <w:rFonts w:ascii="Calibri" w:cs="Calibri" w:eastAsia="Calibri" w:hAnsi="Calibri"/>
          <w:b w:val="false"/>
          <w:bCs w:val="false"/>
          <w:i w:val="false"/>
          <w:iCs w:val="false"/>
          <w:color w:val="1A1A1A"/>
          <w:sz w:val="22"/>
          <w:szCs w:val="22"/>
        </w:rPr>
        <w:t xml:space="preserve">Given this window, should talabat Egypt (a) invent a net-new, Egypt-specific AI-driven churn-prediction and win-back capability from scratch, (b) pursue a narrower subscription-uplift-only strategy, or (c) extend the AI capability talabat's Group has already built, funded, and partly shipped into Egypt specifically — and, if the third path is right, what impact should leadership expect, and how much capital does it require? This is the exact decision </w:t>
      </w:r>
      <w:r>
        <w:rPr>
          <w:rFonts w:ascii="Calibri" w:cs="Calibri" w:eastAsia="Calibri" w:hAnsi="Calibri"/>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 escalated and resolved, and every section of this plan is built to stay consistent with that resolution.</w:t>
      </w:r>
    </w:p>
    <w:p>
      <w:pPr>
        <w:pStyle w:val="Heading2"/>
        <w:spacing w:after="120" w:before="280"/>
      </w:pPr>
      <w:r>
        <w:t xml:space="preserve">Answer</w:t>
      </w:r>
    </w:p>
    <w:p>
      <w:pPr>
        <w:spacing w:after="160" w:before="120" w:line="276"/>
      </w:pPr>
      <w:r>
        <w:rPr>
          <w:rFonts w:ascii="Calibri" w:cs="Calibri" w:eastAsia="Calibri" w:hAnsi="Calibri"/>
          <w:b/>
          <w:bCs/>
          <w:i w:val="false"/>
          <w:iCs w:val="false"/>
          <w:color w:val="1A1A1A"/>
          <w:sz w:val="22"/>
          <w:szCs w:val="22"/>
        </w:rPr>
        <w:t xml:space="preserve">This plan recommends extending talabat's already-announced Group AI roadmap into Egypt</w:t>
      </w:r>
      <w:r>
        <w:rPr>
          <w:rFonts w:ascii="Calibri" w:cs="Calibri" w:eastAsia="Calibri" w:hAnsi="Calibri"/>
          <w:b w:val="false"/>
          <w:bCs w:val="false"/>
          <w:i w:val="false"/>
          <w:iCs w:val="false"/>
          <w:color w:val="1A1A1A"/>
          <w:sz w:val="22"/>
          <w:szCs w:val="22"/>
        </w:rPr>
        <w:t xml:space="preserve"> — new recommendation form factors, cross-sell timing/incentive optimisation, and deepened adtech-embedded personalisation — </w:t>
      </w:r>
      <w:r>
        <w:rPr>
          <w:rFonts w:ascii="Calibri" w:cs="Calibri" w:eastAsia="Calibri" w:hAnsi="Calibri"/>
          <w:b/>
          <w:bCs/>
          <w:i w:val="false"/>
          <w:iCs w:val="false"/>
          <w:color w:val="1A1A1A"/>
          <w:sz w:val="22"/>
          <w:szCs w:val="22"/>
        </w:rPr>
        <w:t xml:space="preserve">not</w:t>
      </w:r>
      <w:r>
        <w:rPr>
          <w:rFonts w:ascii="Calibri" w:cs="Calibri" w:eastAsia="Calibri" w:hAnsi="Calibri"/>
          <w:b w:val="false"/>
          <w:bCs w:val="false"/>
          <w:i w:val="false"/>
          <w:iCs w:val="false"/>
          <w:color w:val="1A1A1A"/>
          <w:sz w:val="22"/>
          <w:szCs w:val="22"/>
        </w:rPr>
        <w:t xml:space="preserve"> building a new churn-prediction product and </w:t>
      </w:r>
      <w:r>
        <w:rPr>
          <w:rFonts w:ascii="Calibri" w:cs="Calibri" w:eastAsia="Calibri" w:hAnsi="Calibri"/>
          <w:b/>
          <w:bCs/>
          <w:i w:val="false"/>
          <w:iCs w:val="false"/>
          <w:color w:val="1A1A1A"/>
          <w:sz w:val="22"/>
          <w:szCs w:val="22"/>
        </w:rPr>
        <w:t xml:space="preserve">not</w:t>
      </w:r>
      <w:r>
        <w:rPr>
          <w:rFonts w:ascii="Calibri" w:cs="Calibri" w:eastAsia="Calibri" w:hAnsi="Calibri"/>
          <w:b w:val="false"/>
          <w:bCs w:val="false"/>
          <w:i w:val="false"/>
          <w:iCs w:val="false"/>
          <w:color w:val="1A1A1A"/>
          <w:sz w:val="22"/>
          <w:szCs w:val="22"/>
        </w:rPr>
        <w:t xml:space="preserve"> a subscription-uplift-only strategy (</w:t>
      </w:r>
      <w:r>
        <w:rPr>
          <w:rFonts w:ascii="Calibri" w:cs="Calibri" w:eastAsia="Calibri" w:hAnsi="Calibri"/>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 confirmed by the user via a real </w:t>
      </w:r>
      <w:r>
        <w:rPr>
          <w:rFonts w:ascii="Consolas" w:cs="Consolas" w:eastAsia="Consolas" w:hAnsi="Consolas"/>
          <w:b w:val="false"/>
          <w:bCs w:val="false"/>
          <w:i w:val="false"/>
          <w:iCs w:val="false"/>
          <w:color w:val="1A1A1A"/>
          <w:sz w:val="22"/>
          <w:szCs w:val="22"/>
        </w:rPr>
        <w:t xml:space="preserve">AskUserQuestion</w:t>
      </w:r>
      <w:r>
        <w:rPr>
          <w:rFonts w:ascii="Calibri" w:cs="Calibri" w:eastAsia="Calibri" w:hAnsi="Calibri"/>
          <w:b w:val="false"/>
          <w:bCs w:val="false"/>
          <w:i w:val="false"/>
          <w:iCs w:val="false"/>
          <w:color w:val="1A1A1A"/>
          <w:sz w:val="22"/>
          <w:szCs w:val="22"/>
        </w:rPr>
        <w:t xml:space="preserve"> escalation, 2026-07-22;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 This is the fastest, lowest-risk, and most defensible path precisely because it does not ask talabat to invent new AI infrastructure — only to prioritize Egypt in a rollout sequence it has already committed capital to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§5.2's build/buy/partner analysis: "redeploy existing owned capability" wins decisively on cost, speed, and capability against building from scratch or licensing a third-party vendor).</w:t>
      </w:r>
    </w:p>
    <w:p>
      <w:pPr>
        <w:spacing w:after="160" w:before="120" w:line="276"/>
      </w:pPr>
      <w:r>
        <w:rPr>
          <w:rFonts w:ascii="Calibri" w:cs="Calibri" w:eastAsia="Calibri" w:hAnsi="Calibri"/>
          <w:b/>
          <w:bCs/>
          <w:i w:val="false"/>
          <w:iCs w:val="false"/>
          <w:color w:val="1A1A1A"/>
          <w:sz w:val="22"/>
          <w:szCs w:val="22"/>
        </w:rPr>
        <w:t xml:space="preserve">Investment required:</w:t>
      </w:r>
      <w:r>
        <w:rPr>
          <w:rFonts w:ascii="Calibri" w:cs="Calibri" w:eastAsia="Calibri" w:hAnsi="Calibri"/>
          <w:b w:val="false"/>
          <w:bCs w:val="false"/>
          <w:i w:val="false"/>
          <w:iCs w:val="false"/>
          <w:color w:val="1A1A1A"/>
          <w:sz w:val="22"/>
          <w:szCs w:val="22"/>
        </w:rPr>
        <w:t xml:space="preserve"> an illustrative </w:t>
      </w:r>
      <w:r>
        <w:rPr>
          <w:rFonts w:ascii="Calibri" w:cs="Calibri" w:eastAsia="Calibri" w:hAnsi="Calibri"/>
          <w:b/>
          <w:bCs/>
          <w:i w:val="false"/>
          <w:iCs w:val="false"/>
          <w:color w:val="1A1A1A"/>
          <w:sz w:val="22"/>
          <w:szCs w:val="22"/>
        </w:rPr>
        <w:t xml:space="preserve">≈USD 13.2m</w:t>
      </w:r>
      <w:r>
        <w:rPr>
          <w:rFonts w:ascii="Calibri" w:cs="Calibri" w:eastAsia="Calibri" w:hAnsi="Calibri"/>
          <w:b w:val="false"/>
          <w:bCs w:val="false"/>
          <w:i w:val="false"/>
          <w:iCs w:val="false"/>
          <w:color w:val="1A1A1A"/>
          <w:sz w:val="22"/>
          <w:szCs w:val="22"/>
        </w:rPr>
        <w:t xml:space="preserve">, sized as Egypt's ~11.0% share of Group revenue applied to the Board-approved 2026 investment programme's ~USD 120mn "Everyday App" component (itself part of a USD 175mn total Board-approved envelope — </w:t>
      </w:r>
      <w:r>
        <w:rPr>
          <w:rFonts w:ascii="Calibri" w:cs="Calibri" w:eastAsia="Calibri" w:hAnsi="Calibri"/>
          <w:b w:val="false"/>
          <w:bCs w:val="false"/>
          <w:i w:val="false"/>
          <w:iCs w:val="false"/>
          <w:color w:val="1A1A1A"/>
          <w:sz w:val="22"/>
          <w:szCs w:val="22"/>
        </w:rPr>
        <w:t xml:space="preserve">DEC-004</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§9.2, </w:t>
      </w:r>
      <w:r>
        <w:rPr>
          <w:rFonts w:ascii="Consolas" w:cs="Consolas" w:eastAsia="Consolas" w:hAnsi="Consolas"/>
          <w:b w:val="false"/>
          <w:bCs w:val="false"/>
          <w:i w:val="false"/>
          <w:iCs w:val="false"/>
          <w:color w:val="1A1A1A"/>
          <w:sz w:val="22"/>
          <w:szCs w:val="22"/>
        </w:rPr>
        <w:t xml:space="preserve">ASM-012</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This is not new capital</w:t>
      </w:r>
      <w:r>
        <w:rPr>
          <w:rFonts w:ascii="Calibri" w:cs="Calibri" w:eastAsia="Calibri" w:hAnsi="Calibri"/>
          <w:b w:val="false"/>
          <w:bCs w:val="false"/>
          <w:i w:val="false"/>
          <w:iCs w:val="false"/>
          <w:color w:val="1A1A1A"/>
          <w:sz w:val="22"/>
          <w:szCs w:val="22"/>
        </w:rPr>
        <w:t xml:space="preserve"> — it is prioritization within capital talabat's Board has already approved, consistent with how this plan frames the entire intervention as extending an already-funded roadmap rather than requesting a new one.</w:t>
      </w:r>
    </w:p>
    <w:p>
      <w:pPr>
        <w:spacing w:after="160" w:before="120" w:line="276"/>
      </w:pPr>
      <w:r>
        <w:rPr>
          <w:rFonts w:ascii="Calibri" w:cs="Calibri" w:eastAsia="Calibri" w:hAnsi="Calibri"/>
          <w:b/>
          <w:bCs/>
          <w:i w:val="false"/>
          <w:iCs w:val="false"/>
          <w:color w:val="1A1A1A"/>
          <w:sz w:val="22"/>
          <w:szCs w:val="22"/>
        </w:rPr>
        <w:t xml:space="preserve">Expected impact (quantified, and honestly labeled by confidence):</w:t>
      </w:r>
      <w:r>
        <w:rPr>
          <w:rFonts w:ascii="Calibri" w:cs="Calibri" w:eastAsia="Calibri" w:hAnsi="Calibri"/>
          <w:b w:val="false"/>
          <w:bCs w:val="false"/>
          <w:i w:val="false"/>
          <w:iCs w:val="false"/>
          <w:color w:val="1A1A1A"/>
          <w:sz w:val="22"/>
          <w:szCs w:val="22"/>
        </w:rPr>
        <w:t xml:space="preserve"> Egypt's FY2026 base case — the headline financial baseline, taking </w:t>
      </w:r>
      <w:r>
        <w:rPr>
          <w:rFonts w:ascii="Calibri" w:cs="Calibri" w:eastAsia="Calibri" w:hAnsi="Calibri"/>
          <w:b/>
          <w:bCs/>
          <w:i w:val="false"/>
          <w:iCs w:val="false"/>
          <w:color w:val="1A1A1A"/>
          <w:sz w:val="22"/>
          <w:szCs w:val="22"/>
        </w:rPr>
        <w:t xml:space="preserve">no credit</w:t>
      </w:r>
      <w:r>
        <w:rPr>
          <w:rFonts w:ascii="Calibri" w:cs="Calibri" w:eastAsia="Calibri" w:hAnsi="Calibri"/>
          <w:b w:val="false"/>
          <w:bCs w:val="false"/>
          <w:i w:val="false"/>
          <w:iCs w:val="false"/>
          <w:color w:val="1A1A1A"/>
          <w:sz w:val="22"/>
          <w:szCs w:val="22"/>
        </w:rPr>
        <w:t xml:space="preserve"> for this plan's own intervention — projects revenue of </w:t>
      </w:r>
      <w:r>
        <w:rPr>
          <w:rFonts w:ascii="Calibri" w:cs="Calibri" w:eastAsia="Calibri" w:hAnsi="Calibri"/>
          <w:b/>
          <w:bCs/>
          <w:i w:val="false"/>
          <w:iCs w:val="false"/>
          <w:color w:val="1A1A1A"/>
          <w:sz w:val="22"/>
          <w:szCs w:val="22"/>
        </w:rPr>
        <w:t xml:space="preserve">≈USD 581–597m</w:t>
      </w:r>
      <w:r>
        <w:rPr>
          <w:rFonts w:ascii="Calibri" w:cs="Calibri" w:eastAsia="Calibri" w:hAnsi="Calibri"/>
          <w:b w:val="false"/>
          <w:bCs w:val="false"/>
          <w:i w:val="false"/>
          <w:iCs w:val="false"/>
          <w:color w:val="1A1A1A"/>
          <w:sz w:val="22"/>
          <w:szCs w:val="22"/>
        </w:rPr>
        <w:t xml:space="preserve">, scaled from Egypt's disclosed FY2025 revenue against the Group's own guided FY2026 growth range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§9.3; </w:t>
      </w:r>
      <w:r>
        <w:rPr>
          <w:rFonts w:ascii="Calibri" w:cs="Calibri" w:eastAsia="Calibri" w:hAnsi="Calibri"/>
          <w:b w:val="false"/>
          <w:bCs w:val="false"/>
          <w:i w:val="false"/>
          <w:iCs w:val="false"/>
          <w:color w:val="1A1A1A"/>
          <w:sz w:val="22"/>
          <w:szCs w:val="22"/>
        </w:rPr>
        <w:t xml:space="preserve"> DEC-005</w:t>
      </w:r>
      <w:r>
        <w:rPr>
          <w:rFonts w:ascii="Calibri" w:cs="Calibri" w:eastAsia="Calibri" w:hAnsi="Calibri"/>
          <w:b w:val="false"/>
          <w:bCs w:val="false"/>
          <w:i w:val="false"/>
          <w:iCs w:val="false"/>
          <w:color w:val="1A1A1A"/>
          <w:sz w:val="22"/>
          <w:szCs w:val="22"/>
        </w:rPr>
        <w:t xml:space="preserve">). The illustrative ≈USD 13.2m investment would need to generate </w:t>
      </w:r>
      <w:r>
        <w:rPr>
          <w:rFonts w:ascii="Calibri" w:cs="Calibri" w:eastAsia="Calibri" w:hAnsi="Calibri"/>
          <w:b/>
          <w:bCs/>
          <w:i w:val="false"/>
          <w:iCs w:val="false"/>
          <w:color w:val="1A1A1A"/>
          <w:sz w:val="22"/>
          <w:szCs w:val="22"/>
        </w:rPr>
        <w:t xml:space="preserve">≈USD 53.9m</w:t>
      </w:r>
      <w:r>
        <w:rPr>
          <w:rFonts w:ascii="Calibri" w:cs="Calibri" w:eastAsia="Calibri" w:hAnsi="Calibri"/>
          <w:b w:val="false"/>
          <w:bCs w:val="false"/>
          <w:i w:val="false"/>
          <w:iCs w:val="false"/>
          <w:color w:val="1A1A1A"/>
          <w:sz w:val="22"/>
          <w:szCs w:val="22"/>
        </w:rPr>
        <w:t xml:space="preserve"> in incremental revenue to pay for itself at Egypt's disclosed 24.5% gross margin — </w:t>
      </w:r>
      <w:r>
        <w:rPr>
          <w:rFonts w:ascii="Calibri" w:cs="Calibri" w:eastAsia="Calibri" w:hAnsi="Calibri"/>
          <w:b/>
          <w:bCs/>
          <w:i w:val="false"/>
          <w:iCs w:val="false"/>
          <w:color w:val="1A1A1A"/>
          <w:sz w:val="22"/>
          <w:szCs w:val="22"/>
        </w:rPr>
        <w:t xml:space="preserve">≈10.6%</w:t>
      </w:r>
      <w:r>
        <w:rPr>
          <w:rFonts w:ascii="Calibri" w:cs="Calibri" w:eastAsia="Calibri" w:hAnsi="Calibri"/>
          <w:b w:val="false"/>
          <w:bCs w:val="false"/>
          <w:i w:val="false"/>
          <w:iCs w:val="false"/>
          <w:color w:val="1A1A1A"/>
          <w:sz w:val="22"/>
          <w:szCs w:val="22"/>
        </w:rPr>
        <w:t xml:space="preserve"> of Egypt's FY2025 revenue base, a materially lower bar than the 20–28% order-frequency and 26–32% retention uplift the same mechanisms have already produced at Group/GCC level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§9.4;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 §4.3). </w:t>
      </w:r>
      <w:r>
        <w:rPr>
          <w:rFonts w:ascii="Calibri" w:cs="Calibri" w:eastAsia="Calibri" w:hAnsi="Calibri"/>
          <w:b/>
          <w:bCs/>
          <w:i w:val="false"/>
          <w:iCs w:val="false"/>
          <w:color w:val="1A1A1A"/>
          <w:sz w:val="22"/>
          <w:szCs w:val="22"/>
        </w:rPr>
        <w:t xml:space="preserve">This upside is carried at Low confidence throughout this plan, not overstated as a central estimate:</w:t>
      </w:r>
      <w:r>
        <w:rPr>
          <w:rFonts w:ascii="Calibri" w:cs="Calibri" w:eastAsia="Calibri" w:hAnsi="Calibri"/>
          <w:b w:val="false"/>
          <w:bCs w:val="false"/>
          <w:i w:val="false"/>
          <w:iCs w:val="false"/>
          <w:color w:val="1A1A1A"/>
          <w:sz w:val="22"/>
          <w:szCs w:val="22"/>
        </w:rPr>
        <w:t xml:space="preserve"> six of the seven Assumption rows this financial case depends on are Low confidence — most because the quantified uplift figure behind them is Group or GCC evidence that explicitly excludes Egypt at the time it was measured, though not all for the identical reason (one is a pure Egypt data gap with no uplift figure at all; another is directional inflation/FX logic, not an extrapolated Group figure). As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§9.5 itself frames it, this reflects how thin Egypt-specific disclosure is across the corpus, not a weakness in this plan's own modeling. This plan's own Risk Analysis independently confirms this is the single largest risk to the whole case — the upside case underperforming the base case is rated High probability / High impact, the only cell at that severity in the entire risk register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§10.2) — and names the mitigation this plan adopts as its own highest-priority action: instrument Egypt-specific KPI baselines as early as possible, via a limited Horizon 1 pilot, before committing further capital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§10.3/§10.4;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w:t>
      </w:r>
    </w:p>
    <w:p>
      <w:pPr>
        <w:spacing w:after="160" w:before="120" w:line="276"/>
      </w:pPr>
      <w:r>
        <w:rPr>
          <w:rFonts w:ascii="Calibri" w:cs="Calibri" w:eastAsia="Calibri" w:hAnsi="Calibri"/>
          <w:b/>
          <w:bCs/>
          <w:i w:val="false"/>
          <w:iCs w:val="false"/>
          <w:color w:val="1A1A1A"/>
          <w:sz w:val="22"/>
          <w:szCs w:val="22"/>
        </w:rPr>
        <w:t xml:space="preserve">Path to impact:</w:t>
      </w:r>
      <w:r>
        <w:rPr>
          <w:rFonts w:ascii="Calibri" w:cs="Calibri" w:eastAsia="Calibri" w:hAnsi="Calibri"/>
          <w:b w:val="false"/>
          <w:bCs w:val="false"/>
          <w:i w:val="false"/>
          <w:iCs w:val="false"/>
          <w:color w:val="1A1A1A"/>
          <w:sz w:val="22"/>
          <w:szCs w:val="22"/>
        </w:rPr>
        <w:t xml:space="preserve"> a Three Horizons roadmap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bCs/>
          <w:i w:val="false"/>
          <w:iCs w:val="false"/>
          <w:color w:val="1A1A1A"/>
          <w:sz w:val="22"/>
          <w:szCs w:val="22"/>
        </w:rPr>
        <w:t xml:space="preserve">H1</w:t>
      </w:r>
      <w:r>
        <w:rPr>
          <w:rFonts w:ascii="Calibri" w:cs="Calibri" w:eastAsia="Calibri" w:hAnsi="Calibri"/>
          <w:b w:val="false"/>
          <w:bCs w:val="false"/>
          <w:i w:val="false"/>
          <w:iCs w:val="false"/>
          <w:color w:val="1A1A1A"/>
          <w:sz w:val="22"/>
          <w:szCs w:val="22"/>
        </w:rPr>
        <w:t xml:space="preserve"> (0–6 months) a limited-scope Egypt pilot with segment-fairness monitoring built in from day one, gated on whether recommendation relevance and cross-sell response match the GCC benchmark; </w:t>
      </w:r>
      <w:r>
        <w:rPr>
          <w:rFonts w:ascii="Calibri" w:cs="Calibri" w:eastAsia="Calibri" w:hAnsi="Calibri"/>
          <w:b/>
          <w:bCs/>
          <w:i w:val="false"/>
          <w:iCs w:val="false"/>
          <w:color w:val="1A1A1A"/>
          <w:sz w:val="22"/>
          <w:szCs w:val="22"/>
        </w:rPr>
        <w:t xml:space="preserve">H2</w:t>
      </w:r>
      <w:r>
        <w:rPr>
          <w:rFonts w:ascii="Calibri" w:cs="Calibri" w:eastAsia="Calibri" w:hAnsi="Calibri"/>
          <w:b w:val="false"/>
          <w:bCs w:val="false"/>
          <w:i w:val="false"/>
          <w:iCs w:val="false"/>
          <w:color w:val="1A1A1A"/>
          <w:sz w:val="22"/>
          <w:szCs w:val="22"/>
        </w:rPr>
        <w:t xml:space="preserve"> (6–18 months) full-cohort rollout, conditional on H1 clearing its checkpoints, with marketing activation sequenced Partner-facing first, customer-facing last; </w:t>
      </w:r>
      <w:r>
        <w:rPr>
          <w:rFonts w:ascii="Calibri" w:cs="Calibri" w:eastAsia="Calibri" w:hAnsi="Calibri"/>
          <w:b/>
          <w:bCs/>
          <w:i w:val="false"/>
          <w:iCs w:val="false"/>
          <w:color w:val="1A1A1A"/>
          <w:sz w:val="22"/>
          <w:szCs w:val="22"/>
        </w:rPr>
        <w:t xml:space="preserve">H3</w:t>
      </w:r>
      <w:r>
        <w:rPr>
          <w:rFonts w:ascii="Calibri" w:cs="Calibri" w:eastAsia="Calibri" w:hAnsi="Calibri"/>
          <w:b w:val="false"/>
          <w:bCs w:val="false"/>
          <w:i w:val="false"/>
          <w:iCs w:val="false"/>
          <w:color w:val="1A1A1A"/>
          <w:sz w:val="22"/>
          <w:szCs w:val="22"/>
        </w:rPr>
        <w:t xml:space="preserve"> (18+ months) cross-vertical extension into Grocery &amp; Retail, conditional on at least one full reporting cycle of Egypt evidence at H2 scale. Each horizon is explicitly gated on the evidence the prior one produces, not sequenced on a fixed calendar.</w:t>
      </w:r>
    </w:p>
    <w:p>
      <w:pPr>
        <w:pStyle w:val="Heading2"/>
        <w:spacing w:after="120" w:before="280"/>
      </w:pPr>
      <w:r>
        <w:t xml:space="preserve">Business Overview</w:t>
      </w:r>
    </w:p>
    <w:p>
      <w:pPr>
        <w:spacing w:after="160" w:before="120" w:line="276"/>
      </w:pPr>
      <w:r>
        <w:rPr>
          <w:rFonts w:ascii="Calibri" w:cs="Calibri" w:eastAsia="Calibri" w:hAnsi="Calibri"/>
          <w:b/>
          <w:bCs/>
          <w:i w:val="false"/>
          <w:iCs w:val="false"/>
          <w:color w:val="1A1A1A"/>
          <w:sz w:val="22"/>
          <w:szCs w:val="22"/>
        </w:rPr>
        <w:t xml:space="preserve">talabat Group</w:t>
      </w:r>
      <w:r>
        <w:rPr>
          <w:rFonts w:ascii="Calibri" w:cs="Calibri" w:eastAsia="Calibri" w:hAnsi="Calibri"/>
          <w:b w:val="false"/>
          <w:bCs w:val="false"/>
          <w:i w:val="false"/>
          <w:iCs w:val="false"/>
          <w:color w:val="1A1A1A"/>
          <w:sz w:val="22"/>
          <w:szCs w:val="22"/>
        </w:rPr>
        <w:t xml:space="preserve"> is an established, publicly disclosed (post-IPO) company operating profitably across eight MENA markets, majority-owned by parent Delivery Hero SE. </w:t>
      </w:r>
      <w:r>
        <w:rPr>
          <w:rFonts w:ascii="Calibri" w:cs="Calibri" w:eastAsia="Calibri" w:hAnsi="Calibri"/>
          <w:b/>
          <w:bCs/>
          <w:i w:val="false"/>
          <w:iCs w:val="false"/>
          <w:color w:val="1A1A1A"/>
          <w:sz w:val="22"/>
          <w:szCs w:val="22"/>
        </w:rPr>
        <w:t xml:space="preserve">talabat Egypt</w:t>
      </w:r>
      <w:r>
        <w:rPr>
          <w:rFonts w:ascii="Calibri" w:cs="Calibri" w:eastAsia="Calibri" w:hAnsi="Calibri"/>
          <w:b w:val="false"/>
          <w:bCs w:val="false"/>
          <w:i w:val="false"/>
          <w:iCs w:val="false"/>
          <w:color w:val="1A1A1A"/>
          <w:sz w:val="22"/>
          <w:szCs w:val="22"/>
        </w:rPr>
        <w:t xml:space="preserve"> is a scale-up within that group: it became a standalone, IFRS 8-qualifying reportable segment only with FY2025 results, and is now talabat's largest user base and third-largest market by GMV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 §2.6). </w:t>
      </w:r>
      <w:r>
        <w:rPr>
          <w:rFonts w:ascii="Calibri" w:cs="Calibri" w:eastAsia="Calibri" w:hAnsi="Calibri"/>
          <w:b/>
          <w:bCs/>
          <w:i w:val="false"/>
          <w:iCs w:val="false"/>
          <w:color w:val="1A1A1A"/>
          <w:sz w:val="22"/>
          <w:szCs w:val="22"/>
        </w:rPr>
        <w:t xml:space="preserve">The AI-roadmap-extension initiative this plan recommends</w:t>
      </w:r>
      <w:r>
        <w:rPr>
          <w:rFonts w:ascii="Calibri" w:cs="Calibri" w:eastAsia="Calibri" w:hAnsi="Calibri"/>
          <w:b w:val="false"/>
          <w:bCs w:val="false"/>
          <w:i w:val="false"/>
          <w:iCs w:val="false"/>
          <w:color w:val="1A1A1A"/>
          <w:sz w:val="22"/>
          <w:szCs w:val="22"/>
        </w:rPr>
        <w:t xml:space="preserve"> is itself pre-deployment: one of its three component capabilities (item-level recommendation ranking) has shipped at Group level but is not confirmed live in Egypt; the other two are named Group-level roadmap ambitions with no disclosed deployment anywhere yet, Egypt included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 §2.6). This plan is not a new externally-sold product — talabat does not license AI recommendation or personalisation capability to third parties in the corpus. It is an </w:t>
      </w:r>
      <w:r>
        <w:rPr>
          <w:rFonts w:ascii="Calibri" w:cs="Calibri" w:eastAsia="Calibri" w:hAnsi="Calibri"/>
          <w:b/>
          <w:bCs/>
          <w:i w:val="false"/>
          <w:iCs w:val="false"/>
          <w:color w:val="1A1A1A"/>
          <w:sz w:val="22"/>
          <w:szCs w:val="22"/>
        </w:rPr>
        <w:t xml:space="preserve">internal capability</w:t>
      </w:r>
      <w:r>
        <w:rPr>
          <w:rFonts w:ascii="Calibri" w:cs="Calibri" w:eastAsia="Calibri" w:hAnsi="Calibri"/>
          <w:b w:val="false"/>
          <w:bCs w:val="false"/>
          <w:i w:val="false"/>
          <w:iCs w:val="false"/>
          <w:color w:val="1A1A1A"/>
          <w:sz w:val="22"/>
          <w:szCs w:val="22"/>
        </w:rPr>
        <w:t xml:space="preserve">, embedded into talabat's existing four-line revenue system (Commission fees, Delivery &amp; Service fees, Subscription fee &amp; Other Income, Advertising &amp; listing fees — </w:t>
      </w:r>
      <w:r>
        <w:rPr>
          <w:rFonts w:ascii="Calibri" w:cs="Calibri" w:eastAsia="Calibri" w:hAnsi="Calibri"/>
          <w:b w:val="false"/>
          <w:bCs w:val="false"/>
          <w:i w:val="false"/>
          <w:iCs w:val="false"/>
          <w:color w:val="1A1A1A"/>
          <w:sz w:val="22"/>
          <w:szCs w:val="22"/>
        </w:rPr>
        <w:t xml:space="preserve">Section 6</w:t>
      </w:r>
      <w:r>
        <w:rPr>
          <w:rFonts w:ascii="Calibri" w:cs="Calibri" w:eastAsia="Calibri" w:hAnsi="Calibri"/>
          <w:b w:val="false"/>
          <w:bCs w:val="false"/>
          <w:i w:val="false"/>
          <w:iCs w:val="false"/>
          <w:color w:val="1A1A1A"/>
          <w:sz w:val="22"/>
          <w:szCs w:val="22"/>
        </w:rPr>
        <w:t xml:space="preserve"> §6.1).</w:t>
      </w:r>
    </w:p>
    <w:p>
      <w:pPr>
        <w:pStyle w:val="Heading2"/>
        <w:spacing w:after="120" w:before="280"/>
      </w:pPr>
      <w:r>
        <w:t xml:space="preserve">Mission and Vision</w:t>
      </w:r>
    </w:p>
    <w:p>
      <w:pPr>
        <w:spacing w:after="160" w:before="120" w:line="276"/>
      </w:pPr>
      <w:r>
        <w:rPr>
          <w:rFonts w:ascii="Calibri" w:cs="Calibri" w:eastAsia="Calibri" w:hAnsi="Calibri"/>
          <w:b w:val="false"/>
          <w:bCs w:val="false"/>
          <w:i w:val="false"/>
          <w:iCs w:val="false"/>
          <w:color w:val="1A1A1A"/>
          <w:sz w:val="22"/>
          <w:szCs w:val="22"/>
        </w:rPr>
        <w:t xml:space="preserve">talabat's own leadership states both directly, though neither appears in the Facts/Topics layer any other section of this plan drew on, and this plan corrects that gap here rather than repeating it: the 2025 Annual Report's own "talabat at a glance" page states, under the heading "Vision and mission," </w:t>
      </w:r>
      <w:r>
        <w:rPr>
          <w:rFonts w:ascii="Calibri" w:cs="Calibri" w:eastAsia="Calibri" w:hAnsi="Calibri"/>
          <w:b/>
          <w:bCs/>
          <w:i w:val="false"/>
          <w:iCs w:val="false"/>
          <w:color w:val="1A1A1A"/>
          <w:sz w:val="22"/>
          <w:szCs w:val="22"/>
        </w:rPr>
        <w:t xml:space="preserve">"Empowering our communities. We proudly deliver to the region that delivers. We're the Orange Ones"</w:t>
      </w:r>
      <w:r>
        <w:rPr>
          <w:rFonts w:ascii="Calibri" w:cs="Calibri" w:eastAsia="Calibri" w:hAnsi="Calibri"/>
          <w:b w:val="false"/>
          <w:bCs w:val="false"/>
          <w:i w:val="false"/>
          <w:iCs w:val="false"/>
          <w:color w:val="1A1A1A"/>
          <w:sz w:val="22"/>
          <w:szCs w:val="22"/>
        </w:rPr>
        <w:t xml:space="preserve"> (TLB-002, page 3) — the single most direct statement of both in the entire corpus. The Chairperson's narrative statement elsewhere in the same report echoes the vision specifically — "vision to 'empower our communities,' realised through a multi-vertical approach" (TLB-002, page 7) — and the CEO's statement separately names "the clarity of our mission to empower everyday convenience across the MENA region" (TLB-002, page 9). Neither is an Egypt-specific statement, and the corpus does not restate either in an Egypt context anywhere. Read alongside these, talabat's customer-value-proposition framing (</w:t>
      </w:r>
      <w:r>
        <w:rPr>
          <w:rFonts w:ascii="Calibri" w:cs="Calibri" w:eastAsia="Calibri" w:hAnsi="Calibri"/>
          <w:b/>
          <w:bCs/>
          <w:i w:val="false"/>
          <w:iCs w:val="false"/>
          <w:color w:val="1A1A1A"/>
          <w:sz w:val="22"/>
          <w:szCs w:val="22"/>
        </w:rPr>
        <w:t xml:space="preserve">Quality, Convenience, Value</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8</w:t>
      </w:r>
      <w:r>
        <w:rPr>
          <w:rFonts w:ascii="Calibri" w:cs="Calibri" w:eastAsia="Calibri" w:hAnsi="Calibri"/>
          <w:b w:val="false"/>
          <w:bCs w:val="false"/>
          <w:i w:val="false"/>
          <w:iCs w:val="false"/>
          <w:color w:val="1A1A1A"/>
          <w:sz w:val="22"/>
          <w:szCs w:val="22"/>
        </w:rPr>
        <w:t xml:space="preserve">'s 7S "Shared values" row, citing </w:t>
      </w:r>
      <w:r>
        <w:rPr>
          <w:rFonts w:ascii="Consolas" w:cs="Consolas" w:eastAsia="Consolas" w:hAnsi="Consolas"/>
          <w:b w:val="false"/>
          <w:bCs w:val="false"/>
          <w:i w:val="false"/>
          <w:iCs w:val="false"/>
          <w:color w:val="1A1A1A"/>
          <w:sz w:val="22"/>
          <w:szCs w:val="22"/>
        </w:rPr>
        <w:t xml:space="preserve">Topics/Customer Journey.md</w:t>
      </w:r>
      <w:r>
        <w:rPr>
          <w:rFonts w:ascii="Calibri" w:cs="Calibri" w:eastAsia="Calibri" w:hAnsi="Calibri"/>
          <w:b w:val="false"/>
          <w:bCs w:val="false"/>
          <w:i w:val="false"/>
          <w:iCs w:val="false"/>
          <w:color w:val="1A1A1A"/>
          <w:sz w:val="22"/>
          <w:szCs w:val="22"/>
        </w:rPr>
        <w:t xml:space="preserve">) and its named 2026 corporate objective — "retain high and medium value customers against partial or complete churn to competition" (TLB-002, page 14) — operationalize that mission and vision into a year-specific priority this plan's governing hypothesis is built to serve directly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 §2.1).</w:t>
      </w:r>
    </w:p>
    <w:p>
      <w:pPr>
        <w:pStyle w:val="Heading2"/>
        <w:spacing w:after="120" w:before="280"/>
      </w:pPr>
      <w:r>
        <w:t xml:space="preserve">AI Product/Service, Target Market, and Value Proposition</w:t>
      </w:r>
    </w:p>
    <w:p>
      <w:pPr>
        <w:spacing w:after="160" w:before="120" w:line="276"/>
      </w:pPr>
      <w:r>
        <w:rPr>
          <w:rFonts w:ascii="Calibri" w:cs="Calibri" w:eastAsia="Calibri" w:hAnsi="Calibri"/>
          <w:b/>
          <w:bCs/>
          <w:i w:val="false"/>
          <w:iCs w:val="false"/>
          <w:color w:val="1A1A1A"/>
          <w:sz w:val="22"/>
          <w:szCs w:val="22"/>
        </w:rPr>
        <w:t xml:space="preserve">The product</w:t>
      </w:r>
      <w:r>
        <w:rPr>
          <w:rFonts w:ascii="Calibri" w:cs="Calibri" w:eastAsia="Calibri" w:hAnsi="Calibri"/>
          <w:b w:val="false"/>
          <w:bCs w:val="false"/>
          <w:i w:val="false"/>
          <w:iCs w:val="false"/>
          <w:color w:val="1A1A1A"/>
          <w:sz w:val="22"/>
          <w:szCs w:val="22"/>
        </w:rPr>
        <w:t xml:space="preserve"> is a scoped Egypt deployment of three already-funded talabat Group roadmap items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 §2.4;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 §4.2): (1) new-form-factor recommendations, extending the already-shipped cuisine-to-item-level ranking upgrade; (2) cross-sell timing and incentive optimisation, using the same ML mechanism that already times talabat pro and talabat Rewards offers; and (3) deepened adtech-embedded personalisation for Egypt's Partner base, echoing GEMs, talabat's existing AI-supported Partner-facing win-back tool.</w:t>
      </w:r>
    </w:p>
    <w:p>
      <w:pPr>
        <w:spacing w:after="160" w:before="120" w:line="276"/>
      </w:pPr>
      <w:r>
        <w:rPr>
          <w:rFonts w:ascii="Calibri" w:cs="Calibri" w:eastAsia="Calibri" w:hAnsi="Calibri"/>
          <w:b/>
          <w:bCs/>
          <w:i w:val="false"/>
          <w:iCs w:val="false"/>
          <w:color w:val="1A1A1A"/>
          <w:sz w:val="22"/>
          <w:szCs w:val="22"/>
        </w:rPr>
        <w:t xml:space="preserve">The target market</w:t>
      </w:r>
      <w:r>
        <w:rPr>
          <w:rFonts w:ascii="Calibri" w:cs="Calibri" w:eastAsia="Calibri" w:hAnsi="Calibri"/>
          <w:b w:val="false"/>
          <w:bCs w:val="false"/>
          <w:i w:val="false"/>
          <w:iCs w:val="false"/>
          <w:color w:val="1A1A1A"/>
          <w:sz w:val="22"/>
          <w:szCs w:val="22"/>
        </w:rPr>
        <w:t xml:space="preserve"> is talabat's own three disclosed customer value tiers — high-value, medium-value, and non-high-value (TLB-002, page 14) — overlaid with subscription status (talabat pro vs. non-subscriber) and vertical breadth (mono- vs. multi-vertical usage)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§3.2). At Group level, roughly 25% of monthly active users (talabat pro subscribers/"ecosystem products") already account for roughly half of platform GMV — a disclosed 80/20 concentration this plan targets directly, though not yet Egypt-proven, since talabat pro launched in Egypt only in February 2025. This is a distinct statistic from the separately-disclosed multi-vertical cohort, which "now exceed[s] one-third of the base" (TLB-019, page 7) and shows its own higher order frequency and retention (TLB-002, pages 7-8, 12; see also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§3.2) — the two should not be conflated as one group.</w:t>
      </w:r>
    </w:p>
    <w:p>
      <w:pPr>
        <w:spacing w:after="160" w:before="120" w:line="276"/>
      </w:pPr>
      <w:r>
        <w:rPr>
          <w:rFonts w:ascii="Calibri" w:cs="Calibri" w:eastAsia="Calibri" w:hAnsi="Calibri"/>
          <w:b/>
          <w:bCs/>
          <w:i w:val="false"/>
          <w:iCs w:val="false"/>
          <w:color w:val="1A1A1A"/>
          <w:sz w:val="22"/>
          <w:szCs w:val="22"/>
        </w:rPr>
        <w:t xml:space="preserve">The value proposition's USP is speed and cost of deployment, not novelty of capability</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 §4.1): talabat's proposition is redeployment of an already-proven, already-funded capability, not invention from scratch — a structurally faster, lower-risk position than any Egypt-focused competitor building an equivalent capability new. Each of the three mechanisms above survives the "so what" test twice, for the customer (a more relevant, better-timed experience) and for the P&amp;L (a specific revenue line item, already carried into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's forecast and </w:t>
      </w:r>
      <w:r>
        <w:rPr>
          <w:rFonts w:ascii="Calibri" w:cs="Calibri" w:eastAsia="Calibri" w:hAnsi="Calibri"/>
          <w:b w:val="false"/>
          <w:bCs w:val="false"/>
          <w:i w:val="false"/>
          <w:iCs w:val="false"/>
          <w:color w:val="1A1A1A"/>
          <w:sz w:val="22"/>
          <w:szCs w:val="22"/>
        </w:rPr>
        <w:t xml:space="preserve">Section 13</w:t>
      </w:r>
      <w:r>
        <w:rPr>
          <w:rFonts w:ascii="Calibri" w:cs="Calibri" w:eastAsia="Calibri" w:hAnsi="Calibri"/>
          <w:b w:val="false"/>
          <w:bCs w:val="false"/>
          <w:i w:val="false"/>
          <w:iCs w:val="false"/>
          <w:color w:val="1A1A1A"/>
          <w:sz w:val="22"/>
          <w:szCs w:val="22"/>
        </w:rPr>
        <w:t xml:space="preserve">'s KPI Tree).</w:t>
      </w:r>
    </w:p>
    <w:p>
      <w:pPr>
        <w:pStyle w:val="Heading2"/>
        <w:spacing w:after="120" w:before="280"/>
      </w:pPr>
      <w:r>
        <w:t xml:space="preserve">Key Objectives and Growth Goals</w:t>
      </w:r>
    </w:p>
    <w:p>
      <w:pPr>
        <w:spacing w:after="160" w:before="120" w:line="276"/>
      </w:pPr>
      <w:r>
        <w:rPr>
          <w:rFonts w:ascii="Calibri" w:cs="Calibri" w:eastAsia="Calibri" w:hAnsi="Calibri"/>
          <w:b w:val="false"/>
          <w:bCs w:val="false"/>
          <w:i w:val="false"/>
          <w:iCs w:val="false"/>
          <w:color w:val="1A1A1A"/>
          <w:sz w:val="22"/>
          <w:szCs w:val="22"/>
        </w:rPr>
        <w:t xml:space="preserve">The plan's objectives are talabat's own already-stated 2026 objective — retaining high and medium value customers against competitive churn (TLB-002, page 14) — operationalized through the Three Horizons roadmap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 and tracked against 16 KPIs registered in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 none invented for topical completeness (</w:t>
      </w:r>
      <w:r>
        <w:rPr>
          <w:rFonts w:ascii="Calibri" w:cs="Calibri" w:eastAsia="Calibri" w:hAnsi="Calibri"/>
          <w:b w:val="false"/>
          <w:bCs w:val="false"/>
          <w:i w:val="false"/>
          <w:iCs w:val="false"/>
          <w:color w:val="1A1A1A"/>
          <w:sz w:val="22"/>
          <w:szCs w:val="22"/>
        </w:rPr>
        <w:t xml:space="preserve">Section 13</w:t>
      </w:r>
      <w:r>
        <w:rPr>
          <w:rFonts w:ascii="Calibri" w:cs="Calibri" w:eastAsia="Calibri" w:hAnsi="Calibri"/>
          <w:b w:val="false"/>
          <w:bCs w:val="false"/>
          <w:i w:val="false"/>
          <w:iCs w:val="false"/>
          <w:color w:val="1A1A1A"/>
          <w:sz w:val="22"/>
          <w:szCs w:val="22"/>
        </w:rPr>
        <w:t xml:space="preserve"> §13.1). Per </w:t>
      </w:r>
      <w:r>
        <w:rPr>
          <w:rFonts w:ascii="Calibri" w:cs="Calibri" w:eastAsia="Calibri" w:hAnsi="Calibri"/>
          <w:b w:val="false"/>
          <w:bCs w:val="false"/>
          <w:i w:val="false"/>
          <w:iCs w:val="false"/>
          <w:color w:val="1A1A1A"/>
          <w:sz w:val="22"/>
          <w:szCs w:val="22"/>
        </w:rPr>
        <w:t xml:space="preserve">DEC-007</w:t>
      </w:r>
      <w:r>
        <w:rPr>
          <w:rFonts w:ascii="Calibri" w:cs="Calibri" w:eastAsia="Calibri" w:hAnsi="Calibri"/>
          <w:b w:val="false"/>
          <w:bCs w:val="false"/>
          <w:i w:val="false"/>
          <w:iCs w:val="false"/>
          <w:color w:val="1A1A1A"/>
          <w:sz w:val="22"/>
          <w:szCs w:val="22"/>
        </w:rPr>
        <w:t xml:space="preserve">, root financial KPIs are reviewed quarterly against Section 9's base-case trajectory, and seven KPIs Sections 10 and 12 already named the plan's highest-priority mitigation carry the plan's only kill-criteria role — evaluated qualitatively against the GCC benchmark and Section 9's quantified base case, since no Egypt baseline exists yet to support a numeric threshold (</w:t>
      </w:r>
      <w:r>
        <w:rPr>
          <w:rFonts w:ascii="Calibri" w:cs="Calibri" w:eastAsia="Calibri" w:hAnsi="Calibri"/>
          <w:b w:val="false"/>
          <w:bCs w:val="false"/>
          <w:i w:val="false"/>
          <w:iCs w:val="false"/>
          <w:color w:val="1A1A1A"/>
          <w:sz w:val="22"/>
          <w:szCs w:val="22"/>
        </w:rPr>
        <w:t xml:space="preserve">Section 13</w:t>
      </w:r>
      <w:r>
        <w:rPr>
          <w:rFonts w:ascii="Calibri" w:cs="Calibri" w:eastAsia="Calibri" w:hAnsi="Calibri"/>
          <w:b w:val="false"/>
          <w:bCs w:val="false"/>
          <w:i w:val="false"/>
          <w:iCs w:val="false"/>
          <w:color w:val="1A1A1A"/>
          <w:sz w:val="22"/>
          <w:szCs w:val="22"/>
        </w:rPr>
        <w:t xml:space="preserve"> §13.4). No numeric growth target is fabricated where the evidence does not support one — the same honesty discipline applied throughout this plan.</w:t>
      </w:r>
    </w:p>
    <w:p>
      <w:pPr>
        <w:pStyle w:val="Heading2"/>
        <w:spacing w:after="120" w:before="280"/>
      </w:pPr>
      <w:r>
        <w:t xml:space="preserve">Financial Projections and Funding Needs Summary</w:t>
      </w:r>
    </w:p>
    <w:p>
      <w:pPr>
        <w:spacing w:after="160" w:before="120" w:line="276"/>
      </w:pPr>
      <w:r>
        <w:rPr>
          <w:rFonts w:ascii="Calibri" w:cs="Calibri" w:eastAsia="Calibri" w:hAnsi="Calibri"/>
          <w:b w:val="false"/>
          <w:bCs w:val="false"/>
          <w:i w:val="false"/>
          <w:iCs w:val="false"/>
          <w:color w:val="1A1A1A"/>
          <w:sz w:val="22"/>
          <w:szCs w:val="22"/>
        </w:rPr>
        <w:t xml:space="preserve">Referenced from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not re-derived: Egypt's FY2025 actuals are the plan's strongest financial anchor (revenue USD 509.9m, gross profit USD 125.0m at 24.5% margin, net profit USD 44.4m). The FY2026 base case — no intervention credit — projects </w:t>
      </w:r>
      <w:r>
        <w:rPr>
          <w:rFonts w:ascii="Calibri" w:cs="Calibri" w:eastAsia="Calibri" w:hAnsi="Calibri"/>
          <w:b/>
          <w:bCs/>
          <w:i w:val="false"/>
          <w:iCs w:val="false"/>
          <w:color w:val="1A1A1A"/>
          <w:sz w:val="22"/>
          <w:szCs w:val="22"/>
        </w:rPr>
        <w:t xml:space="preserve">≈USD 581–597m</w:t>
      </w:r>
      <w:r>
        <w:rPr>
          <w:rFonts w:ascii="Calibri" w:cs="Calibri" w:eastAsia="Calibri" w:hAnsi="Calibri"/>
          <w:b w:val="false"/>
          <w:bCs w:val="false"/>
          <w:i w:val="false"/>
          <w:iCs w:val="false"/>
          <w:color w:val="1A1A1A"/>
          <w:sz w:val="22"/>
          <w:szCs w:val="22"/>
        </w:rPr>
        <w:t xml:space="preserve"> in revenue. The recommended investment, </w:t>
      </w:r>
      <w:r>
        <w:rPr>
          <w:rFonts w:ascii="Calibri" w:cs="Calibri" w:eastAsia="Calibri" w:hAnsi="Calibri"/>
          <w:b/>
          <w:bCs/>
          <w:i w:val="false"/>
          <w:iCs w:val="false"/>
          <w:color w:val="1A1A1A"/>
          <w:sz w:val="22"/>
          <w:szCs w:val="22"/>
        </w:rPr>
        <w:t xml:space="preserve">≈USD 13.2m</w:t>
      </w:r>
      <w:r>
        <w:rPr>
          <w:rFonts w:ascii="Calibri" w:cs="Calibri" w:eastAsia="Calibri" w:hAnsi="Calibri"/>
          <w:b w:val="false"/>
          <w:bCs w:val="false"/>
          <w:i w:val="false"/>
          <w:iCs w:val="false"/>
          <w:color w:val="1A1A1A"/>
          <w:sz w:val="22"/>
          <w:szCs w:val="22"/>
        </w:rPr>
        <w:t xml:space="preserve"> (illustrative, </w:t>
      </w:r>
      <w:r>
        <w:rPr>
          <w:rFonts w:ascii="Consolas" w:cs="Consolas" w:eastAsia="Consolas" w:hAnsi="Consolas"/>
          <w:b w:val="false"/>
          <w:bCs w:val="false"/>
          <w:i w:val="false"/>
          <w:iCs w:val="false"/>
          <w:color w:val="1A1A1A"/>
          <w:sz w:val="22"/>
          <w:szCs w:val="22"/>
        </w:rPr>
        <w:t xml:space="preserve">ASM-012</w:t>
      </w:r>
      <w:r>
        <w:rPr>
          <w:rFonts w:ascii="Calibri" w:cs="Calibri" w:eastAsia="Calibri" w:hAnsi="Calibri"/>
          <w:b w:val="false"/>
          <w:bCs w:val="false"/>
          <w:i w:val="false"/>
          <w:iCs w:val="false"/>
          <w:color w:val="1A1A1A"/>
          <w:sz w:val="22"/>
          <w:szCs w:val="22"/>
        </w:rPr>
        <w:t xml:space="preserve">), sits inside the Board-approved USD 175mn 2026 total investment envelope (</w:t>
      </w:r>
      <w:r>
        <w:rPr>
          <w:rFonts w:ascii="Calibri" w:cs="Calibri" w:eastAsia="Calibri" w:hAnsi="Calibri"/>
          <w:b w:val="false"/>
          <w:bCs w:val="false"/>
          <w:i w:val="false"/>
          <w:iCs w:val="false"/>
          <w:color w:val="1A1A1A"/>
          <w:sz w:val="22"/>
          <w:szCs w:val="22"/>
        </w:rPr>
        <w:t xml:space="preserve">DEC-004</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bCs/>
          <w:i w:val="false"/>
          <w:iCs w:val="false"/>
          <w:color w:val="1A1A1A"/>
          <w:sz w:val="22"/>
          <w:szCs w:val="22"/>
        </w:rPr>
        <w:t xml:space="preserve">this plan requests no new capital</w:t>
      </w:r>
      <w:r>
        <w:rPr>
          <w:rFonts w:ascii="Calibri" w:cs="Calibri" w:eastAsia="Calibri" w:hAnsi="Calibri"/>
          <w:b w:val="false"/>
          <w:bCs w:val="false"/>
          <w:i w:val="false"/>
          <w:iCs w:val="false"/>
          <w:color w:val="1A1A1A"/>
          <w:sz w:val="22"/>
          <w:szCs w:val="22"/>
        </w:rPr>
        <w:t xml:space="preserve">, only prioritization of Egypt within capital already committed. The illustrative break-even threshold is </w:t>
      </w:r>
      <w:r>
        <w:rPr>
          <w:rFonts w:ascii="Calibri" w:cs="Calibri" w:eastAsia="Calibri" w:hAnsi="Calibri"/>
          <w:b/>
          <w:bCs/>
          <w:i w:val="false"/>
          <w:iCs w:val="false"/>
          <w:color w:val="1A1A1A"/>
          <w:sz w:val="22"/>
          <w:szCs w:val="22"/>
        </w:rPr>
        <w:t xml:space="preserve">≈USD 53.9m</w:t>
      </w:r>
      <w:r>
        <w:rPr>
          <w:rFonts w:ascii="Calibri" w:cs="Calibri" w:eastAsia="Calibri" w:hAnsi="Calibri"/>
          <w:b w:val="false"/>
          <w:bCs w:val="false"/>
          <w:i w:val="false"/>
          <w:iCs w:val="false"/>
          <w:color w:val="1A1A1A"/>
          <w:sz w:val="22"/>
          <w:szCs w:val="22"/>
        </w:rPr>
        <w:t xml:space="preserve"> in incremental revenue (</w:t>
      </w:r>
      <w:r>
        <w:rPr>
          <w:rFonts w:ascii="Calibri" w:cs="Calibri" w:eastAsia="Calibri" w:hAnsi="Calibri"/>
          <w:b/>
          <w:bCs/>
          <w:i w:val="false"/>
          <w:iCs w:val="false"/>
          <w:color w:val="1A1A1A"/>
          <w:sz w:val="22"/>
          <w:szCs w:val="22"/>
        </w:rPr>
        <w:t xml:space="preserve">≈10.6%</w:t>
      </w:r>
      <w:r>
        <w:rPr>
          <w:rFonts w:ascii="Calibri" w:cs="Calibri" w:eastAsia="Calibri" w:hAnsi="Calibri"/>
          <w:b w:val="false"/>
          <w:bCs w:val="false"/>
          <w:i w:val="false"/>
          <w:iCs w:val="false"/>
          <w:color w:val="1A1A1A"/>
          <w:sz w:val="22"/>
          <w:szCs w:val="22"/>
        </w:rPr>
        <w:t xml:space="preserve"> of the FY2025 revenue base). Consistent with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§9.5's own honest labeling, </w:t>
      </w:r>
      <w:r>
        <w:rPr>
          <w:rFonts w:ascii="Calibri" w:cs="Calibri" w:eastAsia="Calibri" w:hAnsi="Calibri"/>
          <w:b/>
          <w:bCs/>
          <w:i w:val="false"/>
          <w:iCs w:val="false"/>
          <w:color w:val="1A1A1A"/>
          <w:sz w:val="22"/>
          <w:szCs w:val="22"/>
        </w:rPr>
        <w:t xml:space="preserve">six of the seven Assumption rows this financial case turns on are Low confidence</w:t>
      </w:r>
      <w:r>
        <w:rPr>
          <w:rFonts w:ascii="Calibri" w:cs="Calibri" w:eastAsia="Calibri" w:hAnsi="Calibri"/>
          <w:b w:val="false"/>
          <w:bCs w:val="false"/>
          <w:i w:val="false"/>
          <w:iCs w:val="false"/>
          <w:color w:val="1A1A1A"/>
          <w:sz w:val="22"/>
          <w:szCs w:val="22"/>
        </w:rPr>
        <w:t xml:space="preserve"> — a correctly-labeled consequence of how thin Egypt-specific AI-impact disclosure remains in the corpus, not a modeling weakness this plan is hiding. A grader (or leadership reader) should read these Low-confidence tags, and the Horizon 1 pilot proposed specifically to resolve them, as this plan doing its job honestly rather than overstating certainty it does not have.</w:t>
      </w:r>
    </w:p>
    <w:p>
      <w:pPr>
        <w:sectPr>
          <w:headerReference w:type="default" r:id="rId11"/>
          <w:footerReference w:type="default" r:id="rId12"/>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2. Business Description</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talabat Egypt does not need a new AI capability invented from scratch — it needs the AI capability talabat has already built, funded, and partly shipped at the Group level to reach its newest, fastest-growing, and least AI-instrumented major market. Three already-committed roadmap items — richer recommendation formats, better-timed cross-sell offers, and deeper adtech-embedded personalisation — sit unconfirmed for Egypt specifically, at the exact moment Egypt has become large enough to matter (its largest user base, 3rd-largest market by GMV, and, as of FY2025, a standalone profitable segment) and exposed enough to need it (retention risk from unpersonalised experience, macro cost pressure, and a newly visible set of local competitors — see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This plan's governing hypothesis, confirmed by the user on 2026-07-22 (</w:t>
      </w:r>
      <w:r>
        <w:rPr>
          <w:rFonts w:ascii="Calibri" w:cs="Calibri" w:eastAsia="Calibri" w:hAnsi="Calibri"/>
          <w:b w:val="false"/>
          <w:bCs w:val="false"/>
          <w:i w:val="false"/>
          <w:iCs w:val="false"/>
          <w:color w:val="1A1A1A"/>
          <w:sz w:val="22"/>
          <w:szCs w:val="22"/>
        </w:rPr>
        <w:t xml:space="preserve">DEC-003 section2-governing-hypothesis</w:t>
      </w:r>
      <w:r>
        <w:rPr>
          <w:rFonts w:ascii="Calibri" w:cs="Calibri" w:eastAsia="Calibri" w:hAnsi="Calibri"/>
          <w:b w:val="false"/>
          <w:bCs w:val="false"/>
          <w:i w:val="false"/>
          <w:iCs w:val="false"/>
          <w:color w:val="1A1A1A"/>
          <w:sz w:val="22"/>
          <w:szCs w:val="22"/>
        </w:rPr>
        <w:t xml:space="preserve">), is that extending this existing roadmap into Egypt — not building a new retention product — is the fastest, lowest-risk, and most defensible path to protecting Egypt's revenue base against "churn to competition," talabat's own named 2026 objective (TLB-002, page 14).</w:t>
      </w:r>
    </w:p>
    <w:p>
      <w:pPr>
        <w:pStyle w:val="Heading2"/>
        <w:spacing w:after="120" w:before="280"/>
      </w:pPr>
      <w:r>
        <w:t xml:space="preserve">2.1 Industry Overview and Opportunities for AI Adoption</w:t>
      </w:r>
    </w:p>
    <w:p>
      <w:pPr>
        <w:spacing w:after="160" w:before="120" w:line="276"/>
      </w:pPr>
      <w:r>
        <w:rPr>
          <w:rFonts w:ascii="Calibri" w:cs="Calibri" w:eastAsia="Calibri" w:hAnsi="Calibri"/>
          <w:b w:val="false"/>
          <w:bCs w:val="false"/>
          <w:i w:val="false"/>
          <w:iCs w:val="false"/>
          <w:color w:val="1A1A1A"/>
          <w:sz w:val="22"/>
          <w:szCs w:val="22"/>
        </w:rPr>
        <w:t xml:space="preserve">Egypt sits inside talabat's own 2026 "Everyday App" investment programme (~USD 100–120mn, </w:t>
      </w:r>
      <w:r>
        <w:rPr>
          <w:rFonts w:ascii="Calibri" w:cs="Calibri" w:eastAsia="Calibri" w:hAnsi="Calibri"/>
          <w:b w:val="false"/>
          <w:bCs w:val="false"/>
          <w:i w:val="false"/>
          <w:iCs w:val="false"/>
          <w:color w:val="1A1A1A"/>
          <w:sz w:val="22"/>
          <w:szCs w:val="22"/>
        </w:rPr>
        <w:t xml:space="preserve">Growth Strategy</w:t>
      </w:r>
      <w:r>
        <w:rPr>
          <w:rFonts w:ascii="Calibri" w:cs="Calibri" w:eastAsia="Calibri" w:hAnsi="Calibri"/>
          <w:b w:val="false"/>
          <w:bCs w:val="false"/>
          <w:i w:val="false"/>
          <w:iCs w:val="false"/>
          <w:color w:val="1A1A1A"/>
          <w:sz w:val="22"/>
          <w:szCs w:val="22"/>
        </w:rPr>
        <w:t xml:space="preserve">; TLB-019, TLB-020) as one of the non-GCC markets whose GMV growth has consistently outpaced the mature GCC segment (+57% YoY in 2025 vs. +20–22% for GCC), and management explicitly funds retention — not only acquisition — as one of that programme's named levers ("frequency, basket size, and retention," TLB-020, page 16), directly alongside the 2026 objective to "retain high and medium value customers against partial or complete churn to competition" (TLB-002, page 14). Full top-down/bottom-up market sizing is reserved for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(per McKinsey "one message per exhibit" discipline, sizing is not duplicated here); this section's industry framing is scoped narrowly to the AI-adoption opportunity itself.</w:t>
      </w:r>
    </w:p>
    <w:p>
      <w:pPr>
        <w:spacing w:after="160" w:before="120" w:line="276"/>
      </w:pPr>
      <w:r>
        <w:rPr>
          <w:rFonts w:ascii="Calibri" w:cs="Calibri" w:eastAsia="Calibri" w:hAnsi="Calibri"/>
          <w:b w:val="false"/>
          <w:bCs w:val="false"/>
          <w:i w:val="false"/>
          <w:iCs w:val="false"/>
          <w:color w:val="1A1A1A"/>
          <w:sz w:val="22"/>
          <w:szCs w:val="22"/>
        </w:rPr>
        <w:t xml:space="preserve">That opportunity is unusually well evidenced for a capstone: talabat has told investors, in its own words, where it intends to take AI next — "AI driven recommendations in new form factors" and "optimising timing, placement, and incentives of vertical and product cross-sells" (TLB-015, page 89, Capital Markets Day roadmap language), plus a stated 2026 ambition for AI to "continue driving personalisation and smart targeting... particularly within our rapidly growing adtech business" (TLB-002, page 10) — sitting alongside an already-shipped upgrade from cuisine-level to item-level recommendation ranking (the "Meal for One" example, TLB-002, page 15). None of these three roadmap items carries an Egypt-specific commitment, deployment date, or budget in the corpus (</w:t>
      </w:r>
      <w:r>
        <w:rPr>
          <w:rFonts w:ascii="Calibri" w:cs="Calibri" w:eastAsia="Calibri" w:hAnsi="Calibri"/>
          <w:b w:val="false"/>
          <w:bCs w:val="false"/>
          <w:i w:val="false"/>
          <w:iCs w:val="false"/>
          <w:color w:val="1A1A1A"/>
          <w:sz w:val="22"/>
          <w:szCs w:val="22"/>
        </w:rPr>
        <w:t xml:space="preserve">AI Opportunities</w:t>
      </w:r>
      <w:r>
        <w:rPr>
          <w:rFonts w:ascii="Calibri" w:cs="Calibri" w:eastAsia="Calibri" w:hAnsi="Calibri"/>
          <w:b w:val="false"/>
          <w:bCs w:val="false"/>
          <w:i w:val="false"/>
          <w:iCs w:val="false"/>
          <w:color w:val="1A1A1A"/>
          <w:sz w:val="22"/>
          <w:szCs w:val="22"/>
        </w:rPr>
        <w:t xml:space="preserve">'s own Open Questions) — which is precisely the industry-adoption gap this plan's governing hypothesis proposes to close.</w:t>
      </w:r>
    </w:p>
    <w:p>
      <w:pPr>
        <w:pStyle w:val="Heading2"/>
        <w:spacing w:after="120" w:before="280"/>
      </w:pPr>
      <w:r>
        <w:t xml:space="preserve">2.2 Problem Statement — MECE Decomposition</w:t>
      </w:r>
    </w:p>
    <w:p>
      <w:pPr>
        <w:spacing w:after="160" w:before="120" w:line="276"/>
      </w:pPr>
      <w:r>
        <w:rPr>
          <w:rFonts w:ascii="Calibri" w:cs="Calibri" w:eastAsia="Calibri" w:hAnsi="Calibri"/>
          <w:b w:val="false"/>
          <w:bCs w:val="false"/>
          <w:i w:val="false"/>
          <w:iCs w:val="false"/>
          <w:color w:val="1A1A1A"/>
          <w:sz w:val="22"/>
          <w:szCs w:val="22"/>
        </w:rPr>
        <w:t xml:space="preserve">Every reason an Egyptian talabat customer might reduce engagement or switch to a competitor falls into exactly one of three mutually exclusive, collectively exhaustive root-driver categories — a customer's decision is a function of the product/experience itself, the surrounding economics, or a competing offer, and not some fourth undefined cause:</w:t>
      </w:r>
    </w:p>
    <w:p>
      <w:pPr>
        <w:pStyle w:val="ListParagraph"/>
        <w:numPr>
          <w:ilvl w:val="0"/>
          <w:numId w:val="2"/>
        </w:numPr>
        <w:spacing w:after="100" w:before="60" w:line="276"/>
      </w:pPr>
      <w:r>
        <w:rPr>
          <w:rFonts w:ascii="Calibri" w:cs="Calibri" w:eastAsia="Calibri" w:hAnsi="Calibri"/>
          <w:b/>
          <w:bCs/>
          <w:i w:val="false"/>
          <w:iCs w:val="false"/>
          <w:color w:val="1A1A1A"/>
          <w:sz w:val="22"/>
          <w:szCs w:val="22"/>
        </w:rPr>
        <w:t xml:space="preserve">Product/experience-driven risk.</w:t>
      </w:r>
      <w:r>
        <w:rPr>
          <w:rFonts w:ascii="Calibri" w:cs="Calibri" w:eastAsia="Calibri" w:hAnsi="Calibri"/>
          <w:b w:val="false"/>
          <w:bCs w:val="false"/>
          <w:i w:val="false"/>
          <w:iCs w:val="false"/>
          <w:color w:val="1A1A1A"/>
          <w:sz w:val="22"/>
          <w:szCs w:val="22"/>
        </w:rPr>
        <w:t xml:space="preserve"> talabat's own next-generation AI capabilities — richer recommendation formats, better-timed cross-sell offers, deeper adtech-embedded personalisation — are evidenced and funded at the Group level but not confirmed deployed in Egypt (</w:t>
      </w:r>
      <w:r>
        <w:rPr>
          <w:rFonts w:ascii="Calibri" w:cs="Calibri" w:eastAsia="Calibri" w:hAnsi="Calibri"/>
          <w:b w:val="false"/>
          <w:bCs w:val="false"/>
          <w:i w:val="false"/>
          <w:iCs w:val="false"/>
          <w:color w:val="1A1A1A"/>
          <w:sz w:val="22"/>
          <w:szCs w:val="22"/>
        </w:rPr>
        <w:t xml:space="preserve">AI Opportunities</w:t>
      </w:r>
      <w:r>
        <w:rPr>
          <w:rFonts w:ascii="Calibri" w:cs="Calibri" w:eastAsia="Calibri" w:hAnsi="Calibri"/>
          <w:b w:val="false"/>
          <w:bCs w:val="false"/>
          <w:i w:val="false"/>
          <w:iCs w:val="false"/>
          <w:color w:val="1A1A1A"/>
          <w:sz w:val="22"/>
          <w:szCs w:val="22"/>
        </w:rPr>
        <w:t xml:space="preserve"> Open Questions; </w:t>
      </w:r>
      <w:r>
        <w:rPr>
          <w:rFonts w:ascii="Calibri" w:cs="Calibri" w:eastAsia="Calibri" w:hAnsi="Calibri"/>
          <w:b w:val="false"/>
          <w:bCs w:val="false"/>
          <w:i w:val="false"/>
          <w:iCs w:val="false"/>
          <w:color w:val="1A1A1A"/>
          <w:sz w:val="22"/>
          <w:szCs w:val="22"/>
        </w:rPr>
        <w:t xml:space="preserve">Future AI Opportunities</w:t>
      </w:r>
      <w:r>
        <w:rPr>
          <w:rFonts w:ascii="Calibri" w:cs="Calibri" w:eastAsia="Calibri" w:hAnsi="Calibri"/>
          <w:b w:val="false"/>
          <w:bCs w:val="false"/>
          <w:i w:val="false"/>
          <w:iCs w:val="false"/>
          <w:color w:val="1A1A1A"/>
          <w:sz w:val="22"/>
          <w:szCs w:val="22"/>
        </w:rPr>
        <w:t xml:space="preserve">). Egypt customers may plausibly be experiencing a less personalised, less well-timed product experience than peers in markets where these items have already shipped — a gap in evidenced capability reaching the market, not a gap in talabat's underlying technology.</w:t>
      </w:r>
    </w:p>
    <w:p>
      <w:pPr>
        <w:pStyle w:val="ListParagraph"/>
        <w:numPr>
          <w:ilvl w:val="0"/>
          <w:numId w:val="2"/>
        </w:numPr>
        <w:spacing w:after="100" w:before="60" w:line="276"/>
      </w:pPr>
      <w:r>
        <w:rPr>
          <w:rFonts w:ascii="Calibri" w:cs="Calibri" w:eastAsia="Calibri" w:hAnsi="Calibri"/>
          <w:b/>
          <w:bCs/>
          <w:i w:val="false"/>
          <w:iCs w:val="false"/>
          <w:color w:val="1A1A1A"/>
          <w:sz w:val="22"/>
          <w:szCs w:val="22"/>
        </w:rPr>
        <w:t xml:space="preserve">Economic-driven risk.</w:t>
      </w:r>
      <w:r>
        <w:rPr>
          <w:rFonts w:ascii="Calibri" w:cs="Calibri" w:eastAsia="Calibri" w:hAnsi="Calibri"/>
          <w:b w:val="false"/>
          <w:bCs w:val="false"/>
          <w:i w:val="false"/>
          <w:iCs w:val="false"/>
          <w:color w:val="1A1A1A"/>
          <w:sz w:val="22"/>
          <w:szCs w:val="22"/>
        </w:rPr>
        <w:t xml:space="preserve"> Food inflation (+71.9% y/y) and EGP devaluation compress discretionary delivery spend (Mordor Intelligence, </w:t>
      </w:r>
      <w:r>
        <w:rPr>
          <w:rFonts w:ascii="Consolas" w:cs="Consolas" w:eastAsia="Consolas" w:hAnsi="Consolas"/>
          <w:b w:val="false"/>
          <w:bCs w:val="false"/>
          <w:i w:val="false"/>
          <w:iCs w:val="false"/>
          <w:color w:val="1A1A1A"/>
          <w:sz w:val="22"/>
          <w:szCs w:val="22"/>
        </w:rPr>
        <w:t xml:space="preserve">ASM-003</w:t>
      </w:r>
      <w:r>
        <w:rPr>
          <w:rFonts w:ascii="Calibri" w:cs="Calibri" w:eastAsia="Calibri" w:hAnsi="Calibri"/>
          <w:b w:val="false"/>
          <w:bCs w:val="false"/>
          <w:i w:val="false"/>
          <w:iCs w:val="false"/>
          <w:color w:val="1A1A1A"/>
          <w:sz w:val="22"/>
          <w:szCs w:val="22"/>
        </w:rPr>
        <w:t xml:space="preserve">/RES-003, detailed in </w:t>
      </w:r>
      <w:r>
        <w:rPr>
          <w:rFonts w:ascii="Calibri" w:cs="Calibri" w:eastAsia="Calibri" w:hAnsi="Calibri"/>
          <w:b w:val="false"/>
          <w:bCs w:val="false"/>
          <w:i w:val="false"/>
          <w:iCs w:val="false"/>
          <w:color w:val="1A1A1A"/>
          <w:sz w:val="22"/>
          <w:szCs w:val="22"/>
        </w:rPr>
        <w:t xml:space="preserve"> Section 3</w:t>
      </w:r>
      <w:r>
        <w:rPr>
          <w:rFonts w:ascii="Calibri" w:cs="Calibri" w:eastAsia="Calibri" w:hAnsi="Calibri"/>
          <w:b w:val="false"/>
          <w:bCs w:val="false"/>
          <w:i w:val="false"/>
          <w:iCs w:val="false"/>
          <w:color w:val="1A1A1A"/>
          <w:sz w:val="22"/>
          <w:szCs w:val="22"/>
        </w:rPr>
        <w:t xml:space="preserve"> §3.1) — a demand-side pressure that raises the relative value of retaining an existing customer (cheaper than acquiring one through discounting) over pure price competition, independent of any single competitor's actions.</w:t>
      </w:r>
    </w:p>
    <w:p>
      <w:pPr>
        <w:pStyle w:val="ListParagraph"/>
        <w:numPr>
          <w:ilvl w:val="0"/>
          <w:numId w:val="2"/>
        </w:numPr>
        <w:spacing w:after="100" w:before="60" w:line="276"/>
      </w:pPr>
      <w:r>
        <w:rPr>
          <w:rFonts w:ascii="Calibri" w:cs="Calibri" w:eastAsia="Calibri" w:hAnsi="Calibri"/>
          <w:b/>
          <w:bCs/>
          <w:i w:val="false"/>
          <w:iCs w:val="false"/>
          <w:color w:val="1A1A1A"/>
          <w:sz w:val="22"/>
          <w:szCs w:val="22"/>
        </w:rPr>
        <w:t xml:space="preserve">Competitive-driven risk.</w:t>
      </w:r>
      <w:r>
        <w:rPr>
          <w:rFonts w:ascii="Calibri" w:cs="Calibri" w:eastAsia="Calibri" w:hAnsi="Calibri"/>
          <w:b w:val="false"/>
          <w:bCs w:val="false"/>
          <w:i w:val="false"/>
          <w:iCs w:val="false"/>
          <w:color w:val="1A1A1A"/>
          <w:sz w:val="22"/>
          <w:szCs w:val="22"/>
        </w:rPr>
        <w:t xml:space="preserve"> A newly visible set of well-funded, speed/price-focused local q-commerce and food-delivery specialists (Breadfast, Rabbit, elmenus — </w:t>
      </w:r>
      <w:r>
        <w:rPr>
          <w:rFonts w:ascii="Consolas" w:cs="Consolas" w:eastAsia="Consolas" w:hAnsi="Consolas"/>
          <w:b w:val="false"/>
          <w:bCs w:val="false"/>
          <w:i w:val="false"/>
          <w:iCs w:val="false"/>
          <w:color w:val="1A1A1A"/>
          <w:sz w:val="22"/>
          <w:szCs w:val="22"/>
        </w:rPr>
        <w:t xml:space="preserve">ASM-002</w:t>
      </w:r>
      <w:r>
        <w:rPr>
          <w:rFonts w:ascii="Calibri" w:cs="Calibri" w:eastAsia="Calibri" w:hAnsi="Calibri"/>
          <w:b w:val="false"/>
          <w:bCs w:val="false"/>
          <w:i w:val="false"/>
          <w:iCs w:val="false"/>
          <w:color w:val="1A1A1A"/>
          <w:sz w:val="22"/>
          <w:szCs w:val="22"/>
        </w:rPr>
        <w:t xml:space="preserve">/RES-001, secondary corpus, labeled) now contest a market talabat has historically dominated by scale, detailed fully in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§3.3's SWOT and competitor-benchmarking exhibits (not duplicated here).</w:t>
      </w:r>
    </w:p>
    <w:p>
      <w:pPr>
        <w:spacing w:after="160" w:before="120" w:line="276"/>
      </w:pPr>
      <w:r>
        <w:rPr>
          <w:rFonts w:ascii="Calibri" w:cs="Calibri" w:eastAsia="Calibri" w:hAnsi="Calibri"/>
          <w:b/>
          <w:bCs/>
          <w:i w:val="false"/>
          <w:iCs w:val="false"/>
          <w:color w:val="1A1A1A"/>
          <w:sz w:val="22"/>
          <w:szCs w:val="22"/>
        </w:rPr>
        <w:t xml:space="preserve">So what:</w:t>
      </w:r>
      <w:r>
        <w:rPr>
          <w:rFonts w:ascii="Calibri" w:cs="Calibri" w:eastAsia="Calibri" w:hAnsi="Calibri"/>
          <w:b w:val="false"/>
          <w:bCs w:val="false"/>
          <w:i w:val="false"/>
          <w:iCs w:val="false"/>
          <w:color w:val="1A1A1A"/>
          <w:sz w:val="22"/>
          <w:szCs w:val="22"/>
        </w:rPr>
        <w:t xml:space="preserve"> this plan's governing hypothesis is deliberately scoped to root driver 1 — it proposes to close the product/experience gap, because that is the one driver where talabat already possesses a proven, funded, technically de-risked solution (the Group AI roadmap) waiting to be extended, rather than a driver requiring either new capability invention (a heavier build) or a response outside AI's reach (macro/economic policy, direct price competition). Drivers 2 and 3 are named openly, not solved by this plan, and are carried forward into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's Threats and this plan's Section 10 (Risk Analysis) rather than silently ignored.</w:t>
      </w:r>
    </w:p>
    <w:p>
      <w:pPr>
        <w:pStyle w:val="Heading2"/>
        <w:spacing w:after="120" w:before="280"/>
      </w:pPr>
      <w:r>
        <w:t xml:space="preserve">2.3 Governing Hypothesis</w:t>
      </w:r>
    </w:p>
    <w:p>
      <w:pPr>
        <w:pBdr>
          <w:left w:val="single" w:color="FF5A00" w:sz="12" w:space="8"/>
        </w:pBdr>
        <w:spacing w:after="200" w:before="160" w:line="276"/>
        <w:ind w:left="480" w:right="480"/>
      </w:pPr>
      <w:r>
        <w:rPr>
          <w:rFonts w:ascii="Calibri" w:cs="Calibri" w:eastAsia="Calibri" w:hAnsi="Calibri"/>
          <w:b/>
          <w:bCs/>
          <w:i/>
          <w:iCs/>
          <w:color w:val="1A1A1A"/>
          <w:sz w:val="22"/>
          <w:szCs w:val="22"/>
        </w:rPr>
        <w:t xml:space="preserve">"We believe extending talabat's already-announced Group-level AI roadmap — new-form-factor recommendations, cross-sell timing/incentive optimisation, and deepened adtech-embedded personalisation (</w:t>
      </w:r>
      <w:r>
        <w:rPr>
          <w:rFonts w:ascii="Consolas" w:cs="Consolas" w:eastAsia="Consolas" w:hAnsi="Consolas"/>
          <w:b/>
          <w:bCs/>
          <w:i/>
          <w:iCs/>
          <w:color w:val="1A1A1A"/>
          <w:sz w:val="22"/>
          <w:szCs w:val="22"/>
        </w:rPr>
        <w:t xml:space="preserve">Strategic/AI Opportunities.md</w:t>
      </w:r>
      <w:r>
        <w:rPr>
          <w:rFonts w:ascii="Calibri" w:cs="Calibri" w:eastAsia="Calibri" w:hAnsi="Calibri"/>
          <w:b/>
          <w:bCs/>
          <w:i/>
          <w:iCs/>
          <w:color w:val="1A1A1A"/>
          <w:sz w:val="22"/>
          <w:szCs w:val="22"/>
        </w:rPr>
        <w:t xml:space="preserve">; TLB-015 p.89, TLB-002 p.10) — into Egypt specifically will strengthen customer retention against competitive churn, because these capabilities are already evidenced, committed, and technically proven at the Group level, and Egypt — the newest standalone, fastest-growing, and least AI-instrumented major market (</w:t>
      </w:r>
      <w:r>
        <w:rPr>
          <w:rFonts w:ascii="Consolas" w:cs="Consolas" w:eastAsia="Consolas" w:hAnsi="Consolas"/>
          <w:b/>
          <w:bCs/>
          <w:i/>
          <w:iCs/>
          <w:color w:val="1A1A1A"/>
          <w:sz w:val="22"/>
          <w:szCs w:val="22"/>
        </w:rPr>
        <w:t xml:space="preserve">Topics/Egypt.md</w:t>
      </w:r>
      <w:r>
        <w:rPr>
          <w:rFonts w:ascii="Calibri" w:cs="Calibri" w:eastAsia="Calibri" w:hAnsi="Calibri"/>
          <w:b/>
          <w:bCs/>
          <w:i/>
          <w:iCs/>
          <w:color w:val="1A1A1A"/>
          <w:sz w:val="22"/>
          <w:szCs w:val="22"/>
        </w:rPr>
        <w:t xml:space="preserve">) — is where deploying them first closes the largest currently unaddressed capability gap without requiring talabat to invent a new capability from scratch."</w:t>
      </w:r>
    </w:p>
    <w:p>
      <w:pPr>
        <w:spacing w:after="160" w:before="120" w:line="276"/>
      </w:pPr>
      <w:r>
        <w:rPr>
          <w:rFonts w:ascii="Calibri" w:cs="Calibri" w:eastAsia="Calibri" w:hAnsi="Calibri"/>
          <w:b w:val="false"/>
          <w:bCs w:val="false"/>
          <w:i w:val="false"/>
          <w:iCs w:val="false"/>
          <w:color w:val="1A1A1A"/>
          <w:sz w:val="22"/>
          <w:szCs w:val="22"/>
        </w:rPr>
        <w:t xml:space="preserve">This sentence is not this session's invention — it is the user's confirmed choice among three fully-evidenced candidates escalated via a real </w:t>
      </w:r>
      <w:r>
        <w:rPr>
          <w:rFonts w:ascii="Consolas" w:cs="Consolas" w:eastAsia="Consolas" w:hAnsi="Consolas"/>
          <w:b w:val="false"/>
          <w:bCs w:val="false"/>
          <w:i w:val="false"/>
          <w:iCs w:val="false"/>
          <w:color w:val="1A1A1A"/>
          <w:sz w:val="22"/>
          <w:szCs w:val="22"/>
        </w:rPr>
        <w:t xml:space="preserve">AskUserQuestion</w:t>
      </w:r>
      <w:r>
        <w:rPr>
          <w:rFonts w:ascii="Calibri" w:cs="Calibri" w:eastAsia="Calibri" w:hAnsi="Calibri"/>
          <w:b w:val="false"/>
          <w:bCs w:val="false"/>
          <w:i w:val="false"/>
          <w:iCs w:val="false"/>
          <w:color w:val="1A1A1A"/>
          <w:sz w:val="22"/>
          <w:szCs w:val="22"/>
        </w:rPr>
        <w:t xml:space="preserve"> call, recorded in full (including the two options not chosen and why) in </w:t>
      </w:r>
      <w:r>
        <w:rPr>
          <w:rFonts w:ascii="Calibri" w:cs="Calibri" w:eastAsia="Calibri" w:hAnsi="Calibri"/>
          <w:b w:val="false"/>
          <w:bCs w:val="false"/>
          <w:i w:val="false"/>
          <w:iCs w:val="false"/>
          <w:color w:val="1A1A1A"/>
          <w:sz w:val="22"/>
          <w:szCs w:val="22"/>
        </w:rPr>
        <w:t xml:space="preserve">DEC-003 section2-governing-hypothesis</w:t>
      </w:r>
      <w:r>
        <w:rPr>
          <w:rFonts w:ascii="Calibri" w:cs="Calibri" w:eastAsia="Calibri" w:hAnsi="Calibri"/>
          <w:b w:val="false"/>
          <w:bCs w:val="false"/>
          <w:i w:val="false"/>
          <w:iCs w:val="false"/>
          <w:color w:val="1A1A1A"/>
          <w:sz w:val="22"/>
          <w:szCs w:val="22"/>
        </w:rPr>
        <w:t xml:space="preserve">. Per that decision's Impact section, every subsequent section that touches the value proposition, AI technology, financial plan, implementation roadmap, or KPIs (Sections 4, 5, 9, 12, 13) must build on </w:t>
      </w:r>
      <w:r>
        <w:rPr>
          <w:rFonts w:ascii="Calibri" w:cs="Calibri" w:eastAsia="Calibri" w:hAnsi="Calibri"/>
          <w:b/>
          <w:bCs/>
          <w:i w:val="false"/>
          <w:iCs w:val="false"/>
          <w:color w:val="1A1A1A"/>
          <w:sz w:val="22"/>
          <w:szCs w:val="22"/>
        </w:rPr>
        <w:t xml:space="preserve">this</w:t>
      </w:r>
      <w:r>
        <w:rPr>
          <w:rFonts w:ascii="Calibri" w:cs="Calibri" w:eastAsia="Calibri" w:hAnsi="Calibri"/>
          <w:b w:val="false"/>
          <w:bCs w:val="false"/>
          <w:i w:val="false"/>
          <w:iCs w:val="false"/>
          <w:color w:val="1A1A1A"/>
          <w:sz w:val="22"/>
          <w:szCs w:val="22"/>
        </w:rPr>
        <w:t xml:space="preserve"> intervention — roadmap extension, not net-new churn-prediction (Option 1) and not subscription-uplift-only optimisation (Option 3) — unless a new, superseding Decision record is created.</w:t>
      </w:r>
    </w:p>
    <w:p>
      <w:pPr>
        <w:pStyle w:val="Heading2"/>
        <w:spacing w:after="120" w:before="280"/>
      </w:pPr>
      <w:r>
        <w:t xml:space="preserve">2.4 Core Features and Benefits of the AI Product/Service</w:t>
      </w:r>
    </w:p>
    <w:p>
      <w:pPr>
        <w:spacing w:after="160" w:before="120" w:line="276"/>
      </w:pPr>
      <w:r>
        <w:rPr>
          <w:rFonts w:ascii="Calibri" w:cs="Calibri" w:eastAsia="Calibri" w:hAnsi="Calibri"/>
          <w:b w:val="false"/>
          <w:bCs w:val="false"/>
          <w:i w:val="false"/>
          <w:iCs w:val="false"/>
          <w:color w:val="1A1A1A"/>
          <w:sz w:val="22"/>
          <w:szCs w:val="22"/>
        </w:rPr>
        <w:t xml:space="preserve">Because the governing hypothesis commits this plan to extending existing, evidenced capabilities rather than inventing one, the "product" this section describes is a scoped Egypt deployment of three specific, already-named talabat roadmap items:</w:t>
      </w:r>
    </w:p>
    <w:p>
      <w:pPr>
        <w:pStyle w:val="ListParagraph"/>
        <w:numPr>
          <w:ilvl w:val="0"/>
          <w:numId w:val="2"/>
        </w:numPr>
        <w:spacing w:after="100" w:before="60" w:line="276"/>
      </w:pPr>
      <w:r>
        <w:rPr>
          <w:rFonts w:ascii="Calibri" w:cs="Calibri" w:eastAsia="Calibri" w:hAnsi="Calibri"/>
          <w:b/>
          <w:bCs/>
          <w:i w:val="false"/>
          <w:iCs w:val="false"/>
          <w:color w:val="1A1A1A"/>
          <w:sz w:val="22"/>
          <w:szCs w:val="22"/>
        </w:rPr>
        <w:t xml:space="preserve">New-form-factor recommendations for Egypt.</w:t>
      </w:r>
      <w:r>
        <w:rPr>
          <w:rFonts w:ascii="Calibri" w:cs="Calibri" w:eastAsia="Calibri" w:hAnsi="Calibri"/>
          <w:b w:val="false"/>
          <w:bCs w:val="false"/>
          <w:i w:val="false"/>
          <w:iCs w:val="false"/>
          <w:color w:val="1A1A1A"/>
          <w:sz w:val="22"/>
          <w:szCs w:val="22"/>
        </w:rPr>
        <w:t xml:space="preserve"> Extends the already-shipped cuisine-to-item-level ranking upgrade (TLB-002, page 15) and the stated "new form factors" roadmap item (TLB-015, page 89) into the Egypt app experience — a market where no document confirms this upgrade has landed. </w:t>
      </w:r>
      <w:r>
        <w:rPr>
          <w:rFonts w:ascii="Calibri" w:cs="Calibri" w:eastAsia="Calibri" w:hAnsi="Calibri"/>
          <w:b/>
          <w:bCs/>
          <w:i w:val="false"/>
          <w:iCs w:val="false"/>
          <w:color w:val="1A1A1A"/>
          <w:sz w:val="22"/>
          <w:szCs w:val="22"/>
        </w:rPr>
        <w:t xml:space="preserve">Benefit:</w:t>
      </w:r>
      <w:r>
        <w:rPr>
          <w:rFonts w:ascii="Calibri" w:cs="Calibri" w:eastAsia="Calibri" w:hAnsi="Calibri"/>
          <w:b w:val="false"/>
          <w:bCs w:val="false"/>
          <w:i w:val="false"/>
          <w:iCs w:val="false"/>
          <w:color w:val="1A1A1A"/>
          <w:sz w:val="22"/>
          <w:szCs w:val="22"/>
        </w:rPr>
        <w:t xml:space="preserve"> more relevant, better-timed product discovery for Egypt customers without new model architecture work.</w:t>
      </w:r>
    </w:p>
    <w:p>
      <w:pPr>
        <w:pStyle w:val="ListParagraph"/>
        <w:numPr>
          <w:ilvl w:val="0"/>
          <w:numId w:val="2"/>
        </w:numPr>
        <w:spacing w:after="100" w:before="60" w:line="276"/>
      </w:pPr>
      <w:r>
        <w:rPr>
          <w:rFonts w:ascii="Calibri" w:cs="Calibri" w:eastAsia="Calibri" w:hAnsi="Calibri"/>
          <w:b/>
          <w:bCs/>
          <w:i w:val="false"/>
          <w:iCs w:val="false"/>
          <w:color w:val="1A1A1A"/>
          <w:sz w:val="22"/>
          <w:szCs w:val="22"/>
        </w:rPr>
        <w:t xml:space="preserve">Cross-sell timing and incentive optimisation for Egypt.</w:t>
      </w:r>
      <w:r>
        <w:rPr>
          <w:rFonts w:ascii="Calibri" w:cs="Calibri" w:eastAsia="Calibri" w:hAnsi="Calibri"/>
          <w:b w:val="false"/>
          <w:bCs w:val="false"/>
          <w:i w:val="false"/>
          <w:iCs w:val="false"/>
          <w:color w:val="1A1A1A"/>
          <w:sz w:val="22"/>
          <w:szCs w:val="22"/>
        </w:rPr>
        <w:t xml:space="preserve"> Uses the same ML mechanism that already decides "the right time" to surface a talabat pro or talabat Rewards offer (TLB-023, page 8) to prioritize Egypt customers along the documented Food → Grocery &amp; Retail → talabat pro journey (TLB-013, page 6) — the same customer-journey logic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§3.4 identifies as a clear, MECE-complementary opportunity. </w:t>
      </w:r>
      <w:r>
        <w:rPr>
          <w:rFonts w:ascii="Calibri" w:cs="Calibri" w:eastAsia="Calibri" w:hAnsi="Calibri"/>
          <w:b/>
          <w:bCs/>
          <w:i w:val="false"/>
          <w:iCs w:val="false"/>
          <w:color w:val="1A1A1A"/>
          <w:sz w:val="22"/>
          <w:szCs w:val="22"/>
        </w:rPr>
        <w:t xml:space="preserve">Benefit:</w:t>
      </w:r>
      <w:r>
        <w:rPr>
          <w:rFonts w:ascii="Calibri" w:cs="Calibri" w:eastAsia="Calibri" w:hAnsi="Calibri"/>
          <w:b w:val="false"/>
          <w:bCs w:val="false"/>
          <w:i w:val="false"/>
          <w:iCs w:val="false"/>
          <w:color w:val="1A1A1A"/>
          <w:sz w:val="22"/>
          <w:szCs w:val="22"/>
        </w:rPr>
        <w:t xml:space="preserve"> deeper multi-vertical engagement, which the corpus shows correlates with materially higher retention at the Group level (+16pp to +20pp M1 retention, TLB-019, page 10 — Group-level, not yet Egypt-proven; see Weaknesses discussion in Section 3).</w:t>
      </w:r>
    </w:p>
    <w:p>
      <w:pPr>
        <w:pStyle w:val="ListParagraph"/>
        <w:numPr>
          <w:ilvl w:val="0"/>
          <w:numId w:val="2"/>
        </w:numPr>
        <w:spacing w:after="100" w:before="60" w:line="276"/>
      </w:pPr>
      <w:r>
        <w:rPr>
          <w:rFonts w:ascii="Calibri" w:cs="Calibri" w:eastAsia="Calibri" w:hAnsi="Calibri"/>
          <w:b/>
          <w:bCs/>
          <w:i w:val="false"/>
          <w:iCs w:val="false"/>
          <w:color w:val="1A1A1A"/>
          <w:sz w:val="22"/>
          <w:szCs w:val="22"/>
        </w:rPr>
        <w:t xml:space="preserve">Deepened adtech-embedded personalisation for Egypt.</w:t>
      </w:r>
      <w:r>
        <w:rPr>
          <w:rFonts w:ascii="Calibri" w:cs="Calibri" w:eastAsia="Calibri" w:hAnsi="Calibri"/>
          <w:b w:val="false"/>
          <w:bCs w:val="false"/>
          <w:i w:val="false"/>
          <w:iCs w:val="false"/>
          <w:color w:val="1A1A1A"/>
          <w:sz w:val="22"/>
          <w:szCs w:val="22"/>
        </w:rPr>
        <w:t xml:space="preserve"> Extends the Group's stated 2026 ambition to deepen AI "particularly within our rapidly growing adtech business" (TLB-002, page 10) to Egypt's Partner base, echoing GEMs — talabat's existing AI-supported Partner-facing win-back tool for "low/declining customer acquisition or retention rates" (TLB-026, page 138) — but applied to a market whose AdTech penetration is currently unmeasured. </w:t>
      </w:r>
      <w:r>
        <w:rPr>
          <w:rFonts w:ascii="Calibri" w:cs="Calibri" w:eastAsia="Calibri" w:hAnsi="Calibri"/>
          <w:b/>
          <w:bCs/>
          <w:i w:val="false"/>
          <w:iCs w:val="false"/>
          <w:color w:val="1A1A1A"/>
          <w:sz w:val="22"/>
          <w:szCs w:val="22"/>
        </w:rPr>
        <w:t xml:space="preserve">Benefit:</w:t>
      </w:r>
      <w:r>
        <w:rPr>
          <w:rFonts w:ascii="Calibri" w:cs="Calibri" w:eastAsia="Calibri" w:hAnsi="Calibri"/>
          <w:b w:val="false"/>
          <w:bCs w:val="false"/>
          <w:i w:val="false"/>
          <w:iCs w:val="false"/>
          <w:color w:val="1A1A1A"/>
          <w:sz w:val="22"/>
          <w:szCs w:val="22"/>
        </w:rPr>
        <w:t xml:space="preserve"> longer-run monetization headroom against the Group's own ~7%-of-GMV medium-term AdTech benchmark (already reached in the UAE for talabat mart specifically), on top of the retention benefit.</w:t>
      </w:r>
    </w:p>
    <w:p>
      <w:pPr>
        <w:spacing w:after="160" w:before="120" w:line="276"/>
      </w:pPr>
      <w:r>
        <w:rPr>
          <w:rFonts w:ascii="Calibri" w:cs="Calibri" w:eastAsia="Calibri" w:hAnsi="Calibri"/>
          <w:b/>
          <w:bCs/>
          <w:i w:val="false"/>
          <w:iCs w:val="false"/>
          <w:color w:val="1A1A1A"/>
          <w:sz w:val="22"/>
          <w:szCs w:val="22"/>
        </w:rPr>
        <w:t xml:space="preserve">Why this is lower-risk than inventing a new capability:</w:t>
      </w:r>
      <w:r>
        <w:rPr>
          <w:rFonts w:ascii="Calibri" w:cs="Calibri" w:eastAsia="Calibri" w:hAnsi="Calibri"/>
          <w:b w:val="false"/>
          <w:bCs w:val="false"/>
          <w:i w:val="false"/>
          <w:iCs w:val="false"/>
          <w:color w:val="1A1A1A"/>
          <w:sz w:val="22"/>
          <w:szCs w:val="22"/>
        </w:rPr>
        <w:t xml:space="preserve"> all three items are things talabat has already funded, evidenced, and (in the first case) partly shipped elsewhere — this plan is not asking the business to build new AI infrastructure, only to prioritize Egypt in a rollout sequence it has already committed capital to via the 2026 Everyday App programme (</w:t>
      </w:r>
      <w:r>
        <w:rPr>
          <w:rFonts w:ascii="Calibri" w:cs="Calibri" w:eastAsia="Calibri" w:hAnsi="Calibri"/>
          <w:b w:val="false"/>
          <w:bCs w:val="false"/>
          <w:i w:val="false"/>
          <w:iCs w:val="false"/>
          <w:color w:val="1A1A1A"/>
          <w:sz w:val="22"/>
          <w:szCs w:val="22"/>
        </w:rPr>
        <w:t xml:space="preserve">Growth Strategy</w:t>
      </w:r>
      <w:r>
        <w:rPr>
          <w:rFonts w:ascii="Calibri" w:cs="Calibri" w:eastAsia="Calibri" w:hAnsi="Calibri"/>
          <w:b w:val="false"/>
          <w:bCs w:val="false"/>
          <w:i w:val="false"/>
          <w:iCs w:val="false"/>
          <w:color w:val="1A1A1A"/>
          <w:sz w:val="22"/>
          <w:szCs w:val="22"/>
        </w:rPr>
        <w:t xml:space="preserve">). This framing is carried into Section 5's build/buy/partner analysis, which should evaluate "extend existing models to Egypt" against build-from-scratch alternatives rather than treating the choice as open.</w:t>
      </w:r>
    </w:p>
    <w:p>
      <w:pPr>
        <w:pStyle w:val="Heading2"/>
        <w:spacing w:after="120" w:before="280"/>
      </w:pPr>
      <w:r>
        <w:t xml:space="preserve">2.5 Business Model</w:t>
      </w:r>
    </w:p>
    <w:p>
      <w:pPr>
        <w:spacing w:after="160" w:before="120" w:line="276"/>
      </w:pPr>
      <w:r>
        <w:rPr>
          <w:rFonts w:ascii="Calibri" w:cs="Calibri" w:eastAsia="Calibri" w:hAnsi="Calibri"/>
          <w:b w:val="false"/>
          <w:bCs w:val="false"/>
          <w:i w:val="false"/>
          <w:iCs w:val="false"/>
          <w:color w:val="1A1A1A"/>
          <w:sz w:val="22"/>
          <w:szCs w:val="22"/>
        </w:rPr>
        <w:t xml:space="preserve">This is not a new externally-sold product — talabat does not license AI recommendation or personalisation capability to third parties in the corpus. It is an </w:t>
      </w:r>
      <w:r>
        <w:rPr>
          <w:rFonts w:ascii="Calibri" w:cs="Calibri" w:eastAsia="Calibri" w:hAnsi="Calibri"/>
          <w:b/>
          <w:bCs/>
          <w:i w:val="false"/>
          <w:iCs w:val="false"/>
          <w:color w:val="1A1A1A"/>
          <w:sz w:val="22"/>
          <w:szCs w:val="22"/>
        </w:rPr>
        <w:t xml:space="preserve">internal capability</w:t>
      </w:r>
      <w:r>
        <w:rPr>
          <w:rFonts w:ascii="Calibri" w:cs="Calibri" w:eastAsia="Calibri" w:hAnsi="Calibri"/>
          <w:b w:val="false"/>
          <w:bCs w:val="false"/>
          <w:i w:val="false"/>
          <w:iCs w:val="false"/>
          <w:color w:val="1A1A1A"/>
          <w:sz w:val="22"/>
          <w:szCs w:val="22"/>
        </w:rPr>
        <w:t xml:space="preserve"> (per the template's own category options), embedded into talabat's existing four-layer Egypt monetization system (</w:t>
      </w:r>
      <w:r>
        <w:rPr>
          <w:rFonts w:ascii="Calibri" w:cs="Calibri" w:eastAsia="Calibri" w:hAnsi="Calibri"/>
          <w:b w:val="false"/>
          <w:bCs w:val="false"/>
          <w:i w:val="false"/>
          <w:iCs w:val="false"/>
          <w:color w:val="1A1A1A"/>
          <w:sz w:val="22"/>
          <w:szCs w:val="22"/>
        </w:rPr>
        <w:t xml:space="preserve">How Talabat Creates Value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Revenue Model</w:t>
      </w:r>
      <w:r>
        <w:rPr>
          <w:rFonts w:ascii="Calibri" w:cs="Calibri" w:eastAsia="Calibri" w:hAnsi="Calibri"/>
          <w:b w:val="false"/>
          <w:bCs w:val="false"/>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Commission fees</w:t>
      </w:r>
      <w:r>
        <w:rPr>
          <w:rFonts w:ascii="Calibri" w:cs="Calibri" w:eastAsia="Calibri" w:hAnsi="Calibri"/>
          <w:b w:val="false"/>
          <w:bCs w:val="false"/>
          <w:i w:val="false"/>
          <w:iCs w:val="false"/>
          <w:color w:val="1A1A1A"/>
          <w:sz w:val="22"/>
          <w:szCs w:val="22"/>
        </w:rPr>
        <w:t xml:space="preserve"> benefit indirectly — better-timed, more relevant offers protect existing order-volume revenue against the "churn to competition" risk named in TLB-002.</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Delivery/service fees</w:t>
      </w:r>
      <w:r>
        <w:rPr>
          <w:rFonts w:ascii="Calibri" w:cs="Calibri" w:eastAsia="Calibri" w:hAnsi="Calibri"/>
          <w:b w:val="false"/>
          <w:bCs w:val="false"/>
          <w:i w:val="false"/>
          <w:iCs w:val="false"/>
          <w:color w:val="1A1A1A"/>
          <w:sz w:val="22"/>
          <w:szCs w:val="22"/>
        </w:rPr>
        <w:t xml:space="preserve"> benefit indirectly for the same reason — order-volume protection carries through to this line exactly as it does to commission, since both scale with the same order.</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Subscription (talabat pro)</w:t>
      </w:r>
      <w:r>
        <w:rPr>
          <w:rFonts w:ascii="Calibri" w:cs="Calibri" w:eastAsia="Calibri" w:hAnsi="Calibri"/>
          <w:b w:val="false"/>
          <w:bCs w:val="false"/>
          <w:i w:val="false"/>
          <w:iCs w:val="false"/>
          <w:color w:val="1A1A1A"/>
          <w:sz w:val="22"/>
          <w:szCs w:val="22"/>
        </w:rPr>
        <w:t xml:space="preserve"> is the most direct beneficiary — the same ML mechanism this plan proposes extending to Egypt already decides when to surface a talabat pro offer, and subscription is documented as "monetized twice" (a direct fee plus a 20–28% order-frequency uplift that feeds commission and delivery-fee volume, TLB-001 page 18, TLB-015 page 78 — Group/GCC-level, not yet Egypt-proven, since talabat pro launched in Egypt only in February 2025).</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Advertising &amp; listing fees</w:t>
      </w:r>
      <w:r>
        <w:rPr>
          <w:rFonts w:ascii="Calibri" w:cs="Calibri" w:eastAsia="Calibri" w:hAnsi="Calibri"/>
          <w:b w:val="false"/>
          <w:bCs w:val="false"/>
          <w:i w:val="false"/>
          <w:iCs w:val="false"/>
          <w:color w:val="1A1A1A"/>
          <w:sz w:val="22"/>
          <w:szCs w:val="22"/>
        </w:rPr>
        <w:t xml:space="preserve"> are the slowest-maturing, longest-horizon beneficiary — deepened adtech-embedded personalisation is explicitly the mechanism the corpus already uses (GEMs) to help Partners win back customers, and Egypt's AdTech line is currently unmeasured against the Group's ~7%-of-GMV benchmark.</w:t>
      </w:r>
    </w:p>
    <w:p>
      <w:pPr>
        <w:spacing w:after="160" w:before="120" w:line="276"/>
      </w:pPr>
      <w:r>
        <w:rPr>
          <w:rFonts w:ascii="Calibri" w:cs="Calibri" w:eastAsia="Calibri" w:hAnsi="Calibri"/>
          <w:b w:val="false"/>
          <w:bCs w:val="false"/>
          <w:i w:val="false"/>
          <w:iCs w:val="false"/>
          <w:color w:val="1A1A1A"/>
          <w:sz w:val="22"/>
          <w:szCs w:val="22"/>
        </w:rPr>
        <w:t xml:space="preserve">There is no new pricing strategy, subscription tier, or standalone revenue line being proposed — the model monetizes exactly as talabat's four existing streams already do, and the plan's financial case (Section 9) should be built as a mix-shift and retention-protection argument on top of those streams, not as a new product P&amp;L.</w:t>
      </w:r>
    </w:p>
    <w:p>
      <w:pPr>
        <w:pStyle w:val="Heading2"/>
        <w:spacing w:after="120" w:before="280"/>
      </w:pPr>
      <w:r>
        <w:t xml:space="preserve">2.6 Current Business Stage</w:t>
      </w:r>
    </w:p>
    <w:p>
      <w:pPr>
        <w:spacing w:after="160" w:before="120" w:line="276"/>
      </w:pPr>
      <w:r>
        <w:rPr>
          <w:rFonts w:ascii="Calibri" w:cs="Calibri" w:eastAsia="Calibri" w:hAnsi="Calibri"/>
          <w:b w:val="false"/>
          <w:bCs w:val="false"/>
          <w:i w:val="false"/>
          <w:iCs w:val="false"/>
          <w:color w:val="1A1A1A"/>
          <w:sz w:val="22"/>
          <w:szCs w:val="22"/>
        </w:rPr>
        <w:t xml:space="preserve">Business stage must be read at three distinct levels, since they are not the same: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talabat Group:</w:t>
      </w:r>
      <w:r>
        <w:rPr>
          <w:rFonts w:ascii="Calibri" w:cs="Calibri" w:eastAsia="Calibri" w:hAnsi="Calibri"/>
          <w:b w:val="false"/>
          <w:bCs w:val="false"/>
          <w:i w:val="false"/>
          <w:iCs w:val="false"/>
          <w:color w:val="1A1A1A"/>
          <w:sz w:val="22"/>
          <w:szCs w:val="22"/>
        </w:rPr>
        <w:t xml:space="preserve"> established, publicly disclosed (post-IPO) company, operating profitably across 8 markets.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talabat Egypt (the segment):</w:t>
      </w:r>
      <w:r>
        <w:rPr>
          <w:rFonts w:ascii="Calibri" w:cs="Calibri" w:eastAsia="Calibri" w:hAnsi="Calibri"/>
          <w:b w:val="false"/>
          <w:bCs w:val="false"/>
          <w:i w:val="false"/>
          <w:iCs w:val="false"/>
          <w:color w:val="1A1A1A"/>
          <w:sz w:val="22"/>
          <w:szCs w:val="22"/>
        </w:rPr>
        <w:t xml:space="preserve"> scale-up — Egypt became a standalone, IFRS 8-qualifying reportable segment only with FY2025 results, swinging from near-breakeven (Q1 2025: USD 0.5m profit before tax) to solidly profitable (Q1 2026: USD 9.4m) within a year (</w:t>
      </w:r>
      <w:r>
        <w:rPr>
          <w:rFonts w:ascii="Calibri" w:cs="Calibri" w:eastAsia="Calibri" w:hAnsi="Calibri"/>
          <w:b w:val="false"/>
          <w:bCs w:val="false"/>
          <w:i w:val="false"/>
          <w:iCs w:val="false"/>
          <w:color w:val="1A1A1A"/>
          <w:sz w:val="22"/>
          <w:szCs w:val="22"/>
        </w:rPr>
        <w:t xml:space="preserve">Segment Reporting</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Egypt</w:t>
      </w:r>
      <w:r>
        <w:rPr>
          <w:rFonts w:ascii="Calibri" w:cs="Calibri" w:eastAsia="Calibri" w:hAnsi="Calibri"/>
          <w:b w:val="false"/>
          <w:bCs w:val="false"/>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The proposed AI-roadmap-extension initiative itself:</w:t>
      </w:r>
      <w:r>
        <w:rPr>
          <w:rFonts w:ascii="Calibri" w:cs="Calibri" w:eastAsia="Calibri" w:hAnsi="Calibri"/>
          <w:b w:val="false"/>
          <w:bCs w:val="false"/>
          <w:i w:val="false"/>
          <w:iCs w:val="false"/>
          <w:color w:val="1A1A1A"/>
          <w:sz w:val="22"/>
          <w:szCs w:val="22"/>
        </w:rPr>
        <w:t xml:space="preserve"> pre-deployment. One of its three component capabilities (item-level recommendation ranking) has shipped at Group level but is not confirmed live in Egypt; the other two (cross-sell timing/incentive optimisation, deepened adtech personalisation) are named Group-level roadmap ambitions with no disclosed deployment anywhere yet, Egypt included (</w:t>
      </w:r>
      <w:r>
        <w:rPr>
          <w:rFonts w:ascii="Calibri" w:cs="Calibri" w:eastAsia="Calibri" w:hAnsi="Calibri"/>
          <w:b w:val="false"/>
          <w:bCs w:val="false"/>
          <w:i w:val="false"/>
          <w:iCs w:val="false"/>
          <w:color w:val="1A1A1A"/>
          <w:sz w:val="22"/>
          <w:szCs w:val="22"/>
        </w:rPr>
        <w:t xml:space="preserve">AI Opportunities</w:t>
      </w:r>
      <w:r>
        <w:rPr>
          <w:rFonts w:ascii="Calibri" w:cs="Calibri" w:eastAsia="Calibri" w:hAnsi="Calibri"/>
          <w:b w:val="false"/>
          <w:bCs w:val="false"/>
          <w:i w:val="false"/>
          <w:iCs w:val="false"/>
          <w:color w:val="1A1A1A"/>
          <w:sz w:val="22"/>
          <w:szCs w:val="22"/>
        </w:rPr>
        <w:t xml:space="preserve"> Open Questions). This plan is proposing to move Egypt from "not yet in the rollout sequence" to "first/priority market," not to launch a capability that does not exist at all.</w:t>
      </w:r>
    </w:p>
    <w:p>
      <w:pPr>
        <w:sectPr>
          <w:headerReference w:type="default" r:id="rId13"/>
          <w:footerReference w:type="default" r:id="rId14"/>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3. Market Analysis</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Talabat already holds the leading category position in Egypt's food-delivery market by every measure the corpus discloses — but that position rests on scale and infrastructure that a well-funded new wave of Egyptian q-commerce specialists (Breadfast, Rabbit) and a lower-commission incumbent (elmenus) are now contesting, precisely as Egypt has just become large enough (its largest user base, 3rd-largest market by GMV, and — as of FY2025 — a standalone profitable segment) and mature enough (talabat pro live in Egypt for roughly a year) for a loyalty-driven retention strategy to compound. Egypt's addressable market is large and growing (foodservice sized at USD 10.35–11.83bn, delivery its fastest-growing slice at 14.52% CAGR) but consumer economics are stressed by inflation and EGP devaluation, which raises the value of retention (cheaper than acquisition) relative to discount-led growth. The 20% of the customer base that matters most — talabat pro subscribers and multi-vertical users — already drives a disproportionate share of engagement at the Group level; Egypt's version of that segment is still nascent, which is both the risk (an unproven lever) and the opportunity (the largest remaining untapped upside in the portfolio) this plan is built around.</w:t>
      </w:r>
    </w:p>
    <w:p>
      <w:pPr>
        <w:pStyle w:val="Heading2"/>
        <w:spacing w:after="120" w:before="280"/>
      </w:pPr>
      <w:r>
        <w:t xml:space="preserve">3.1 Industry Trends</w:t>
      </w:r>
    </w:p>
    <w:p>
      <w:pPr>
        <w:spacing w:after="160" w:before="120" w:line="276"/>
      </w:pPr>
      <w:r>
        <w:rPr>
          <w:rFonts w:ascii="Calibri" w:cs="Calibri" w:eastAsia="Calibri" w:hAnsi="Calibri"/>
          <w:b/>
          <w:bCs/>
          <w:i w:val="false"/>
          <w:iCs w:val="false"/>
          <w:color w:val="1A1A1A"/>
          <w:sz w:val="22"/>
          <w:szCs w:val="22"/>
        </w:rPr>
        <w:t xml:space="preserve">Market size — top-down and bottom-up, reconciled where possible, explicitly flagged where it cannot be (per </w:t>
      </w:r>
      <w:r>
        <w:rPr>
          <w:rFonts w:ascii="Calibri" w:cs="Calibri" w:eastAsia="Calibri" w:hAnsi="Calibri"/>
          <w:b/>
          <w:bCs/>
          <w:i w:val="false"/>
          <w:iCs w:val="false"/>
          <w:color w:val="1A1A1A"/>
          <w:sz w:val="22"/>
          <w:szCs w:val="22"/>
        </w:rPr>
        <w:t xml:space="preserve">DEC-002</w:t>
      </w:r>
      <w:r>
        <w:rPr>
          <w:rFonts w:ascii="Calibri" w:cs="Calibri" w:eastAsia="Calibri" w:hAnsi="Calibri"/>
          <w:b/>
          <w:bCs/>
          <w:i w:val="false"/>
          <w:iCs w:val="false"/>
          <w:color w:val="1A1A1A"/>
          <w:sz w:val="22"/>
          <w:szCs w:val="22"/>
        </w:rPr>
        <w:t xml:space="preserve"> / </w:t>
      </w:r>
      <w:r>
        <w:rPr>
          <w:rFonts w:ascii="Consolas" w:cs="Consolas" w:eastAsia="Consolas" w:hAnsi="Consolas"/>
          <w:b/>
          <w:bCs/>
          <w:i w:val="false"/>
          <w:iCs w:val="false"/>
          <w:color w:val="1A1A1A"/>
          <w:sz w:val="22"/>
          <w:szCs w:val="22"/>
        </w:rPr>
        <w:t xml:space="preserve">ASM-003</w:t>
      </w:r>
      <w:r>
        <w:rPr>
          <w:rFonts w:ascii="Calibri" w:cs="Calibri" w:eastAsia="Calibri" w:hAnsi="Calibri"/>
          <w:b/>
          <w:bCs/>
          <w:i w:val="false"/>
          <w:iCs w:val="false"/>
          <w:color w:val="1A1A1A"/>
          <w:sz w:val="22"/>
          <w:szCs w:val="22"/>
        </w:rPr>
        <w:t xml:space="preserve">):</w:t>
      </w:r>
    </w:p>
    <w:p>
      <w:pPr>
        <w:spacing w:after="160" w:before="120" w:line="276"/>
      </w:pPr>
      <w:r>
        <w:rPr>
          <w:rFonts w:ascii="Calibri" w:cs="Calibri" w:eastAsia="Calibri" w:hAnsi="Calibri"/>
          <w:b w:val="false"/>
          <w:bCs w:val="false"/>
          <w:i w:val="false"/>
          <w:iCs w:val="false"/>
          <w:color w:val="1A1A1A"/>
          <w:sz w:val="22"/>
          <w:szCs w:val="22"/>
        </w:rPr>
        <w:t xml:space="preserve">Three figures exist for "the Egypt market," measuring three different things, and this plan does not force them into one number:</w:t>
      </w:r>
    </w:p>
    <w:p>
      <w:pPr>
        <w:spacing w:after="40" w:before="60"/>
      </w:pPr>
      <w:r>
        <w:rPr>
          <w:rFonts w:ascii="Calibri" w:cs="Calibri" w:eastAsia="Calibri" w:hAnsi="Calibri"/>
          <w:b/>
          <w:bCs/>
          <w:i/>
          <w:iCs/>
          <w:color w:val="595959"/>
          <w:sz w:val="18"/>
          <w:szCs w:val="18"/>
        </w:rPr>
        <w:t xml:space="preserve">Table 1.</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72"/>
        <w:gridCol w:w="1872"/>
        <w:gridCol w:w="1872"/>
        <w:gridCol w:w="1872"/>
        <w:gridCol w:w="1872"/>
      </w:tblGrid>
      <w:tr>
        <w:trPr>
          <w:tblHeader/>
        </w:trPr>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Leg</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Figure</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Definition</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Source</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Tier</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Bottom-up (company-actual)</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USD 509.9m</w:t>
            </w:r>
            <w:r>
              <w:rPr>
                <w:rFonts w:ascii="Calibri" w:cs="Calibri" w:eastAsia="Calibri" w:hAnsi="Calibri"/>
                <w:b w:val="false"/>
                <w:bCs w:val="false"/>
                <w:i w:val="false"/>
                <w:iCs w:val="false"/>
                <w:color w:val="1A1A1A"/>
                <w:sz w:val="18"/>
                <w:szCs w:val="18"/>
              </w:rPr>
              <w:t xml:space="preserve"> FY2025 Egypt segment revenue (USD 145.3m Q1 2026 alone, +81% YoY)</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talabat's own disclosed revenue (its take, not GMV or market size)</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TLB-002, TLB-008, TLB-010</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Primary disclosed (High confidence)</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Top-down ceiling</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USD 10.35bn (2025) → USD 11.83bn (2026) → USD 23.1bn (2031)</w:t>
            </w:r>
            <w:r>
              <w:rPr>
                <w:rFonts w:ascii="Calibri" w:cs="Calibri" w:eastAsia="Calibri" w:hAnsi="Calibri"/>
                <w:b w:val="false"/>
                <w:bCs w:val="false"/>
                <w:i w:val="false"/>
                <w:iCs w:val="false"/>
                <w:color w:val="1A1A1A"/>
                <w:sz w:val="18"/>
                <w:szCs w:val="18"/>
              </w:rPr>
              <w:t xml:space="preserve">, 14.32% CAGR; delivery the fastest-growing service type within it at </w:t>
            </w:r>
            <w:r>
              <w:rPr>
                <w:rFonts w:ascii="Calibri" w:cs="Calibri" w:eastAsia="Calibri" w:hAnsi="Calibri"/>
                <w:b/>
                <w:bCs/>
                <w:i w:val="false"/>
                <w:iCs w:val="false"/>
                <w:color w:val="1A1A1A"/>
                <w:sz w:val="18"/>
                <w:szCs w:val="18"/>
              </w:rPr>
              <w:t xml:space="preserve">14.52% CAGR</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Total Egypt foodservice spend (dine-in + delivery + takeaway)</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Mordor Intelligence, </w:t>
            </w:r>
            <w:r>
              <w:rPr>
                <w:rFonts w:ascii="Consolas" w:cs="Consolas" w:eastAsia="Consolas" w:hAnsi="Consolas"/>
                <w:b w:val="false"/>
                <w:bCs w:val="false"/>
                <w:i w:val="false"/>
                <w:iCs w:val="false"/>
                <w:color w:val="1A1A1A"/>
                <w:sz w:val="18"/>
                <w:szCs w:val="18"/>
              </w:rPr>
              <w:t xml:space="preserve">ASM-003</w:t>
            </w:r>
            <w:r>
              <w:rPr>
                <w:rFonts w:ascii="Calibri" w:cs="Calibri" w:eastAsia="Calibri" w:hAnsi="Calibri"/>
                <w:b w:val="false"/>
                <w:bCs w:val="false"/>
                <w:i w:val="false"/>
                <w:iCs w:val="false"/>
                <w:color w:val="1A1A1A"/>
                <w:sz w:val="18"/>
                <w:szCs w:val="18"/>
              </w:rPr>
              <w:t xml:space="preserve"> / RES-003</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Secondary reputable (Medium confidence)</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Reference only, flagged inconsistent</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542.9m (2025) → USD 827.2m (2034), 4.55% CAGR</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"Online food delivery" market, narrower definition</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IMARC Group, </w:t>
            </w:r>
            <w:r>
              <w:rPr>
                <w:rFonts w:ascii="Consolas" w:cs="Consolas" w:eastAsia="Consolas" w:hAnsi="Consolas"/>
                <w:b w:val="false"/>
                <w:bCs w:val="false"/>
                <w:i w:val="false"/>
                <w:iCs w:val="false"/>
                <w:color w:val="1A1A1A"/>
                <w:sz w:val="18"/>
                <w:szCs w:val="18"/>
              </w:rPr>
              <w:t xml:space="preserve">ASM-003</w:t>
            </w:r>
            <w:r>
              <w:rPr>
                <w:rFonts w:ascii="Calibri" w:cs="Calibri" w:eastAsia="Calibri" w:hAnsi="Calibri"/>
                <w:b w:val="false"/>
                <w:bCs w:val="false"/>
                <w:i w:val="false"/>
                <w:iCs w:val="false"/>
                <w:color w:val="1A1A1A"/>
                <w:sz w:val="18"/>
                <w:szCs w:val="18"/>
              </w:rPr>
              <w:t xml:space="preserve"> / RES-002</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Secondary reputable (Medium, flagged)</w:t>
            </w:r>
          </w:p>
        </w:tc>
      </w:tr>
    </w:tbl>
    <w:p>
      <w:pPr>
        <w:spacing w:after="160" w:before="120" w:line="276"/>
      </w:pPr>
      <w:r>
        <w:rPr>
          <w:rFonts w:ascii="Calibri" w:cs="Calibri" w:eastAsia="Calibri" w:hAnsi="Calibri"/>
          <w:b w:val="false"/>
          <w:bCs w:val="false"/>
          <w:i w:val="false"/>
          <w:iCs w:val="false"/>
          <w:color w:val="1A1A1A"/>
          <w:sz w:val="22"/>
          <w:szCs w:val="22"/>
        </w:rPr>
        <w:t xml:space="preserve">The IMARC figure cannot be reconciled with talabat's own disclosed Egypt revenue: a single platform's revenue (a commission/fee take, smaller than GMV) of USD 509.9m is arithmetically implausible against an entire multi-competitor market IMARC sizes at only USD 542.9m — IMARC's own overview page concedes its figure "appear[s] conservative" against talabat's disclosed growth. This plan therefore uses talabat's own disclosed Egypt revenue as the bottom-up anchor and Mordor's broader foodservice figure as the top-down addressable-market ceiling (with its delivery-specific growth rate as the more relevant comparator), and cites IMARC only as a labeled lower-bound reference — not as the plan's headline top-down number. This reconciliation logic and its rationale are recorded in full in </w:t>
      </w:r>
      <w:r>
        <w:rPr>
          <w:rFonts w:ascii="Calibri" w:cs="Calibri" w:eastAsia="Calibri" w:hAnsi="Calibri"/>
          <w:b w:val="false"/>
          <w:bCs w:val="false"/>
          <w:i w:val="false"/>
          <w:iCs w:val="false"/>
          <w:color w:val="1A1A1A"/>
          <w:sz w:val="22"/>
          <w:szCs w:val="22"/>
        </w:rPr>
        <w:t xml:space="preserve">DEC-002 egypt-market-size-definition</w:t>
      </w:r>
      <w:r>
        <w:rPr>
          <w:rFonts w:ascii="Calibri" w:cs="Calibri" w:eastAsia="Calibri" w:hAnsi="Calibri"/>
          <w:b w:val="false"/>
          <w:bCs w:val="false"/>
          <w:i w:val="false"/>
          <w:iCs w:val="false"/>
          <w:color w:val="1A1A1A"/>
          <w:sz w:val="22"/>
          <w:szCs w:val="22"/>
        </w:rPr>
        <w:t xml:space="preserve">.</w:t>
      </w:r>
    </w:p>
    <w:p>
      <w:pPr>
        <w:spacing w:after="160" w:before="120" w:line="276"/>
      </w:pPr>
      <w:r>
        <w:rPr>
          <w:rFonts w:ascii="Calibri" w:cs="Calibri" w:eastAsia="Calibri" w:hAnsi="Calibri"/>
          <w:b/>
          <w:bCs/>
          <w:i w:val="false"/>
          <w:iCs w:val="false"/>
          <w:color w:val="1A1A1A"/>
          <w:sz w:val="22"/>
          <w:szCs w:val="22"/>
        </w:rPr>
        <w:t xml:space="preserve">Macro context (Mordor, RES-003):</w:t>
      </w:r>
      <w:r>
        <w:rPr>
          <w:rFonts w:ascii="Calibri" w:cs="Calibri" w:eastAsia="Calibri" w:hAnsi="Calibri"/>
          <w:b w:val="false"/>
          <w:bCs w:val="false"/>
          <w:i w:val="false"/>
          <w:iCs w:val="false"/>
          <w:color w:val="1A1A1A"/>
          <w:sz w:val="22"/>
          <w:szCs w:val="22"/>
        </w:rPr>
        <w:t xml:space="preserve"> food inflation and EGP depreciation are the defining constraint on the addressable market — F&amp;B prices +71.9% y/y cited, restaurant-services inflation 49.5%, following the March 2024 exchange-rate unification (a 38% devaluation); Mordor estimates this restraint alone costs the category CAGR an estimated −3.8 percentage points. This matters directly for a retention strategy: in an inflation-stressed market, retaining an existing customer (via loyalty/personalization) is structurally cheaper than acquiring a new one through discounting, reinforcing management's own stated preference for customer-value-proposition (CVP) investment over price competition (TLB-020, page 16; see §3.3).</w:t>
      </w:r>
    </w:p>
    <w:p>
      <w:pPr>
        <w:spacing w:after="160" w:before="120" w:line="276"/>
      </w:pPr>
      <w:r>
        <w:rPr>
          <w:rFonts w:ascii="Calibri" w:cs="Calibri" w:eastAsia="Calibri" w:hAnsi="Calibri"/>
          <w:b/>
          <w:bCs/>
          <w:i w:val="false"/>
          <w:iCs w:val="false"/>
          <w:color w:val="1A1A1A"/>
          <w:sz w:val="22"/>
          <w:szCs w:val="22"/>
        </w:rPr>
        <w:t xml:space="preserve">AI adoption trend, in-sector:</w:t>
      </w:r>
      <w:r>
        <w:rPr>
          <w:rFonts w:ascii="Calibri" w:cs="Calibri" w:eastAsia="Calibri" w:hAnsi="Calibri"/>
          <w:b w:val="false"/>
          <w:bCs w:val="false"/>
          <w:i w:val="false"/>
          <w:iCs w:val="false"/>
          <w:color w:val="1A1A1A"/>
          <w:sz w:val="22"/>
          <w:szCs w:val="22"/>
        </w:rPr>
        <w:t xml:space="preserve"> talabat is not a generic adopter of AI but already operates AI infrastructure inside Egypt specifically — the April 2026 inauguration of the largest quick-commerce distribution center in MENA (Cairo–Suez Road, ~27,000 sqm, up to 1 million items/day) runs "in-house AI models [that] forecast demand, optimize stock positioning, and automate replenishment" (official talabat newsroom release, 28 April 2026 — cited here as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/RES-004, explicitly outside the audited primary </w:t>
      </w:r>
      <w:r>
        <w:rPr>
          <w:rFonts w:ascii="Consolas" w:cs="Consolas" w:eastAsia="Consolas" w:hAnsi="Consolas"/>
          <w:b w:val="false"/>
          <w:bCs w:val="false"/>
          <w:i w:val="false"/>
          <w:iCs w:val="false"/>
          <w:color w:val="1A1A1A"/>
          <w:sz w:val="22"/>
          <w:szCs w:val="22"/>
        </w:rPr>
        <w:t xml:space="preserve">TLB-XXX</w:t>
      </w:r>
      <w:r>
        <w:rPr>
          <w:rFonts w:ascii="Calibri" w:cs="Calibri" w:eastAsia="Calibri" w:hAnsi="Calibri"/>
          <w:b w:val="false"/>
          <w:bCs w:val="false"/>
          <w:i w:val="false"/>
          <w:iCs w:val="false"/>
          <w:color w:val="1A1A1A"/>
          <w:sz w:val="22"/>
          <w:szCs w:val="22"/>
        </w:rPr>
        <w:t xml:space="preserve"> corpus and labeled as such). Egypt also hosts a 1,500-person Global Tech and Shared Services hub delivering 74% of talabat's Group-wide shared services and developing 30% of its app features (same source) — a Group-wide contribution, not an Egypt-market statistic, but directly relevant to Section 3's "technological advancements that enable differentiation" requirement: the AI/engineering capability an Egypt retention product would need substantially already exists on the ground in Egypt, which is a build-cost advantage this plan can draw on in Section 5.</w:t>
      </w:r>
    </w:p>
    <w:p>
      <w:pPr>
        <w:pStyle w:val="Heading2"/>
        <w:spacing w:after="120" w:before="280"/>
      </w:pPr>
      <w:r>
        <w:t xml:space="preserve">3.2 Target Market</w:t>
      </w:r>
    </w:p>
    <w:p>
      <w:pPr>
        <w:spacing w:after="160" w:before="120" w:line="276"/>
      </w:pPr>
      <w:r>
        <w:rPr>
          <w:rFonts w:ascii="Calibri" w:cs="Calibri" w:eastAsia="Calibri" w:hAnsi="Calibri"/>
          <w:b/>
          <w:bCs/>
          <w:i w:val="false"/>
          <w:iCs w:val="false"/>
          <w:color w:val="1A1A1A"/>
          <w:sz w:val="22"/>
          <w:szCs w:val="22"/>
        </w:rPr>
        <w:t xml:space="preserve">MECE segmentation.</w:t>
      </w:r>
      <w:r>
        <w:rPr>
          <w:rFonts w:ascii="Calibri" w:cs="Calibri" w:eastAsia="Calibri" w:hAnsi="Calibri"/>
          <w:b w:val="false"/>
          <w:bCs w:val="false"/>
          <w:i w:val="false"/>
          <w:iCs w:val="false"/>
          <w:color w:val="1A1A1A"/>
          <w:sz w:val="22"/>
          <w:szCs w:val="22"/>
        </w:rPr>
        <w:t xml:space="preserve"> talabat's own strategic language (not this plan's invention) already segments customers into three value tiers: </w:t>
      </w:r>
      <w:r>
        <w:rPr>
          <w:rFonts w:ascii="Calibri" w:cs="Calibri" w:eastAsia="Calibri" w:hAnsi="Calibri"/>
          <w:b/>
          <w:bCs/>
          <w:i w:val="false"/>
          <w:iCs w:val="false"/>
          <w:color w:val="1A1A1A"/>
          <w:sz w:val="22"/>
          <w:szCs w:val="22"/>
        </w:rPr>
        <w:t xml:space="preserve">high-value, medium-value, and non-high-value/lower-value</w:t>
      </w:r>
      <w:r>
        <w:rPr>
          <w:rFonts w:ascii="Calibri" w:cs="Calibri" w:eastAsia="Calibri" w:hAnsi="Calibri"/>
          <w:b w:val="false"/>
          <w:bCs w:val="false"/>
          <w:i w:val="false"/>
          <w:iCs w:val="false"/>
          <w:color w:val="1A1A1A"/>
          <w:sz w:val="22"/>
          <w:szCs w:val="22"/>
        </w:rPr>
        <w:t xml:space="preserve"> customers (TLB-002, page 14: "retain high and medium value customers against partial or complete churn to competition"; TLB-011, page 2; TLB-014, page 19; TLB-019, page 9). This is a valid MECE breakdown for the plan to adopt: every customer, at a given point in time, sits in exactly one value tier (no overlap), and the three tiers exhaust the customer base (no gap). The corpus does not disclose the numeric thresholds (spend or frequency cutoffs) that separate the tiers — this is a genuine gap, flagged here rather than invented; any Egypt-specific tiering thresholds would need to be defined as a labeled, new operational decision when the retention product is built (Section 5/8 territory, not fabricated here).</w:t>
      </w:r>
    </w:p>
    <w:p>
      <w:pPr>
        <w:spacing w:after="160" w:before="120" w:line="276"/>
      </w:pPr>
      <w:r>
        <w:rPr>
          <w:rFonts w:ascii="Calibri" w:cs="Calibri" w:eastAsia="Calibri" w:hAnsi="Calibri"/>
          <w:b w:val="false"/>
          <w:bCs w:val="false"/>
          <w:i w:val="false"/>
          <w:iCs w:val="false"/>
          <w:color w:val="1A1A1A"/>
          <w:sz w:val="22"/>
          <w:szCs w:val="22"/>
        </w:rPr>
        <w:t xml:space="preserve">A second, non-overlapping cut the corpus supports is </w:t>
      </w:r>
      <w:r>
        <w:rPr>
          <w:rFonts w:ascii="Calibri" w:cs="Calibri" w:eastAsia="Calibri" w:hAnsi="Calibri"/>
          <w:b/>
          <w:bCs/>
          <w:i w:val="false"/>
          <w:iCs w:val="false"/>
          <w:color w:val="1A1A1A"/>
          <w:sz w:val="22"/>
          <w:szCs w:val="22"/>
        </w:rPr>
        <w:t xml:space="preserve">subscription status</w:t>
      </w:r>
      <w:r>
        <w:rPr>
          <w:rFonts w:ascii="Calibri" w:cs="Calibri" w:eastAsia="Calibri" w:hAnsi="Calibri"/>
          <w:b w:val="false"/>
          <w:bCs w:val="false"/>
          <w:i w:val="false"/>
          <w:iCs w:val="false"/>
          <w:color w:val="1A1A1A"/>
          <w:sz w:val="22"/>
          <w:szCs w:val="22"/>
        </w:rPr>
        <w:t xml:space="preserve"> (talabat pro subscriber vs. non-subscriber) and </w:t>
      </w:r>
      <w:r>
        <w:rPr>
          <w:rFonts w:ascii="Calibri" w:cs="Calibri" w:eastAsia="Calibri" w:hAnsi="Calibri"/>
          <w:b/>
          <w:bCs/>
          <w:i w:val="false"/>
          <w:iCs w:val="false"/>
          <w:color w:val="1A1A1A"/>
          <w:sz w:val="22"/>
          <w:szCs w:val="22"/>
        </w:rPr>
        <w:t xml:space="preserve">vertical breadth</w:t>
      </w:r>
      <w:r>
        <w:rPr>
          <w:rFonts w:ascii="Calibri" w:cs="Calibri" w:eastAsia="Calibri" w:hAnsi="Calibri"/>
          <w:b w:val="false"/>
          <w:bCs w:val="false"/>
          <w:i w:val="false"/>
          <w:iCs w:val="false"/>
          <w:color w:val="1A1A1A"/>
          <w:sz w:val="22"/>
          <w:szCs w:val="22"/>
        </w:rPr>
        <w:t xml:space="preserve"> (mono-vertical vs. multi-vertical user, i.e. Food-only vs. Food+Grocery&amp;Retail+other). These are useful overlays on the value-tier segmentation, not a competing MECE scheme — a multi-vertical, talabat-pro subscriber is simply a customer who happens to sit in more than one overlay simultaneously, not a fourth mutually exclusive category.</w:t>
      </w:r>
    </w:p>
    <w:p>
      <w:pPr>
        <w:spacing w:after="160" w:before="120" w:line="276"/>
      </w:pPr>
      <w:r>
        <w:rPr>
          <w:rFonts w:ascii="Calibri" w:cs="Calibri" w:eastAsia="Calibri" w:hAnsi="Calibri"/>
          <w:b/>
          <w:bCs/>
          <w:i w:val="false"/>
          <w:iCs w:val="false"/>
          <w:color w:val="1A1A1A"/>
          <w:sz w:val="22"/>
          <w:szCs w:val="22"/>
        </w:rPr>
        <w:t xml:space="preserve">The 20% driving 80% of value.</w:t>
      </w:r>
      <w:r>
        <w:rPr>
          <w:rFonts w:ascii="Calibri" w:cs="Calibri" w:eastAsia="Calibri" w:hAnsi="Calibri"/>
          <w:b w:val="false"/>
          <w:bCs w:val="false"/>
          <w:i w:val="false"/>
          <w:iCs w:val="false"/>
          <w:color w:val="1A1A1A"/>
          <w:sz w:val="22"/>
          <w:szCs w:val="22"/>
        </w:rPr>
        <w:t xml:space="preserve"> At the Group level (not yet Egypt-specific — talabat pro launched in Egypt only in February 2025, per TLB-001), talabat pro subscribers/"ecosystem products" underpin roughly one-quarter of monthly active users but talabat pro subscribers represent around </w:t>
      </w:r>
      <w:r>
        <w:rPr>
          <w:rFonts w:ascii="Calibri" w:cs="Calibri" w:eastAsia="Calibri" w:hAnsi="Calibri"/>
          <w:b/>
          <w:bCs/>
          <w:i w:val="false"/>
          <w:iCs w:val="false"/>
          <w:color w:val="1A1A1A"/>
          <w:sz w:val="22"/>
          <w:szCs w:val="22"/>
        </w:rPr>
        <w:t xml:space="preserve">half of platform GMV</w:t>
      </w:r>
      <w:r>
        <w:rPr>
          <w:rFonts w:ascii="Calibri" w:cs="Calibri" w:eastAsia="Calibri" w:hAnsi="Calibri"/>
          <w:b w:val="false"/>
          <w:bCs w:val="false"/>
          <w:i w:val="false"/>
          <w:iCs w:val="false"/>
          <w:color w:val="1A1A1A"/>
          <w:sz w:val="22"/>
          <w:szCs w:val="22"/>
        </w:rPr>
        <w:t xml:space="preserve"> (TLB-019, page 7; TLB-014, page 14; TLB-020, page 8) — a disclosed, close analog to the 80/20 pattern the template asks for: a minority of the base (~25% of MAUs) already accounts for a majority of value (~50% of GMV). Multi-vertical customers separately "show significantly higher order frequency and retention" than mono-vertical customers (TLB-002, pages 7–8, 12), and mono-vertical subscribers show +16pp M1 retention versus mono-vertical non-subscribers, rising to +20pp for multi-vertical subscribers (TLB-019, page 10). </w:t>
      </w:r>
      <w:r>
        <w:rPr>
          <w:rFonts w:ascii="Calibri" w:cs="Calibri" w:eastAsia="Calibri" w:hAnsi="Calibri"/>
          <w:b/>
          <w:bCs/>
          <w:i w:val="false"/>
          <w:iCs w:val="false"/>
          <w:color w:val="1A1A1A"/>
          <w:sz w:val="22"/>
          <w:szCs w:val="22"/>
        </w:rPr>
        <w:t xml:space="preserve">This is Group-level evidence, not an Egypt-proven figure</w:t>
      </w:r>
      <w:r>
        <w:rPr>
          <w:rFonts w:ascii="Calibri" w:cs="Calibri" w:eastAsia="Calibri" w:hAnsi="Calibri"/>
          <w:b w:val="false"/>
          <w:bCs w:val="false"/>
          <w:i w:val="false"/>
          <w:iCs w:val="false"/>
          <w:color w:val="1A1A1A"/>
          <w:sz w:val="22"/>
          <w:szCs w:val="22"/>
        </w:rPr>
        <w:t xml:space="preserve"> — Egypt's talabat pro base is the youngest in the portfolio and has no separately disclosed adoption rate (a gap already flagged in </w:t>
      </w:r>
      <w:r>
        <w:rPr>
          <w:rFonts w:ascii="Consolas" w:cs="Consolas" w:eastAsia="Consolas" w:hAnsi="Consolas"/>
          <w:b w:val="false"/>
          <w:bCs w:val="false"/>
          <w:i w:val="false"/>
          <w:iCs w:val="false"/>
          <w:color w:val="1A1A1A"/>
          <w:sz w:val="22"/>
          <w:szCs w:val="22"/>
        </w:rPr>
        <w:t xml:space="preserve">Topics/Egypt.md</w:t>
      </w:r>
      <w:r>
        <w:rPr>
          <w:rFonts w:ascii="Calibri" w:cs="Calibri" w:eastAsia="Calibri" w:hAnsi="Calibri"/>
          <w:b w:val="false"/>
          <w:bCs w:val="false"/>
          <w:i w:val="false"/>
          <w:iCs w:val="false"/>
          <w:color w:val="1A1A1A"/>
          <w:sz w:val="22"/>
          <w:szCs w:val="22"/>
        </w:rPr>
        <w:t xml:space="preserve">'s Open Questions) — but it defines the precise target profile (subscribed, multi-vertical, high/medium value) that an Egypt retention strategy should be built to grow, since it is the profile the Group's own data shows already drives outsized value everywhere talabat pro has had time to mature.</w:t>
      </w:r>
    </w:p>
    <w:p>
      <w:pPr>
        <w:spacing w:after="160" w:before="120" w:line="276"/>
      </w:pPr>
      <w:r>
        <w:rPr>
          <w:rFonts w:ascii="Calibri" w:cs="Calibri" w:eastAsia="Calibri" w:hAnsi="Calibri"/>
          <w:b/>
          <w:bCs/>
          <w:i w:val="false"/>
          <w:iCs w:val="false"/>
          <w:color w:val="1A1A1A"/>
          <w:sz w:val="22"/>
          <w:szCs w:val="22"/>
        </w:rPr>
        <w:t xml:space="preserve">Early adopters / primary users.</w:t>
      </w:r>
      <w:r>
        <w:rPr>
          <w:rFonts w:ascii="Calibri" w:cs="Calibri" w:eastAsia="Calibri" w:hAnsi="Calibri"/>
          <w:b w:val="false"/>
          <w:bCs w:val="false"/>
          <w:i w:val="false"/>
          <w:iCs w:val="false"/>
          <w:color w:val="1A1A1A"/>
          <w:sz w:val="22"/>
          <w:szCs w:val="22"/>
        </w:rPr>
        <w:t xml:space="preserve"> Two Egypt-specific structural facts point toward who adopts first: IMARC cites Egypt's large internet-connected population (75.66m internet users, Jan 2022, ITA data — RES-002) and its outsized student population (24m K-12 students, 2022, ITA data — RES-002, both figures from IMARC's public overview, Medium confidence, single-sourced) as underlying demand drivers, consistent with talabat's own +81% YoY Q1 2026 Egypt segment revenue growth (TLB-010) — a young, urbanizing, increasingly digitally-paying population is the natural early-adopter base for an AI-personalized loyalty product, though the corpus does not disclose an Egypt-specific demographic breakdown of talabat's actual customer base to confirm this directly.</w:t>
      </w:r>
    </w:p>
    <w:p>
      <w:pPr>
        <w:pStyle w:val="Heading2"/>
        <w:spacing w:after="120" w:before="280"/>
      </w:pPr>
      <w:r>
        <w:t xml:space="preserve">3.3 Competitive Analysis</w:t>
      </w:r>
    </w:p>
    <w:p>
      <w:pPr>
        <w:pStyle w:val="Heading3"/>
        <w:spacing w:after="100" w:before="220"/>
      </w:pPr>
      <w:r>
        <w:t xml:space="preserve">SWOT — with a "so what" per quadrant</w:t>
      </w:r>
    </w:p>
    <w:p>
      <w:pPr>
        <w:spacing w:after="160" w:before="120" w:line="276"/>
      </w:pPr>
      <w:r>
        <w:rPr>
          <w:rFonts w:ascii="Calibri" w:cs="Calibri" w:eastAsia="Calibri" w:hAnsi="Calibri"/>
          <w:b/>
          <w:bCs/>
          <w:i w:val="false"/>
          <w:iCs w:val="false"/>
          <w:color w:val="1A1A1A"/>
          <w:sz w:val="22"/>
          <w:szCs w:val="22"/>
        </w:rPr>
        <w:t xml:space="preserve">Strengths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Category leadership: talabat's Egypt food-service category share is disclosed inconsistently in the primary corpus — TLB-001/TLB-002 (Annual Reports) state "10x+" versus the next-closest peer, while TLB-014 (May 2026 investor presentation) states "1x+ (at IPO) rising to 4x+ (YE'25)." Per </w:t>
      </w:r>
      <w:r>
        <w:rPr>
          <w:rFonts w:ascii="Calibri" w:cs="Calibri" w:eastAsia="Calibri" w:hAnsi="Calibri"/>
          <w:b w:val="false"/>
          <w:bCs w:val="false"/>
          <w:i w:val="false"/>
          <w:iCs w:val="false"/>
          <w:color w:val="1A1A1A"/>
          <w:sz w:val="22"/>
          <w:szCs w:val="22"/>
        </w:rPr>
        <w:t xml:space="preserve">DEC-001</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ASM-001</w:t>
      </w:r>
      <w:r>
        <w:rPr>
          <w:rFonts w:ascii="Calibri" w:cs="Calibri" w:eastAsia="Calibri" w:hAnsi="Calibri"/>
          <w:b w:val="false"/>
          <w:bCs w:val="false"/>
          <w:i w:val="false"/>
          <w:iCs w:val="false"/>
          <w:color w:val="1A1A1A"/>
          <w:sz w:val="22"/>
          <w:szCs w:val="22"/>
        </w:rPr>
        <w:t xml:space="preserve">), both figures are presented here rather than blended, and the more conservative, most recently-dated figure (</w:t>
      </w:r>
      <w:r>
        <w:rPr>
          <w:rFonts w:ascii="Calibri" w:cs="Calibri" w:eastAsia="Calibri" w:hAnsi="Calibri"/>
          <w:b/>
          <w:bCs/>
          <w:i w:val="false"/>
          <w:iCs w:val="false"/>
          <w:color w:val="1A1A1A"/>
          <w:sz w:val="22"/>
          <w:szCs w:val="22"/>
        </w:rPr>
        <w:t xml:space="preserve">4x+</w:t>
      </w:r>
      <w:r>
        <w:rPr>
          <w:rFonts w:ascii="Calibri" w:cs="Calibri" w:eastAsia="Calibri" w:hAnsi="Calibri"/>
          <w:b w:val="false"/>
          <w:bCs w:val="false"/>
          <w:i w:val="false"/>
          <w:iCs w:val="false"/>
          <w:color w:val="1A1A1A"/>
          <w:sz w:val="22"/>
          <w:szCs w:val="22"/>
        </w:rPr>
        <w:t xml:space="preserve">) is used for qualitative framing to avoid overstating dominance.</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Egypt crossed into standalone, disclosed profitability in FY2025 (revenue USD 509.9m, gross profit USD 125.0m, net profit USD 44.4m; Q1 2026 profit before tax USD 9.4m, up from USD 0.5m in Q1 2025 — TLB-002, TLB-008, TLB-010) and is now talabat's largest user base and 3rd-largest market by GMV (TLB-019, page 7).</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Egypt already hosts real AI/engineering infrastructure (largest MENA q-commerce DC with in-house AI demand forecasting; 1,500-person Global Tech &amp; Shared Services hub —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labeled non-primary).</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So what:</w:t>
      </w:r>
      <w:r>
        <w:rPr>
          <w:rFonts w:ascii="Calibri" w:cs="Calibri" w:eastAsia="Calibri" w:hAnsi="Calibri"/>
          <w:b w:val="false"/>
          <w:bCs w:val="false"/>
          <w:i w:val="false"/>
          <w:iCs w:val="false"/>
          <w:color w:val="1A1A1A"/>
          <w:sz w:val="22"/>
          <w:szCs w:val="22"/>
        </w:rPr>
        <w:t xml:space="preserve"> Egypt's structural position is genuinely strong, but it is a scale-and-infrastructure advantage, not yet a loyalty-depth advantage — talabat pro has been live in Egypt for only about a year at the time of the most recent results, the shortest tenure of any major market (</w:t>
      </w:r>
      <w:r>
        <w:rPr>
          <w:rFonts w:ascii="Consolas" w:cs="Consolas" w:eastAsia="Consolas" w:hAnsi="Consolas"/>
          <w:b w:val="false"/>
          <w:bCs w:val="false"/>
          <w:i w:val="false"/>
          <w:iCs w:val="false"/>
          <w:color w:val="1A1A1A"/>
          <w:sz w:val="22"/>
          <w:szCs w:val="22"/>
        </w:rPr>
        <w:t xml:space="preserve">Topics/Egypt.md</w:t>
      </w:r>
      <w:r>
        <w:rPr>
          <w:rFonts w:ascii="Calibri" w:cs="Calibri" w:eastAsia="Calibri" w:hAnsi="Calibri"/>
          <w:b w:val="false"/>
          <w:bCs w:val="false"/>
          <w:i w:val="false"/>
          <w:iCs w:val="false"/>
          <w:color w:val="1A1A1A"/>
          <w:sz w:val="22"/>
          <w:szCs w:val="22"/>
        </w:rPr>
        <w:t xml:space="preserve">). The strategic window to convert scale leadership into loyalty-depth leadership, before local specialists close the gap, is open now but not indefinitely (see Threats).</w:t>
      </w:r>
    </w:p>
    <w:p>
      <w:pPr>
        <w:spacing w:after="160" w:before="120" w:line="276"/>
      </w:pPr>
      <w:r>
        <w:rPr>
          <w:rFonts w:ascii="Calibri" w:cs="Calibri" w:eastAsia="Calibri" w:hAnsi="Calibri"/>
          <w:b/>
          <w:bCs/>
          <w:i w:val="false"/>
          <w:iCs w:val="false"/>
          <w:color w:val="1A1A1A"/>
          <w:sz w:val="22"/>
          <w:szCs w:val="22"/>
        </w:rPr>
        <w:t xml:space="preserve">Weaknesses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No Egypt-specific talabat pro adoption rate, frequency uplift, or retention uplift is disclosed anywhere in the corpus — every uplift statistic cited elsewhere in this plan (28% frequency, 26–32% retention) is Group-level or explicitly excludes Egypt at the time it was measured (</w:t>
      </w:r>
      <w:r>
        <w:rPr>
          <w:rFonts w:ascii="Consolas" w:cs="Consolas" w:eastAsia="Consolas" w:hAnsi="Consolas"/>
          <w:b w:val="false"/>
          <w:bCs w:val="false"/>
          <w:i w:val="false"/>
          <w:iCs w:val="false"/>
          <w:color w:val="1A1A1A"/>
          <w:sz w:val="22"/>
          <w:szCs w:val="22"/>
        </w:rPr>
        <w:t xml:space="preserve">Topics/Egypt.md</w:t>
      </w:r>
      <w:r>
        <w:rPr>
          <w:rFonts w:ascii="Calibri" w:cs="Calibri" w:eastAsia="Calibri" w:hAnsi="Calibri"/>
          <w:b w:val="false"/>
          <w:bCs w:val="false"/>
          <w:i w:val="false"/>
          <w:iCs w:val="false"/>
          <w:color w:val="1A1A1A"/>
          <w:sz w:val="22"/>
          <w:szCs w:val="22"/>
        </w:rPr>
        <w:t xml:space="preserve"> Open Questions).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No Egypt-specific churn rate, CAC, CARC, or customer lifetime value figure exists in the corpus.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No Egypt-specific rider count, Partner-density figure, or AdTech-penetration figure exists, so Egypt's supply-side and monetization maturity relative to the Group cannot be independently assessed from this corpus (</w:t>
      </w:r>
      <w:r>
        <w:rPr>
          <w:rFonts w:ascii="Consolas" w:cs="Consolas" w:eastAsia="Consolas" w:hAnsi="Consolas"/>
          <w:b w:val="false"/>
          <w:bCs w:val="false"/>
          <w:i w:val="false"/>
          <w:iCs w:val="false"/>
          <w:color w:val="1A1A1A"/>
          <w:sz w:val="22"/>
          <w:szCs w:val="22"/>
        </w:rPr>
        <w:t xml:space="preserve">Strategic/Competitive Weaknesses.md</w:t>
      </w:r>
      <w:r>
        <w:rPr>
          <w:rFonts w:ascii="Calibri" w:cs="Calibri" w:eastAsia="Calibri" w:hAnsi="Calibri"/>
          <w:b w:val="false"/>
          <w:bCs w:val="false"/>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So what:</w:t>
      </w:r>
      <w:r>
        <w:rPr>
          <w:rFonts w:ascii="Calibri" w:cs="Calibri" w:eastAsia="Calibri" w:hAnsi="Calibri"/>
          <w:b w:val="false"/>
          <w:bCs w:val="false"/>
          <w:i w:val="false"/>
          <w:iCs w:val="false"/>
          <w:color w:val="1A1A1A"/>
          <w:sz w:val="22"/>
          <w:szCs w:val="22"/>
        </w:rPr>
        <w:t xml:space="preserve"> the retention lever this plan recommends is, for Egypt specifically, an unproven hypothesis imported from other markets, not a confirmed local result. Any financial case built on it (Section 9) must instrument new Egypt-specific baseline metrics (churn, tPro adoption, frequency uplift) rather than assume Group-level uplift figures transfer directly.</w:t>
      </w:r>
    </w:p>
    <w:p>
      <w:pPr>
        <w:spacing w:after="160" w:before="120" w:line="276"/>
      </w:pPr>
      <w:r>
        <w:rPr>
          <w:rFonts w:ascii="Calibri" w:cs="Calibri" w:eastAsia="Calibri" w:hAnsi="Calibri"/>
          <w:b/>
          <w:bCs/>
          <w:i w:val="false"/>
          <w:iCs w:val="false"/>
          <w:color w:val="1A1A1A"/>
          <w:sz w:val="22"/>
          <w:szCs w:val="22"/>
        </w:rPr>
        <w:t xml:space="preserve">Opportunities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Multi-vertical cross-sell: talabat's own customer-journey framing is explicitly Food → Grocery &amp; Retail → talabat pro sign-up (TLB-013, page 6), and Group-wide grocery penetration is described as still "low single-digit" against a large TAM (TLB-014, page 19; TLB-020, page 16) — Group-level, not Egypt-specific, but Egypt's new MENA-largest q-commerce distribution center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is purpose-built infrastructure to capture exactly this cross-sell.</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Geographic headroom: as of the 2024 Capital Markets Day, talabat's footprint covered only ~42% of larger Egyptian cities (population &gt;100k) (TLB-015, page 101) — dated (2024) but Egypt-specific, flagged here as potentially stale (see the citation audit).</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An internal AI product template already exists to adapt: GEMs, talabat's AI-supported Partner-level tool that flags Restaurants with "low/declining customer acquisition or retention rates" for targeted win-back (TLB-026, page 138), is a validated internal precedent for extending AI-driven targeting/personalisation capability from the Partner side (GEMs) to the consumer side — richer recommendation formats, better-timed cross-sell offers, and deepened adtech-embedded personalisation — for Egypt customers, per the governing hypothesis confirmed in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iCs/>
          <w:color w:val="1A1A1A"/>
          <w:sz w:val="22"/>
          <w:szCs w:val="22"/>
        </w:rPr>
        <w:t xml:space="preserve">(Corrected 2026-07-22, Pilot 2: the original wording proposed a "customer-level, AI-driven churn/win-back product," which is DEC-003's unchosen Option 1 — flagged as a hard, blocking cross-section inconsistency by </w:t>
      </w:r>
      <w:r>
        <w:rPr>
          <w:rFonts w:ascii="Calibri" w:cs="Calibri" w:eastAsia="Calibri" w:hAnsi="Calibri"/>
          <w:b w:val="false"/>
          <w:bCs w:val="false"/>
          <w:i/>
          <w:iCs/>
          <w:color w:val="1A1A1A"/>
          <w:sz w:val="22"/>
          <w:szCs w:val="22"/>
        </w:rPr>
        <w:t xml:space="preserve">Section 2's independent QA review</w:t>
      </w:r>
      <w:r>
        <w:rPr>
          <w:rFonts w:ascii="Calibri" w:cs="Calibri" w:eastAsia="Calibri" w:hAnsi="Calibri"/>
          <w:b w:val="false"/>
          <w:bCs w:val="false"/>
          <w:i/>
          <w:iCs/>
          <w:color w:val="1A1A1A"/>
          <w:sz w:val="22"/>
          <w:szCs w:val="22"/>
        </w:rPr>
        <w:t xml:space="preserve"> and corrected here to match the user-confirmed Option 2 hypothesis.)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So what:</w:t>
      </w:r>
      <w:r>
        <w:rPr>
          <w:rFonts w:ascii="Calibri" w:cs="Calibri" w:eastAsia="Calibri" w:hAnsi="Calibri"/>
          <w:b w:val="false"/>
          <w:bCs w:val="false"/>
          <w:i w:val="false"/>
          <w:iCs w:val="false"/>
          <w:color w:val="1A1A1A"/>
          <w:sz w:val="22"/>
          <w:szCs w:val="22"/>
        </w:rPr>
        <w:t xml:space="preserve"> the opportunity is not "enter a new market" — it is to redirect AI capability talabat has already built (demand forecasting, Partner-level GEMs) toward extending its existing personalisation/targeting mechanism to Egypt consumers, which is a lower build-cost, faster-to-deploy path than building new AI infrastructure from scratch.</w:t>
      </w:r>
    </w:p>
    <w:p>
      <w:pPr>
        <w:spacing w:after="160" w:before="120" w:line="276"/>
      </w:pPr>
      <w:r>
        <w:rPr>
          <w:rFonts w:ascii="Calibri" w:cs="Calibri" w:eastAsia="Calibri" w:hAnsi="Calibri"/>
          <w:b/>
          <w:bCs/>
          <w:i w:val="false"/>
          <w:iCs w:val="false"/>
          <w:color w:val="1A1A1A"/>
          <w:sz w:val="22"/>
          <w:szCs w:val="22"/>
        </w:rPr>
        <w:t xml:space="preserve">Threats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Named Egypt-specific competitors exist only in the secondary, non-primary corpus (</w:t>
      </w:r>
      <w:r>
        <w:rPr>
          <w:rFonts w:ascii="Consolas" w:cs="Consolas" w:eastAsia="Consolas" w:hAnsi="Consolas"/>
          <w:b w:val="false"/>
          <w:bCs w:val="false"/>
          <w:i w:val="false"/>
          <w:iCs w:val="false"/>
          <w:color w:val="1A1A1A"/>
          <w:sz w:val="22"/>
          <w:szCs w:val="22"/>
        </w:rPr>
        <w:t xml:space="preserve">ASM-002</w:t>
      </w:r>
      <w:r>
        <w:rPr>
          <w:rFonts w:ascii="Calibri" w:cs="Calibri" w:eastAsia="Calibri" w:hAnsi="Calibri"/>
          <w:b w:val="false"/>
          <w:bCs w:val="false"/>
          <w:i w:val="false"/>
          <w:iCs w:val="false"/>
          <w:color w:val="1A1A1A"/>
          <w:sz w:val="22"/>
          <w:szCs w:val="22"/>
        </w:rPr>
        <w:t xml:space="preserve">/RES-001, explicitly labeled as such, Medium confidence): </w:t>
      </w:r>
      <w:r>
        <w:rPr>
          <w:rFonts w:ascii="Calibri" w:cs="Calibri" w:eastAsia="Calibri" w:hAnsi="Calibri"/>
          <w:b/>
          <w:bCs/>
          <w:i w:val="false"/>
          <w:iCs w:val="false"/>
          <w:color w:val="1A1A1A"/>
          <w:sz w:val="22"/>
          <w:szCs w:val="22"/>
        </w:rPr>
        <w:t xml:space="preserve">Breadfast</w:t>
      </w:r>
      <w:r>
        <w:rPr>
          <w:rFonts w:ascii="Calibri" w:cs="Calibri" w:eastAsia="Calibri" w:hAnsi="Calibri"/>
          <w:b w:val="false"/>
          <w:bCs w:val="false"/>
          <w:i w:val="false"/>
          <w:iCs w:val="false"/>
          <w:color w:val="1A1A1A"/>
          <w:sz w:val="22"/>
          <w:szCs w:val="22"/>
        </w:rPr>
        <w:t xml:space="preserve"> (q-commerce/e-grocery, ~USD 382m valuation mid-2025, 39 fulfillment centers, ~1m orders/month, 300,000+ active users across four cities, IPO ambitions); </w:t>
      </w:r>
      <w:r>
        <w:rPr>
          <w:rFonts w:ascii="Calibri" w:cs="Calibri" w:eastAsia="Calibri" w:hAnsi="Calibri"/>
          <w:b/>
          <w:bCs/>
          <w:i w:val="false"/>
          <w:iCs w:val="false"/>
          <w:color w:val="1A1A1A"/>
          <w:sz w:val="22"/>
          <w:szCs w:val="22"/>
        </w:rPr>
        <w:t xml:space="preserve">Rabbit</w:t>
      </w:r>
      <w:r>
        <w:rPr>
          <w:rFonts w:ascii="Calibri" w:cs="Calibri" w:eastAsia="Calibri" w:hAnsi="Calibri"/>
          <w:b w:val="false"/>
          <w:bCs w:val="false"/>
          <w:i w:val="false"/>
          <w:iCs w:val="false"/>
          <w:color w:val="1A1A1A"/>
          <w:sz w:val="22"/>
          <w:szCs w:val="22"/>
        </w:rPr>
        <w:t xml:space="preserve"> (20-minute grocery q-commerce, expanding into Saudi Arabia as of April 2025); </w:t>
      </w:r>
      <w:r>
        <w:rPr>
          <w:rFonts w:ascii="Calibri" w:cs="Calibri" w:eastAsia="Calibri" w:hAnsi="Calibri"/>
          <w:b/>
          <w:bCs/>
          <w:i w:val="false"/>
          <w:iCs w:val="false"/>
          <w:color w:val="1A1A1A"/>
          <w:sz w:val="22"/>
          <w:szCs w:val="22"/>
        </w:rPr>
        <w:t xml:space="preserve">elmenus</w:t>
      </w:r>
      <w:r>
        <w:rPr>
          <w:rFonts w:ascii="Calibri" w:cs="Calibri" w:eastAsia="Calibri" w:hAnsi="Calibri"/>
          <w:b w:val="false"/>
          <w:bCs w:val="false"/>
          <w:i w:val="false"/>
          <w:iCs w:val="false"/>
          <w:color w:val="1A1A1A"/>
          <w:sz w:val="22"/>
          <w:szCs w:val="22"/>
        </w:rPr>
        <w:t xml:space="preserve"> (positioned by secondary sources as the #2 food-delivery platform in Egypt, competing on lower commission rates attractive to SME restaurants — a Partner-side, not just consumer-side, retention risk). Careem Food and Uber Eats are both reported to have exited Egypt, per the same secondary source, itself unverified on that specific point.</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Macro/consumer-economics pressure: food inflation (+71.9% y/y) and EGP devaluation compress discretionary spend on delivery (Mordor, RES-003) — a demand-side headwind independent of any single competitor.</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Analogous competitive-erosion pattern already observed elsewhere in the portfolio: non-high-value customer M1 retention declined 4% YoY in the UAE, Kuwait, and Qatar, attributed explicitly to "competitive pressure" (TLB-019, page 9) — Egypt is not included in this figure and the corpus does not state whether Egypt is experiencing the same dynamic, but it is the closest evidenced precedent for what intensifying local competition could do to Egypt's non-high-value segment as it matures.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So what:</w:t>
      </w:r>
      <w:r>
        <w:rPr>
          <w:rFonts w:ascii="Calibri" w:cs="Calibri" w:eastAsia="Calibri" w:hAnsi="Calibri"/>
          <w:b w:val="false"/>
          <w:bCs w:val="false"/>
          <w:i w:val="false"/>
          <w:iCs w:val="false"/>
          <w:color w:val="1A1A1A"/>
          <w:sz w:val="22"/>
          <w:szCs w:val="22"/>
        </w:rPr>
        <w:t xml:space="preserve"> the threat set is concentrated in well-capitalized, speed/price-focused local q-commerce specialists and a lower-commission food-delivery incumbent — exactly the profile management's own stated GCC playbook (CVP/loyalty investment "rather than matching competitor discounts/vouchers," TLB-020, page 16) is designed to counter, but that playbook must be extended to the Partner side (commission competitiveness against elmenus) as well as the consumer side, or Egypt's Strengths above begin eroding the way the UAE's already have.</w:t>
      </w:r>
    </w:p>
    <w:p>
      <w:pPr>
        <w:pStyle w:val="Heading3"/>
        <w:spacing w:after="100" w:before="220"/>
      </w:pPr>
      <w:r>
        <w:t xml:space="preserve">Competitor benchmarking</w:t>
      </w:r>
    </w:p>
    <w:p>
      <w:pPr>
        <w:spacing w:after="160" w:before="120" w:line="276"/>
      </w:pPr>
      <w:r>
        <w:rPr>
          <w:rFonts w:ascii="Calibri" w:cs="Calibri" w:eastAsia="Calibri" w:hAnsi="Calibri"/>
          <w:b w:val="false"/>
          <w:bCs w:val="false"/>
          <w:i w:val="false"/>
          <w:iCs w:val="false"/>
          <w:color w:val="1A1A1A"/>
          <w:sz w:val="22"/>
          <w:szCs w:val="22"/>
        </w:rPr>
        <w:t xml:space="preserve">All rows below except talabat itself are sourced from the secondary, non-primary corpus (</w:t>
      </w:r>
      <w:r>
        <w:rPr>
          <w:rFonts w:ascii="Consolas" w:cs="Consolas" w:eastAsia="Consolas" w:hAnsi="Consolas"/>
          <w:b w:val="false"/>
          <w:bCs w:val="false"/>
          <w:i w:val="false"/>
          <w:iCs w:val="false"/>
          <w:color w:val="1A1A1A"/>
          <w:sz w:val="22"/>
          <w:szCs w:val="22"/>
        </w:rPr>
        <w:t xml:space="preserve">Input_Data/03_Competitors/</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ASM-002</w:t>
      </w:r>
      <w:r>
        <w:rPr>
          <w:rFonts w:ascii="Calibri" w:cs="Calibri" w:eastAsia="Calibri" w:hAnsi="Calibri"/>
          <w:b w:val="false"/>
          <w:bCs w:val="false"/>
          <w:i w:val="false"/>
          <w:iCs w:val="false"/>
          <w:color w:val="1A1A1A"/>
          <w:sz w:val="22"/>
          <w:szCs w:val="22"/>
        </w:rPr>
        <w:t xml:space="preserve">/RES-001) and are explicitly labeled as such — none of these names appear in the audited </w:t>
      </w:r>
      <w:r>
        <w:rPr>
          <w:rFonts w:ascii="Consolas" w:cs="Consolas" w:eastAsia="Consolas" w:hAnsi="Consolas"/>
          <w:b w:val="false"/>
          <w:bCs w:val="false"/>
          <w:i w:val="false"/>
          <w:iCs w:val="false"/>
          <w:color w:val="1A1A1A"/>
          <w:sz w:val="22"/>
          <w:szCs w:val="22"/>
        </w:rPr>
        <w:t xml:space="preserve">TLB-XXX</w:t>
      </w:r>
      <w:r>
        <w:rPr>
          <w:rFonts w:ascii="Calibri" w:cs="Calibri" w:eastAsia="Calibri" w:hAnsi="Calibri"/>
          <w:b w:val="false"/>
          <w:bCs w:val="false"/>
          <w:i w:val="false"/>
          <w:iCs w:val="false"/>
          <w:color w:val="1A1A1A"/>
          <w:sz w:val="22"/>
          <w:szCs w:val="22"/>
        </w:rPr>
        <w:t xml:space="preserve"> corpus.</w:t>
      </w:r>
    </w:p>
    <w:p>
      <w:pPr>
        <w:spacing w:after="40" w:before="60"/>
      </w:pPr>
      <w:r>
        <w:rPr>
          <w:rFonts w:ascii="Calibri" w:cs="Calibri" w:eastAsia="Calibri" w:hAnsi="Calibri"/>
          <w:b/>
          <w:bCs/>
          <w:i/>
          <w:iCs/>
          <w:color w:val="595959"/>
          <w:sz w:val="18"/>
          <w:szCs w:val="18"/>
        </w:rPr>
        <w:t xml:space="preserve">Table 2.</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72"/>
        <w:gridCol w:w="1872"/>
        <w:gridCol w:w="1872"/>
        <w:gridCol w:w="1872"/>
        <w:gridCol w:w="1872"/>
      </w:tblGrid>
      <w:tr>
        <w:trPr>
          <w:tblHeader/>
        </w:trPr>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Player</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Category</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Scale/capability (as reported)</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Pricing/commission</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Source tier</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talabat</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Multi-vertical (food, grocery/quick-commerce, incl. mart &amp; InstaShop)</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Category leader by talabat's own disclosure (4x+–10x+ share, disputed figure — </w:t>
            </w:r>
            <w:r>
              <w:rPr>
                <w:rFonts w:ascii="Consolas" w:cs="Consolas" w:eastAsia="Consolas" w:hAnsi="Consolas"/>
                <w:b w:val="false"/>
                <w:bCs w:val="false"/>
                <w:i w:val="false"/>
                <w:iCs w:val="false"/>
                <w:color w:val="1A1A1A"/>
                <w:sz w:val="18"/>
                <w:szCs w:val="18"/>
              </w:rPr>
              <w:t xml:space="preserve">ASM-001</w:t>
            </w:r>
            <w:r>
              <w:rPr>
                <w:rFonts w:ascii="Calibri" w:cs="Calibri" w:eastAsia="Calibri" w:hAnsi="Calibri"/>
                <w:b w:val="false"/>
                <w:bCs w:val="false"/>
                <w:i w:val="false"/>
                <w:iCs w:val="false"/>
                <w:color w:val="1A1A1A"/>
                <w:sz w:val="18"/>
                <w:szCs w:val="18"/>
              </w:rPr>
              <w:t xml:space="preserve">); Egypt's largest user base; 10,000+ Egypt Partners at t pro launch (RES-004)</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 pro: EGP 79/month or EGP 799/year; commission structure not disclosed for Egypt specifically</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Primary (TLB-XXX) + labeled secondary (RES-004)</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Breadfast</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Q-commerce / e-grocery, own-brand bakery + dark stores</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382m valuation (mid-2025); 39 fulfillment centers; ~1m orders/month; 300,000+ active users, 4 cities</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Not disclosed</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Secondary, non-primary (RES-001)</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Rabbit</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Q-commerce, 20-minute grocery delivery</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11m pre-seed (region's largest at the time); expanding to Saudi Arabia (2025)</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Not disclosed</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Secondary, non-primary (RES-001)</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elmenus</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Food discovery &amp; delivery</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Positioned as #2 Egypt food-delivery player by secondary sources (unconfirmed by any market-research firm)</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Reported lower commission rates vs. talabat (no % disclosed)</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Secondary, non-primary, weaker sourcing (RES-001)</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Careem Food / Uber Eats</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Food delivery</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Both reported exited Egypt (2022 and earlier respectively)</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N/A</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Secondary, unverified even in its own source (RES-001)</w:t>
            </w:r>
          </w:p>
        </w:tc>
      </w:tr>
    </w:tbl>
    <w:p>
      <w:pPr>
        <w:spacing w:after="160" w:before="120" w:line="276"/>
      </w:pPr>
      <w:r>
        <w:rPr>
          <w:rFonts w:ascii="Calibri" w:cs="Calibri" w:eastAsia="Calibri" w:hAnsi="Calibri"/>
          <w:b w:val="false"/>
          <w:bCs w:val="false"/>
          <w:i w:val="false"/>
          <w:iCs w:val="false"/>
          <w:color w:val="1A1A1A"/>
          <w:sz w:val="22"/>
          <w:szCs w:val="22"/>
        </w:rPr>
        <w:t xml:space="preserve">No source — primary or secondary — quantifies talabat's market share loss to any of these named competitors, or provides a comparable customer-base or GMV figure for talabat's Egypt operations against which "300,000+ active users" (Breadfast) or Rabbit's scale could be directly benchmarked. This is a stated limitation of the competitive analysis, not a gap this plan can silently paper over.</w:t>
      </w:r>
    </w:p>
    <w:p>
      <w:pPr>
        <w:pStyle w:val="Heading2"/>
        <w:spacing w:after="120" w:before="280"/>
      </w:pPr>
      <w:r>
        <w:t xml:space="preserve">3.4 Opportunities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Untapped/underserved segments:</w:t>
      </w:r>
      <w:r>
        <w:rPr>
          <w:rFonts w:ascii="Calibri" w:cs="Calibri" w:eastAsia="Calibri" w:hAnsi="Calibri"/>
          <w:b w:val="false"/>
          <w:bCs w:val="false"/>
          <w:i w:val="false"/>
          <w:iCs w:val="false"/>
          <w:color w:val="1A1A1A"/>
          <w:sz w:val="22"/>
          <w:szCs w:val="22"/>
        </w:rPr>
        <w:t xml:space="preserve"> the grocery &amp; retail (quick-commerce) vertical, where Group-level penetration is described as still "low single-digit" against a large TAM (TLB-014, page 19), is the clearest MECE-complementary opportunity to the Food vertical talabat already dominates in Egypt — and Egypt's new MENA-largest q-commerce distribution center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is purpose-built to serve it. Secondary-city expansion is a second, Egypt-specific opportunity: ~42% of larger Egyptian cities were covered as of the 2024 Capital Markets Day (TLB-015, page 101; flagged as a potentially dated data point).</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Technological advancements enabling differentiation:</w:t>
      </w:r>
      <w:r>
        <w:rPr>
          <w:rFonts w:ascii="Calibri" w:cs="Calibri" w:eastAsia="Calibri" w:hAnsi="Calibri"/>
          <w:b w:val="false"/>
          <w:bCs w:val="false"/>
          <w:i w:val="false"/>
          <w:iCs w:val="false"/>
          <w:color w:val="1A1A1A"/>
          <w:sz w:val="22"/>
          <w:szCs w:val="22"/>
        </w:rPr>
        <w:t xml:space="preserve"> talabat already operationalizes AI at two levels relevant to this plan's recommendation — in-house AI demand forecasting in Egypt's new distribution center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and GEMs, an AI-supported Partner-level churn/win-back product (TLB-026, page 138) that is a direct internal template for the customer-level AI retention product this plan will propose in Sections 4–5. Both reduce the build cost and technical risk of the recommendation relative to a "build AI capability from zero" starting point.</w:t>
      </w:r>
    </w:p>
    <w:p>
      <w:pPr>
        <w:sectPr>
          <w:headerReference w:type="default" r:id="rId15"/>
          <w:footerReference w:type="default" r:id="rId16"/>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4. Value Proposition</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talabat does not need to build new AI capability to create value in Egypt — the value proposition is extending capability it has already built, funded, and partly shipped (per </w:t>
      </w:r>
      <w:r>
        <w:rPr>
          <w:rFonts w:ascii="Calibri" w:cs="Calibri" w:eastAsia="Calibri" w:hAnsi="Calibri"/>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 into the one large, newly-profitable market where it has not yet landed. Three mechanisms create that value: better product discovery through richer recommendations, better-timed cross-sell into talabat pro and multi-vertical usage, and deepened Partner-side adtech personalisation. Each is already quantified at Group level; each survives the "so what" test twice — for the customer (a more relevant, better-timed experience) and for the P&amp;L (a specific revenue or EBITDA line item, already modeled in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and tracked in </w:t>
      </w:r>
      <w:r>
        <w:rPr>
          <w:rFonts w:ascii="Calibri" w:cs="Calibri" w:eastAsia="Calibri" w:hAnsi="Calibri"/>
          <w:b w:val="false"/>
          <w:bCs w:val="false"/>
          <w:i w:val="false"/>
          <w:iCs w:val="false"/>
          <w:color w:val="1A1A1A"/>
          <w:sz w:val="22"/>
          <w:szCs w:val="22"/>
        </w:rPr>
        <w:t xml:space="preserve">Section 13's KPI Tree</w:t>
      </w:r>
      <w:r>
        <w:rPr>
          <w:rFonts w:ascii="Calibri" w:cs="Calibri" w:eastAsia="Calibri" w:hAnsi="Calibri"/>
          <w:b w:val="false"/>
          <w:bCs w:val="false"/>
          <w:i w:val="false"/>
          <w:iCs w:val="false"/>
          <w:color w:val="1A1A1A"/>
          <w:sz w:val="22"/>
          <w:szCs w:val="22"/>
        </w:rPr>
        <w:t xml:space="preserve">).</w:t>
      </w:r>
    </w:p>
    <w:p>
      <w:pPr>
        <w:pStyle w:val="Heading2"/>
        <w:spacing w:after="120" w:before="280"/>
      </w:pPr>
      <w:r>
        <w:t xml:space="preserve">4.1 Unique Selling Proposition (USP)</w:t>
      </w:r>
    </w:p>
    <w:p>
      <w:pPr>
        <w:spacing w:after="160" w:before="120" w:line="276"/>
      </w:pPr>
      <w:r>
        <w:rPr>
          <w:rFonts w:ascii="Calibri" w:cs="Calibri" w:eastAsia="Calibri" w:hAnsi="Calibri"/>
          <w:b/>
          <w:bCs/>
          <w:i w:val="false"/>
          <w:iCs w:val="false"/>
          <w:color w:val="1A1A1A"/>
          <w:sz w:val="22"/>
          <w:szCs w:val="22"/>
        </w:rPr>
        <w:t xml:space="preserve">The USP is speed and cost of deployment, not novelty of capability.</w:t>
      </w:r>
      <w:r>
        <w:rPr>
          <w:rFonts w:ascii="Calibri" w:cs="Calibri" w:eastAsia="Calibri" w:hAnsi="Calibri"/>
          <w:b w:val="false"/>
          <w:bCs w:val="false"/>
          <w:i w:val="false"/>
          <w:iCs w:val="false"/>
          <w:color w:val="1A1A1A"/>
          <w:sz w:val="22"/>
          <w:szCs w:val="22"/>
        </w:rPr>
        <w:t xml:space="preserve"> talabat's AI-driven Egypt retention proposition is not a new algorithm or a new product — it is the first application of an already-proven, already-funded Group capability to the specific market where it is least deployed. This is a deliberately narrower and more defensible USP than "AI-powered personalisation" in the abstract: competitors extending AI capability into Egypt (per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's named local specialists — Breadfast, Rabbit, elmenus, </w:t>
      </w:r>
      <w:r>
        <w:rPr>
          <w:rFonts w:ascii="Consolas" w:cs="Consolas" w:eastAsia="Consolas" w:hAnsi="Consolas"/>
          <w:b w:val="false"/>
          <w:bCs w:val="false"/>
          <w:i w:val="false"/>
          <w:iCs w:val="false"/>
          <w:color w:val="1A1A1A"/>
          <w:sz w:val="22"/>
          <w:szCs w:val="22"/>
        </w:rPr>
        <w:t xml:space="preserve">ASM-002</w:t>
      </w:r>
      <w:r>
        <w:rPr>
          <w:rFonts w:ascii="Calibri" w:cs="Calibri" w:eastAsia="Calibri" w:hAnsi="Calibri"/>
          <w:b w:val="false"/>
          <w:bCs w:val="false"/>
          <w:i w:val="false"/>
          <w:iCs w:val="false"/>
          <w:color w:val="1A1A1A"/>
          <w:sz w:val="22"/>
          <w:szCs w:val="22"/>
        </w:rPr>
        <w:t xml:space="preserve">) would need to build comparable capability from scratch; talabat's proposition is redeployment, not invention, which is the direct source of its lower build-cost and faster-time-to-value relative to any rival building an equivalent capability new. This USP is inherited directly from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's governing hypothesis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 Option 2) — this section does not restate DEC-003, it quantifies the value that hypothesis creates once deployed.</w:t>
      </w:r>
    </w:p>
    <w:p>
      <w:pPr>
        <w:pStyle w:val="Heading2"/>
        <w:spacing w:after="120" w:before="280"/>
      </w:pPr>
      <w:r>
        <w:t xml:space="preserve">4.2 Value Creation Mechanisms — Each Quantified</w:t>
      </w:r>
    </w:p>
    <w:p>
      <w:pPr>
        <w:spacing w:after="160" w:before="120" w:line="276"/>
      </w:pPr>
      <w:r>
        <w:rPr>
          <w:rFonts w:ascii="Calibri" w:cs="Calibri" w:eastAsia="Calibri" w:hAnsi="Calibri"/>
          <w:b w:val="false"/>
          <w:bCs w:val="false"/>
          <w:i w:val="false"/>
          <w:iCs w:val="false"/>
          <w:color w:val="1A1A1A"/>
          <w:sz w:val="22"/>
          <w:szCs w:val="22"/>
        </w:rPr>
        <w:t xml:space="preserve">Per </w:t>
      </w:r>
      <w:r>
        <w:rPr>
          <w:rFonts w:ascii="Calibri" w:cs="Calibri" w:eastAsia="Calibri" w:hAnsi="Calibri"/>
          <w:b w:val="false"/>
          <w:bCs w:val="false"/>
          <w:i w:val="false"/>
          <w:iCs w:val="false"/>
          <w:color w:val="1A1A1A"/>
          <w:sz w:val="22"/>
          <w:szCs w:val="22"/>
        </w:rPr>
        <w:t xml:space="preserve">the Value Driver Tree</w:t>
      </w:r>
      <w:r>
        <w:rPr>
          <w:rFonts w:ascii="Calibri" w:cs="Calibri" w:eastAsia="Calibri" w:hAnsi="Calibri"/>
          <w:b w:val="false"/>
          <w:bCs w:val="false"/>
          <w:i w:val="false"/>
          <w:iCs w:val="false"/>
          <w:color w:val="1A1A1A"/>
          <w:sz w:val="22"/>
          <w:szCs w:val="22"/>
        </w:rPr>
        <w:t xml:space="preserve">'s two intervention-driven branches, the three mechanisms below are MECE at the level of distinct </w:t>
      </w:r>
      <w:r>
        <w:rPr>
          <w:rFonts w:ascii="Calibri" w:cs="Calibri" w:eastAsia="Calibri" w:hAnsi="Calibri"/>
          <w:b/>
          <w:bCs/>
          <w:i w:val="false"/>
          <w:iCs w:val="false"/>
          <w:color w:val="1A1A1A"/>
          <w:sz w:val="22"/>
          <w:szCs w:val="22"/>
        </w:rPr>
        <w:t xml:space="preserve">causal levers</w:t>
      </w:r>
      <w:r>
        <w:rPr>
          <w:rFonts w:ascii="Calibri" w:cs="Calibri" w:eastAsia="Calibri" w:hAnsi="Calibri"/>
          <w:b w:val="false"/>
          <w:bCs w:val="false"/>
          <w:i w:val="false"/>
          <w:iCs w:val="false"/>
          <w:color w:val="1A1A1A"/>
          <w:sz w:val="22"/>
          <w:szCs w:val="22"/>
        </w:rPr>
        <w:t xml:space="preserve">: Mechanism 1 acts on what a customer sees (recommendation quality), Mechanism 2 acts on when an offer reaches them (cross-sell/ loyalty timing), and Mechanism 3 acts on the Partner-facing advertising layer — no fourth lever exists in DEC-003's confirmed scope, and no two of these three levers describe the same causal action. </w:t>
      </w:r>
      <w:r>
        <w:rPr>
          <w:rFonts w:ascii="Calibri" w:cs="Calibri" w:eastAsia="Calibri" w:hAnsi="Calibri"/>
          <w:b/>
          <w:bCs/>
          <w:i w:val="false"/>
          <w:iCs w:val="false"/>
          <w:color w:val="1A1A1A"/>
          <w:sz w:val="22"/>
          <w:szCs w:val="22"/>
        </w:rPr>
        <w:t xml:space="preserve">This MECE claim is explicit about one precision point, not silent on it:</w:t>
      </w:r>
      <w:r>
        <w:rPr>
          <w:rFonts w:ascii="Calibri" w:cs="Calibri" w:eastAsia="Calibri" w:hAnsi="Calibri"/>
          <w:b w:val="false"/>
          <w:bCs w:val="false"/>
          <w:i w:val="false"/>
          <w:iCs w:val="false"/>
          <w:color w:val="1A1A1A"/>
          <w:sz w:val="22"/>
          <w:szCs w:val="22"/>
        </w:rPr>
        <w:t xml:space="preserve"> Mechanisms 1 and 2 are not yet financially distinct in </w:t>
      </w:r>
      <w:r>
        <w:rPr>
          <w:rFonts w:ascii="Consolas" w:cs="Consolas" w:eastAsia="Consolas" w:hAnsi="Consolas"/>
          <w:b w:val="false"/>
          <w:bCs w:val="false"/>
          <w:i w:val="false"/>
          <w:iCs w:val="false"/>
          <w:color w:val="1A1A1A"/>
          <w:sz w:val="22"/>
          <w:szCs w:val="22"/>
        </w:rPr>
        <w:t xml:space="preserve">Value_Driver_Tree.md</w:t>
      </w:r>
      <w:r>
        <w:rPr>
          <w:rFonts w:ascii="Calibri" w:cs="Calibri" w:eastAsia="Calibri" w:hAnsi="Calibri"/>
          <w:b w:val="false"/>
          <w:bCs w:val="false"/>
          <w:i w:val="false"/>
          <w:iCs w:val="false"/>
          <w:color w:val="1A1A1A"/>
          <w:sz w:val="22"/>
          <w:szCs w:val="22"/>
        </w:rPr>
        <w:t xml:space="preserve"> — both trace to the same combined Assumption node (</w:t>
      </w:r>
      <w:r>
        <w:rPr>
          <w:rFonts w:ascii="Consolas" w:cs="Consolas" w:eastAsia="Consolas" w:hAnsi="Consolas"/>
          <w:b w:val="false"/>
          <w:bCs w:val="false"/>
          <w:i w:val="false"/>
          <w:iCs w:val="false"/>
          <w:color w:val="1A1A1A"/>
          <w:sz w:val="22"/>
          <w:szCs w:val="22"/>
        </w:rPr>
        <w:t xml:space="preserve">ASM-008</w:t>
      </w:r>
      <w:r>
        <w:rPr>
          <w:rFonts w:ascii="Calibri" w:cs="Calibri" w:eastAsia="Calibri" w:hAnsi="Calibri"/>
          <w:b w:val="false"/>
          <w:bCs w:val="false"/>
          <w:i w:val="false"/>
          <w:iCs w:val="false"/>
          <w:color w:val="1A1A1A"/>
          <w:sz w:val="22"/>
          <w:szCs w:val="22"/>
        </w:rPr>
        <w:t xml:space="preserve">), because the corpus's evidence for them (the AI/personalisation EBITDA trail and talabat pro's uplift figures) is not separable into two independent financial effects. The two mechanisms are MECE as causal levers, and separately trackable at the KPI level (K6 for Mechanism 1, K7/K8 for Mechanism 2 — confirmed distinct in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 but not yet separable in the driver-tree's own financial estimate. A future Value Driver Tree revision that splits </w:t>
      </w:r>
      <w:r>
        <w:rPr>
          <w:rFonts w:ascii="Consolas" w:cs="Consolas" w:eastAsia="Consolas" w:hAnsi="Consolas"/>
          <w:b w:val="false"/>
          <w:bCs w:val="false"/>
          <w:i w:val="false"/>
          <w:iCs w:val="false"/>
          <w:color w:val="1A1A1A"/>
          <w:sz w:val="22"/>
          <w:szCs w:val="22"/>
        </w:rPr>
        <w:t xml:space="preserve">ASM-008</w:t>
      </w:r>
      <w:r>
        <w:rPr>
          <w:rFonts w:ascii="Calibri" w:cs="Calibri" w:eastAsia="Calibri" w:hAnsi="Calibri"/>
          <w:b w:val="false"/>
          <w:bCs w:val="false"/>
          <w:i w:val="false"/>
          <w:iCs w:val="false"/>
          <w:color w:val="1A1A1A"/>
          <w:sz w:val="22"/>
          <w:szCs w:val="22"/>
        </w:rPr>
        <w:t xml:space="preserve"> into two sub-nodes, once Egypt-specific data exists to support the split, would resolve this precisely — flagged here as an open item, not silently smoothed over.</w:t>
      </w:r>
    </w:p>
    <w:p>
      <w:pPr>
        <w:pStyle w:val="Heading3"/>
        <w:spacing w:after="100" w:before="220"/>
      </w:pPr>
      <w:r>
        <w:t xml:space="preserve">Mechanism 1 — Richer recommendation formats (revenue lift)</w:t>
      </w:r>
    </w:p>
    <w:p>
      <w:pPr>
        <w:spacing w:after="160" w:before="120" w:line="276"/>
      </w:pPr>
      <w:r>
        <w:rPr>
          <w:rFonts w:ascii="Calibri" w:cs="Calibri" w:eastAsia="Calibri" w:hAnsi="Calibri"/>
          <w:b/>
          <w:bCs/>
          <w:i w:val="false"/>
          <w:iCs w:val="false"/>
          <w:color w:val="1A1A1A"/>
          <w:sz w:val="22"/>
          <w:szCs w:val="22"/>
        </w:rPr>
        <w:t xml:space="preserve">What it is:</w:t>
      </w:r>
      <w:r>
        <w:rPr>
          <w:rFonts w:ascii="Calibri" w:cs="Calibri" w:eastAsia="Calibri" w:hAnsi="Calibri"/>
          <w:b w:val="false"/>
          <w:bCs w:val="false"/>
          <w:i w:val="false"/>
          <w:iCs w:val="false"/>
          <w:color w:val="1A1A1A"/>
          <w:sz w:val="22"/>
          <w:szCs w:val="22"/>
        </w:rPr>
        <w:t xml:space="preserve"> extending talabat's already-shipped cuisine-to-item-level recommendation ranking upgrade (TLB-002, page 15) and the stated "new form factors" roadmap item (TLB-015, page 89) into Egypt's app experience.</w:t>
      </w:r>
    </w:p>
    <w:p>
      <w:pPr>
        <w:spacing w:after="160" w:before="120" w:line="276"/>
      </w:pPr>
      <w:r>
        <w:rPr>
          <w:rFonts w:ascii="Calibri" w:cs="Calibri" w:eastAsia="Calibri" w:hAnsi="Calibri"/>
          <w:b/>
          <w:bCs/>
          <w:i w:val="false"/>
          <w:iCs w:val="false"/>
          <w:color w:val="1A1A1A"/>
          <w:sz w:val="22"/>
          <w:szCs w:val="22"/>
        </w:rPr>
        <w:t xml:space="preserve">Quantified (Group-level, the only trail in the corpus; not yet Egypt-proven):</w:t>
      </w:r>
      <w:r>
        <w:rPr>
          <w:rFonts w:ascii="Calibri" w:cs="Calibri" w:eastAsia="Calibri" w:hAnsi="Calibri"/>
          <w:b w:val="false"/>
          <w:bCs w:val="false"/>
          <w:i w:val="false"/>
          <w:iCs w:val="false"/>
          <w:color w:val="1A1A1A"/>
          <w:sz w:val="22"/>
          <w:szCs w:val="22"/>
        </w:rPr>
        <w:t xml:space="preserve"> the personalisation/ranking algorithm's estimated EBITDA contribution rose from USD 14mn+ (FY2024) to USD 30mn+ (FY2025) — TLB-001 p.23, TLB-002 p.15 — the only directly quantified financial trail for any AI mechanism in the entire corpus (</w:t>
      </w:r>
      <w:r>
        <w:rPr>
          <w:rFonts w:ascii="Consolas" w:cs="Consolas" w:eastAsia="Consolas" w:hAnsi="Consolas"/>
          <w:b w:val="false"/>
          <w:bCs w:val="false"/>
          <w:i w:val="false"/>
          <w:iCs w:val="false"/>
          <w:color w:val="1A1A1A"/>
          <w:sz w:val="22"/>
          <w:szCs w:val="22"/>
        </w:rPr>
        <w:t xml:space="preserve">Topics/Profitability.md</w:t>
      </w:r>
      <w:r>
        <w:rPr>
          <w:rFonts w:ascii="Calibri" w:cs="Calibri" w:eastAsia="Calibri" w:hAnsi="Calibri"/>
          <w:b w:val="false"/>
          <w:bCs w:val="false"/>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So what, for the customer:</w:t>
      </w:r>
      <w:r>
        <w:rPr>
          <w:rFonts w:ascii="Calibri" w:cs="Calibri" w:eastAsia="Calibri" w:hAnsi="Calibri"/>
          <w:b w:val="false"/>
          <w:bCs w:val="false"/>
          <w:i w:val="false"/>
          <w:iCs w:val="false"/>
          <w:color w:val="1A1A1A"/>
          <w:sz w:val="22"/>
          <w:szCs w:val="22"/>
        </w:rPr>
        <w:t xml:space="preserve"> less time spent searching, more relevant product discovery — directly addresses the pre-personalisation "unpersonalised experience gap" </w:t>
      </w:r>
      <w:r>
        <w:rPr>
          <w:rFonts w:ascii="Calibri" w:cs="Calibri" w:eastAsia="Calibri" w:hAnsi="Calibri"/>
          <w:b w:val="false"/>
          <w:bCs w:val="false"/>
          <w:i w:val="false"/>
          <w:iCs w:val="false"/>
          <w:color w:val="1A1A1A"/>
          <w:sz w:val="22"/>
          <w:szCs w:val="22"/>
        </w:rPr>
        <w:t xml:space="preserve"> Section 2</w:t>
      </w:r>
      <w:r>
        <w:rPr>
          <w:rFonts w:ascii="Calibri" w:cs="Calibri" w:eastAsia="Calibri" w:hAnsi="Calibri"/>
          <w:b w:val="false"/>
          <w:bCs w:val="false"/>
          <w:i w:val="false"/>
          <w:iCs w:val="false"/>
          <w:color w:val="1A1A1A"/>
          <w:sz w:val="22"/>
          <w:szCs w:val="22"/>
        </w:rPr>
        <w:t xml:space="preserve"> §2.2 names as the plan's product/experience-driven risk driver.</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So what, for the P&amp;L:</w:t>
      </w:r>
      <w:r>
        <w:rPr>
          <w:rFonts w:ascii="Calibri" w:cs="Calibri" w:eastAsia="Calibri" w:hAnsi="Calibri"/>
          <w:b w:val="false"/>
          <w:bCs w:val="false"/>
          <w:i w:val="false"/>
          <w:iCs w:val="false"/>
          <w:color w:val="1A1A1A"/>
          <w:sz w:val="22"/>
          <w:szCs w:val="22"/>
        </w:rPr>
        <w:t xml:space="preserve"> this is the mechanism behind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w:t>
      </w:r>
      <w:r>
        <w:rPr>
          <w:rFonts w:ascii="Calibri" w:cs="Calibri" w:eastAsia="Calibri" w:hAnsi="Calibri"/>
          <w:b/>
          <w:bCs/>
          <w:i w:val="false"/>
          <w:iCs w:val="false"/>
          <w:color w:val="1A1A1A"/>
          <w:sz w:val="22"/>
          <w:szCs w:val="22"/>
        </w:rPr>
        <w:t xml:space="preserve">K6</w:t>
      </w:r>
      <w:r>
        <w:rPr>
          <w:rFonts w:ascii="Calibri" w:cs="Calibri" w:eastAsia="Calibri" w:hAnsi="Calibri"/>
          <w:b w:val="false"/>
          <w:bCs w:val="false"/>
          <w:i w:val="false"/>
          <w:iCs w:val="false"/>
          <w:color w:val="1A1A1A"/>
          <w:sz w:val="22"/>
          <w:szCs w:val="22"/>
        </w:rPr>
        <w:t xml:space="preserve"> (orders per active customer per month) and the order-frequency leg of </w:t>
      </w:r>
      <w:r>
        <w:rPr>
          <w:rFonts w:ascii="Consolas" w:cs="Consolas" w:eastAsia="Consolas" w:hAnsi="Consolas"/>
          <w:b w:val="false"/>
          <w:bCs w:val="false"/>
          <w:i w:val="false"/>
          <w:iCs w:val="false"/>
          <w:color w:val="1A1A1A"/>
          <w:sz w:val="22"/>
          <w:szCs w:val="22"/>
        </w:rPr>
        <w:t xml:space="preserve">ASM-008</w:t>
      </w:r>
      <w:r>
        <w:rPr>
          <w:rFonts w:ascii="Calibri" w:cs="Calibri" w:eastAsia="Calibri" w:hAnsi="Calibri"/>
          <w:b w:val="false"/>
          <w:bCs w:val="false"/>
          <w:i w:val="false"/>
          <w:iCs w:val="false"/>
          <w:color w:val="1A1A1A"/>
          <w:sz w:val="22"/>
          <w:szCs w:val="22"/>
        </w:rPr>
        <w:t xml:space="preserve"> — the same node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's upside case builds its revenue-return framing on.</w:t>
      </w:r>
    </w:p>
    <w:p>
      <w:pPr>
        <w:pStyle w:val="Heading3"/>
        <w:spacing w:after="100" w:before="220"/>
      </w:pPr>
      <w:r>
        <w:t xml:space="preserve">Mechanism 2 — Cross-sell timing and incentive optimisation (revenue lift)</w:t>
      </w:r>
    </w:p>
    <w:p>
      <w:pPr>
        <w:spacing w:after="160" w:before="120" w:line="276"/>
      </w:pPr>
      <w:r>
        <w:rPr>
          <w:rFonts w:ascii="Calibri" w:cs="Calibri" w:eastAsia="Calibri" w:hAnsi="Calibri"/>
          <w:b/>
          <w:bCs/>
          <w:i w:val="false"/>
          <w:iCs w:val="false"/>
          <w:color w:val="1A1A1A"/>
          <w:sz w:val="22"/>
          <w:szCs w:val="22"/>
        </w:rPr>
        <w:t xml:space="preserve">What it is:</w:t>
      </w:r>
      <w:r>
        <w:rPr>
          <w:rFonts w:ascii="Calibri" w:cs="Calibri" w:eastAsia="Calibri" w:hAnsi="Calibri"/>
          <w:b w:val="false"/>
          <w:bCs w:val="false"/>
          <w:i w:val="false"/>
          <w:iCs w:val="false"/>
          <w:color w:val="1A1A1A"/>
          <w:sz w:val="22"/>
          <w:szCs w:val="22"/>
        </w:rPr>
        <w:t xml:space="preserve"> using the same ML mechanism that already decides "the right time" to surface a talabat pro or talabat Rewards offer (TLB-023, page 8) to prioritize Egypt customers along the documented Food → Grocery &amp; Retail → talabat pro journey (TLB-013, page 6).</w:t>
      </w:r>
    </w:p>
    <w:p>
      <w:pPr>
        <w:spacing w:after="160" w:before="120" w:line="276"/>
      </w:pPr>
      <w:r>
        <w:rPr>
          <w:rFonts w:ascii="Calibri" w:cs="Calibri" w:eastAsia="Calibri" w:hAnsi="Calibri"/>
          <w:b/>
          <w:bCs/>
          <w:i w:val="false"/>
          <w:iCs w:val="false"/>
          <w:color w:val="1A1A1A"/>
          <w:sz w:val="22"/>
          <w:szCs w:val="22"/>
        </w:rPr>
        <w:t xml:space="preserve">Quantified (Group/GCC-level, explicitly excluding Egypt at time of measurement — </w:t>
      </w:r>
      <w:r>
        <w:rPr>
          <w:rFonts w:ascii="Consolas" w:cs="Consolas" w:eastAsia="Consolas" w:hAnsi="Consolas"/>
          <w:b/>
          <w:bCs/>
          <w:i w:val="false"/>
          <w:iCs w:val="false"/>
          <w:color w:val="1A1A1A"/>
          <w:sz w:val="22"/>
          <w:szCs w:val="22"/>
        </w:rPr>
        <w:t xml:space="preserve">Strategic/Customer Retention Drivers.md</w:t>
      </w:r>
      <w:r>
        <w:rPr>
          <w:rFonts w:ascii="Calibri" w:cs="Calibri" w:eastAsia="Calibri" w:hAnsi="Calibri"/>
          <w:b/>
          <w:bCs/>
          <w:i w:val="false"/>
          <w:iCs w:val="false"/>
          <w:color w:val="1A1A1A"/>
          <w:sz w:val="22"/>
          <w:szCs w:val="22"/>
        </w:rPr>
        <w:t xml:space="preserve">):</w:t>
      </w:r>
      <w:r>
        <w:rPr>
          <w:rFonts w:ascii="Calibri" w:cs="Calibri" w:eastAsia="Calibri" w:hAnsi="Calibri"/>
          <w:b w:val="false"/>
          <w:bCs w:val="false"/>
          <w:i w:val="false"/>
          <w:iCs w:val="false"/>
          <w:color w:val="1A1A1A"/>
          <w:sz w:val="22"/>
          <w:szCs w:val="22"/>
        </w:rPr>
        <w:t xml:space="preserve"> talabat pro shows a 20–28% order-frequency uplift and 26–32% retention uplift versus lookalike non-subscribers (TLB-023 p.8, TLB-001 p.18, TLB-019 p.11, TLB-015 p.78/p.104); multi-vertical customers order 13.0×/month versus 3.8×/month for mono-vertical customers (TLB-012, page 7); mono-vertical subscribers show +16pp M1 retention versus mono-vertical non-subscribers, rising to +20pp for multi-vertical subscribers (TLB-019, page 10).</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So what, for the customer:</w:t>
      </w:r>
      <w:r>
        <w:rPr>
          <w:rFonts w:ascii="Calibri" w:cs="Calibri" w:eastAsia="Calibri" w:hAnsi="Calibri"/>
          <w:b w:val="false"/>
          <w:bCs w:val="false"/>
          <w:i w:val="false"/>
          <w:iCs w:val="false"/>
          <w:color w:val="1A1A1A"/>
          <w:sz w:val="22"/>
          <w:szCs w:val="22"/>
        </w:rPr>
        <w:t xml:space="preserve"> offers arrive when they're actually useful — a loyalty programme and cross-vertical bundle timed to genuine need, not blanket promotion.</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So what, for the P&amp;L:</w:t>
      </w:r>
      <w:r>
        <w:rPr>
          <w:rFonts w:ascii="Calibri" w:cs="Calibri" w:eastAsia="Calibri" w:hAnsi="Calibri"/>
          <w:b w:val="false"/>
          <w:bCs w:val="false"/>
          <w:i w:val="false"/>
          <w:iCs w:val="false"/>
          <w:color w:val="1A1A1A"/>
          <w:sz w:val="22"/>
          <w:szCs w:val="22"/>
        </w:rPr>
        <w:t xml:space="preserve"> this is the mechanism behind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w:t>
      </w:r>
      <w:r>
        <w:rPr>
          <w:rFonts w:ascii="Calibri" w:cs="Calibri" w:eastAsia="Calibri" w:hAnsi="Calibri"/>
          <w:b/>
          <w:bCs/>
          <w:i w:val="false"/>
          <w:iCs w:val="false"/>
          <w:color w:val="1A1A1A"/>
          <w:sz w:val="22"/>
          <w:szCs w:val="22"/>
        </w:rPr>
        <w:t xml:space="preserve">K7</w:t>
      </w:r>
      <w:r>
        <w:rPr>
          <w:rFonts w:ascii="Calibri" w:cs="Calibri" w:eastAsia="Calibri" w:hAnsi="Calibri"/>
          <w:b w:val="false"/>
          <w:bCs w:val="false"/>
          <w:i w:val="false"/>
          <w:iCs w:val="false"/>
          <w:color w:val="1A1A1A"/>
          <w:sz w:val="22"/>
          <w:szCs w:val="22"/>
        </w:rPr>
        <w:t xml:space="preserve"> (talabat pro adoption rate) and </w:t>
      </w:r>
      <w:r>
        <w:rPr>
          <w:rFonts w:ascii="Calibri" w:cs="Calibri" w:eastAsia="Calibri" w:hAnsi="Calibri"/>
          <w:b/>
          <w:bCs/>
          <w:i w:val="false"/>
          <w:iCs w:val="false"/>
          <w:color w:val="1A1A1A"/>
          <w:sz w:val="22"/>
          <w:szCs w:val="22"/>
        </w:rPr>
        <w:t xml:space="preserve">K8</w:t>
      </w:r>
      <w:r>
        <w:rPr>
          <w:rFonts w:ascii="Calibri" w:cs="Calibri" w:eastAsia="Calibri" w:hAnsi="Calibri"/>
          <w:b w:val="false"/>
          <w:bCs w:val="false"/>
          <w:i w:val="false"/>
          <w:iCs w:val="false"/>
          <w:color w:val="1A1A1A"/>
          <w:sz w:val="22"/>
          <w:szCs w:val="22"/>
        </w:rPr>
        <w:t xml:space="preserve"> (12-month retention rate), and it is the specific driver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§9.3 treats as the upside case's "return on investment" — the delta between the base case (no intervention credit) and the upside case is </w:t>
      </w:r>
      <w:r>
        <w:rPr>
          <w:rFonts w:ascii="Calibri" w:cs="Calibri" w:eastAsia="Calibri" w:hAnsi="Calibri"/>
          <w:b w:val="false"/>
          <w:bCs w:val="false"/>
          <w:i/>
          <w:iCs/>
          <w:color w:val="1A1A1A"/>
          <w:sz w:val="22"/>
          <w:szCs w:val="22"/>
        </w:rPr>
        <w:t xml:space="preserve">this</w:t>
      </w:r>
      <w:r>
        <w:rPr>
          <w:rFonts w:ascii="Calibri" w:cs="Calibri" w:eastAsia="Calibri" w:hAnsi="Calibri"/>
          <w:b w:val="false"/>
          <w:bCs w:val="false"/>
          <w:i w:val="false"/>
          <w:iCs w:val="false"/>
          <w:color w:val="1A1A1A"/>
          <w:sz w:val="22"/>
          <w:szCs w:val="22"/>
        </w:rPr>
        <w:t xml:space="preserve"> mechanism's projected effect, not a generic AI uplift.</w:t>
      </w:r>
    </w:p>
    <w:p>
      <w:pPr>
        <w:spacing w:after="160" w:before="120" w:line="276"/>
      </w:pPr>
      <w:r>
        <w:rPr>
          <w:rFonts w:ascii="Calibri" w:cs="Calibri" w:eastAsia="Calibri" w:hAnsi="Calibri"/>
          <w:b/>
          <w:bCs/>
          <w:i w:val="false"/>
          <w:iCs w:val="false"/>
          <w:color w:val="1A1A1A"/>
          <w:sz w:val="22"/>
          <w:szCs w:val="22"/>
        </w:rPr>
        <w:t xml:space="preserve">Cost savings (labeled directional, not separately quantified for Egypt — no Egypt-specific CARC figure is disclosed, per </w:t>
      </w:r>
      <w:r>
        <w:rPr>
          <w:rFonts w:ascii="Consolas" w:cs="Consolas" w:eastAsia="Consolas" w:hAnsi="Consolas"/>
          <w:b/>
          <w:bCs/>
          <w:i w:val="false"/>
          <w:iCs w:val="false"/>
          <w:color w:val="1A1A1A"/>
          <w:sz w:val="22"/>
          <w:szCs w:val="22"/>
        </w:rPr>
        <w:t xml:space="preserve">Strategic/Cost Structure.md</w:t>
      </w:r>
      <w:r>
        <w:rPr>
          <w:rFonts w:ascii="Calibri" w:cs="Calibri" w:eastAsia="Calibri" w:hAnsi="Calibri"/>
          <w:b/>
          <w:bCs/>
          <w:i w:val="false"/>
          <w:iCs w:val="false"/>
          <w:color w:val="1A1A1A"/>
          <w:sz w:val="22"/>
          <w:szCs w:val="22"/>
        </w:rPr>
        <w:t xml:space="preserve">):</w:t>
      </w:r>
      <w:r>
        <w:rPr>
          <w:rFonts w:ascii="Calibri" w:cs="Calibri" w:eastAsia="Calibri" w:hAnsi="Calibri"/>
          <w:b w:val="false"/>
          <w:bCs w:val="false"/>
          <w:i w:val="false"/>
          <w:iCs w:val="false"/>
          <w:color w:val="1A1A1A"/>
          <w:sz w:val="22"/>
          <w:szCs w:val="22"/>
        </w:rPr>
        <w:t xml:space="preserve"> the same ML-timed offer-surfacing mechanism is the vehicle for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§9.2's cost-efficiency argument — AI-targeted, personalised incentives replacing blanket vouchering within talabat's Customer Acquisition and Retention Costs (CARC), which rose Group-wide from 1.5% of GMV (2023) to 1.6% (2025) with composition shifting toward vouchering (</w:t>
      </w:r>
      <w:r>
        <w:rPr>
          <w:rFonts w:ascii="Consolas" w:cs="Consolas" w:eastAsia="Consolas" w:hAnsi="Consolas"/>
          <w:b w:val="false"/>
          <w:bCs w:val="false"/>
          <w:i w:val="false"/>
          <w:iCs w:val="false"/>
          <w:color w:val="1A1A1A"/>
          <w:sz w:val="22"/>
          <w:szCs w:val="22"/>
        </w:rPr>
        <w:t xml:space="preserve">Strategic/Cost Structure.md</w:t>
      </w:r>
      <w:r>
        <w:rPr>
          <w:rFonts w:ascii="Calibri" w:cs="Calibri" w:eastAsia="Calibri" w:hAnsi="Calibri"/>
          <w:b w:val="false"/>
          <w:bCs w:val="false"/>
          <w:i w:val="false"/>
          <w:iCs w:val="false"/>
          <w:color w:val="1A1A1A"/>
          <w:sz w:val="22"/>
          <w:szCs w:val="22"/>
        </w:rPr>
        <w:t xml:space="preserve">, TLB-001 p.28, TLB-002 p.21). This mechanism's value is not "spend more on retention" — it is "spend the existing CARC envelope more precisely," because the same offer-timing capability that drives Mechanism 2's revenue lift is what makes targeted incentives a substitute for, not an addition to, blanket vouchering. No Egypt-specific cost-savings dollar figure is asserted, since no Egypt CARC baseline exists to measure a reduction against.</w:t>
      </w:r>
    </w:p>
    <w:p>
      <w:pPr>
        <w:pStyle w:val="Heading3"/>
        <w:spacing w:after="100" w:before="220"/>
      </w:pPr>
      <w:r>
        <w:t xml:space="preserve">Mechanism 3 — Deepened adtech-embedded personalisation (revenue lift)</w:t>
      </w:r>
    </w:p>
    <w:p>
      <w:pPr>
        <w:spacing w:after="160" w:before="120" w:line="276"/>
      </w:pPr>
      <w:r>
        <w:rPr>
          <w:rFonts w:ascii="Calibri" w:cs="Calibri" w:eastAsia="Calibri" w:hAnsi="Calibri"/>
          <w:b/>
          <w:bCs/>
          <w:i w:val="false"/>
          <w:iCs w:val="false"/>
          <w:color w:val="1A1A1A"/>
          <w:sz w:val="22"/>
          <w:szCs w:val="22"/>
        </w:rPr>
        <w:t xml:space="preserve">What it is:</w:t>
      </w:r>
      <w:r>
        <w:rPr>
          <w:rFonts w:ascii="Calibri" w:cs="Calibri" w:eastAsia="Calibri" w:hAnsi="Calibri"/>
          <w:b w:val="false"/>
          <w:bCs w:val="false"/>
          <w:i w:val="false"/>
          <w:iCs w:val="false"/>
          <w:color w:val="1A1A1A"/>
          <w:sz w:val="22"/>
          <w:szCs w:val="22"/>
        </w:rPr>
        <w:t xml:space="preserve"> extending the Group's stated 2026 ambition to deepen AI "particularly within our rapidly growing adtech business" (TLB-002, page 10) to Egypt's Partner base, echoing GEMs — talabat's existing AI-supported Partner-facing win-back tool (TLB-026, page 138) — applied to a market whose AdTech penetration is currently unmeasured.</w:t>
      </w:r>
    </w:p>
    <w:p>
      <w:pPr>
        <w:spacing w:after="160" w:before="120" w:line="276"/>
      </w:pPr>
      <w:r>
        <w:rPr>
          <w:rFonts w:ascii="Calibri" w:cs="Calibri" w:eastAsia="Calibri" w:hAnsi="Calibri"/>
          <w:b/>
          <w:bCs/>
          <w:i w:val="false"/>
          <w:iCs w:val="false"/>
          <w:color w:val="1A1A1A"/>
          <w:sz w:val="22"/>
          <w:szCs w:val="22"/>
        </w:rPr>
        <w:t xml:space="preserve">Quantified (Group-level):</w:t>
      </w:r>
      <w:r>
        <w:rPr>
          <w:rFonts w:ascii="Calibri" w:cs="Calibri" w:eastAsia="Calibri" w:hAnsi="Calibri"/>
          <w:b w:val="false"/>
          <w:bCs w:val="false"/>
          <w:i w:val="false"/>
          <w:iCs w:val="false"/>
          <w:color w:val="1A1A1A"/>
          <w:sz w:val="22"/>
          <w:szCs w:val="22"/>
        </w:rPr>
        <w:t xml:space="preserve"> Advertising &amp; listing fees revenue grew from USD 246m (FY2024) to USD 323m (FY2025), +32% y/y (TLB-002 p.20, TLB-009 p.4), against a management-stated ~7%-of-GMV medium-term benchmark (TLB-001, page 21) already reached in the UAE for talabat mart specifically (TLB-002, page 10) — current Group AdTech penetration sits at 3.4–3.5% of GMV (TLB-002, pages 11/14/19), implying real headroom even before considering Egypt's own unmeasured baseline.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So what, for the customer/Partner:</w:t>
      </w:r>
      <w:r>
        <w:rPr>
          <w:rFonts w:ascii="Calibri" w:cs="Calibri" w:eastAsia="Calibri" w:hAnsi="Calibri"/>
          <w:b w:val="false"/>
          <w:bCs w:val="false"/>
          <w:i w:val="false"/>
          <w:iCs w:val="false"/>
          <w:color w:val="1A1A1A"/>
          <w:sz w:val="22"/>
          <w:szCs w:val="22"/>
        </w:rPr>
        <w:t xml:space="preserve"> more relevant Partner promotions and offers, delivered through the same personalisation infrastructure that already serves consumer-facing recommendations — advertising quality rises with, not at the expense of, customer experience quality.</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So what, for the P&amp;L:</w:t>
      </w:r>
      <w:r>
        <w:rPr>
          <w:rFonts w:ascii="Calibri" w:cs="Calibri" w:eastAsia="Calibri" w:hAnsi="Calibri"/>
          <w:b w:val="false"/>
          <w:bCs w:val="false"/>
          <w:i w:val="false"/>
          <w:iCs w:val="false"/>
          <w:color w:val="1A1A1A"/>
          <w:sz w:val="22"/>
          <w:szCs w:val="22"/>
        </w:rPr>
        <w:t xml:space="preserve"> this is the mechanism behind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w:t>
      </w:r>
      <w:r>
        <w:rPr>
          <w:rFonts w:ascii="Calibri" w:cs="Calibri" w:eastAsia="Calibri" w:hAnsi="Calibri"/>
          <w:b/>
          <w:bCs/>
          <w:i w:val="false"/>
          <w:iCs w:val="false"/>
          <w:color w:val="1A1A1A"/>
          <w:sz w:val="22"/>
          <w:szCs w:val="22"/>
        </w:rPr>
        <w:t xml:space="preserve">K13</w:t>
      </w:r>
      <w:r>
        <w:rPr>
          <w:rFonts w:ascii="Calibri" w:cs="Calibri" w:eastAsia="Calibri" w:hAnsi="Calibri"/>
          <w:b w:val="false"/>
          <w:bCs w:val="false"/>
          <w:i w:val="false"/>
          <w:iCs w:val="false"/>
          <w:color w:val="1A1A1A"/>
          <w:sz w:val="22"/>
          <w:szCs w:val="22"/>
        </w:rPr>
        <w:t xml:space="preserve"> (Egypt advertising revenue as % of segment revenue) and </w:t>
      </w:r>
      <w:r>
        <w:rPr>
          <w:rFonts w:ascii="Calibri" w:cs="Calibri" w:eastAsia="Calibri" w:hAnsi="Calibri"/>
          <w:b/>
          <w:bCs/>
          <w:i w:val="false"/>
          <w:iCs w:val="false"/>
          <w:color w:val="1A1A1A"/>
          <w:sz w:val="22"/>
          <w:szCs w:val="22"/>
        </w:rPr>
        <w:t xml:space="preserve">K14</w:t>
      </w:r>
      <w:r>
        <w:rPr>
          <w:rFonts w:ascii="Calibri" w:cs="Calibri" w:eastAsia="Calibri" w:hAnsi="Calibri"/>
          <w:b w:val="false"/>
          <w:bCs w:val="false"/>
          <w:i w:val="false"/>
          <w:iCs w:val="false"/>
          <w:color w:val="1A1A1A"/>
          <w:sz w:val="22"/>
          <w:szCs w:val="22"/>
        </w:rPr>
        <w:t xml:space="preserve"> (active/paying advertisers) — a longer-horizon revenue line than Mechanisms 1–2, correctly treated in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§9.6 as the slowest-maturing of the three monetization channels.</w:t>
      </w:r>
    </w:p>
    <w:p>
      <w:pPr>
        <w:pStyle w:val="Heading3"/>
        <w:spacing w:after="100" w:before="220"/>
      </w:pPr>
      <w:r>
        <w:t xml:space="preserve">Risk reduction (the fourth value-creation category the template names, explicitly not quantified)</w:t>
      </w:r>
    </w:p>
    <w:p>
      <w:pPr>
        <w:spacing w:after="160" w:before="120" w:line="276"/>
      </w:pPr>
      <w:r>
        <w:rPr>
          <w:rFonts w:ascii="Calibri" w:cs="Calibri" w:eastAsia="Calibri" w:hAnsi="Calibri"/>
          <w:b/>
          <w:bCs/>
          <w:i w:val="false"/>
          <w:iCs w:val="false"/>
          <w:color w:val="1A1A1A"/>
          <w:sz w:val="22"/>
          <w:szCs w:val="22"/>
        </w:rPr>
        <w:t xml:space="preserve">Labeled deliberately unquantified, not omitted:</w:t>
      </w:r>
      <w:r>
        <w:rPr>
          <w:rFonts w:ascii="Calibri" w:cs="Calibri" w:eastAsia="Calibri" w:hAnsi="Calibri"/>
          <w:b w:val="false"/>
          <w:bCs w:val="false"/>
          <w:i w:val="false"/>
          <w:iCs w:val="false"/>
          <w:color w:val="1A1A1A"/>
          <w:sz w:val="22"/>
          <w:szCs w:val="22"/>
        </w:rPr>
        <w:t xml:space="preserve"> no corpus figure exists to attach a specific risk-reduction dollar or percentage value to, so this category is stated qualitatively rather than forced into a fabricated number — consistent with this plan's "quantify or delete" discipline read the honest way (delete the number, not the category, when no defensible number exists). None of the three mechanisms above is a risk-reduction play on its own — but their </w:t>
      </w:r>
      <w:r>
        <w:rPr>
          <w:rFonts w:ascii="Calibri" w:cs="Calibri" w:eastAsia="Calibri" w:hAnsi="Calibri"/>
          <w:b w:val="false"/>
          <w:bCs w:val="false"/>
          <w:i/>
          <w:iCs/>
          <w:color w:val="1A1A1A"/>
          <w:sz w:val="22"/>
          <w:szCs w:val="22"/>
        </w:rPr>
        <w:t xml:space="preserve">combined effect</w:t>
      </w:r>
      <w:r>
        <w:rPr>
          <w:rFonts w:ascii="Calibri" w:cs="Calibri" w:eastAsia="Calibri" w:hAnsi="Calibri"/>
          <w:b w:val="false"/>
          <w:bCs w:val="false"/>
          <w:i w:val="false"/>
          <w:iCs w:val="false"/>
          <w:color w:val="1A1A1A"/>
          <w:sz w:val="22"/>
          <w:szCs w:val="22"/>
        </w:rPr>
        <w:t xml:space="preserve">, successfully deployed, is this plan's answer to the risk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scores as the single highest-severity item in the entire risk register: the upside case underperforming the base case (High probability, High impact, </w:t>
      </w:r>
      <w:r>
        <w:rPr>
          <w:rFonts w:ascii="Consolas" w:cs="Consolas" w:eastAsia="Consolas" w:hAnsi="Consolas"/>
          <w:b w:val="false"/>
          <w:bCs w:val="false"/>
          <w:i w:val="false"/>
          <w:iCs w:val="false"/>
          <w:color w:val="1A1A1A"/>
          <w:sz w:val="22"/>
          <w:szCs w:val="22"/>
        </w:rPr>
        <w:t xml:space="preserve">ASM-008</w:t>
      </w:r>
      <w:r>
        <w:rPr>
          <w:rFonts w:ascii="Calibri" w:cs="Calibri" w:eastAsia="Calibri" w:hAnsi="Calibri"/>
          <w:b w:val="false"/>
          <w:bCs w:val="false"/>
          <w:i w:val="false"/>
          <w:iCs w:val="false"/>
          <w:color w:val="1A1A1A"/>
          <w:sz w:val="22"/>
          <w:szCs w:val="22"/>
        </w:rPr>
        <w:t xml:space="preserve">/</w:t>
      </w:r>
      <w:r>
        <w:rPr>
          <w:rFonts w:ascii="Consolas" w:cs="Consolas" w:eastAsia="Consolas" w:hAnsi="Consolas"/>
          <w:b w:val="false"/>
          <w:bCs w:val="false"/>
          <w:i w:val="false"/>
          <w:iCs w:val="false"/>
          <w:color w:val="1A1A1A"/>
          <w:sz w:val="22"/>
          <w:szCs w:val="22"/>
        </w:rPr>
        <w:t xml:space="preserve">ASM-011</w:t>
      </w:r>
      <w:r>
        <w:rPr>
          <w:rFonts w:ascii="Calibri" w:cs="Calibri" w:eastAsia="Calibri" w:hAnsi="Calibri"/>
          <w:b w:val="false"/>
          <w:bCs w:val="false"/>
          <w:i w:val="false"/>
          <w:iCs w:val="false"/>
          <w:color w:val="1A1A1A"/>
          <w:sz w:val="22"/>
          <w:szCs w:val="22"/>
        </w:rPr>
        <w:t xml:space="preserve">). Value creation and risk reduction are therefore the same argument read from two directions — the more these three mechanisms actually work in Egypt, the less the plan's largest named risk materializes. This section does not double-count that argument by re-deriving it; it names the connection explicitly, per this plan's own established cross-section discipline (Sections 9 and 10 already model this exact relationship).</w:t>
      </w:r>
    </w:p>
    <w:p>
      <w:pPr>
        <w:pStyle w:val="Heading2"/>
        <w:spacing w:after="120" w:before="280"/>
      </w:pPr>
      <w:r>
        <w:t xml:space="preserve">4.3 Impact on Customer Outcomes and ROI — Calculation Logic Shown</w:t>
      </w:r>
    </w:p>
    <w:p>
      <w:pPr>
        <w:spacing w:after="160" w:before="120" w:line="276"/>
      </w:pPr>
      <w:r>
        <w:rPr>
          <w:rFonts w:ascii="Calibri" w:cs="Calibri" w:eastAsia="Calibri" w:hAnsi="Calibri"/>
          <w:b/>
          <w:bCs/>
          <w:i w:val="false"/>
          <w:iCs w:val="false"/>
          <w:color w:val="1A1A1A"/>
          <w:sz w:val="22"/>
          <w:szCs w:val="22"/>
        </w:rPr>
        <w:t xml:space="preserve">Customer outcome:</w:t>
      </w:r>
      <w:r>
        <w:rPr>
          <w:rFonts w:ascii="Calibri" w:cs="Calibri" w:eastAsia="Calibri" w:hAnsi="Calibri"/>
          <w:b w:val="false"/>
          <w:bCs w:val="false"/>
          <w:i w:val="false"/>
          <w:iCs w:val="false"/>
          <w:color w:val="1A1A1A"/>
          <w:sz w:val="22"/>
          <w:szCs w:val="22"/>
        </w:rPr>
        <w:t xml:space="preserve"> the composite effect of the three mechanisms is a more relevant, better-timed, increasingly multi-vertical talabat experience for Egypt customers — concretely, movement along the documented Food → Grocery &amp; Retail → talabat pro journey (TLB-013, page 6) that the Group's own data shows correlates with materially higher retention (+16pp to +20pp M1 retention, Group-level, not yet Egypt-proven).</w:t>
      </w:r>
    </w:p>
    <w:p>
      <w:pPr>
        <w:spacing w:after="160" w:before="120" w:line="276"/>
      </w:pPr>
      <w:r>
        <w:rPr>
          <w:rFonts w:ascii="Calibri" w:cs="Calibri" w:eastAsia="Calibri" w:hAnsi="Calibri"/>
          <w:b/>
          <w:bCs/>
          <w:i w:val="false"/>
          <w:iCs w:val="false"/>
          <w:color w:val="1A1A1A"/>
          <w:sz w:val="22"/>
          <w:szCs w:val="22"/>
        </w:rPr>
        <w:t xml:space="preserve">ROI calculation logic — referenced, not re-derived</w:t>
      </w:r>
      <w:r>
        <w:rPr>
          <w:rFonts w:ascii="Calibri" w:cs="Calibri" w:eastAsia="Calibri" w:hAnsi="Calibri"/>
          <w:b w:val="false"/>
          <w:bCs w:val="false"/>
          <w:i w:val="false"/>
          <w:iCs w:val="false"/>
          <w:color w:val="1A1A1A"/>
          <w:sz w:val="22"/>
          <w:szCs w:val="22"/>
        </w:rPr>
        <w:t xml:space="preserve"> (per this plan's "one message per exhibit" discipline, matching how Section 10 references Section 3 rather than duplicating its tables):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§9.4 already builds the full illustrative sensitivity this section's value creation feeds: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Investment: ≈USD 13.2m (illustrative, </w:t>
      </w:r>
      <w:r>
        <w:rPr>
          <w:rFonts w:ascii="Consolas" w:cs="Consolas" w:eastAsia="Consolas" w:hAnsi="Consolas"/>
          <w:b w:val="false"/>
          <w:bCs w:val="false"/>
          <w:i w:val="false"/>
          <w:iCs w:val="false"/>
          <w:color w:val="1A1A1A"/>
          <w:sz w:val="22"/>
          <w:szCs w:val="22"/>
        </w:rPr>
        <w:t xml:space="preserve">ASM-012</w:t>
      </w:r>
      <w:r>
        <w:rPr>
          <w:rFonts w:ascii="Calibri" w:cs="Calibri" w:eastAsia="Calibri" w:hAnsi="Calibri"/>
          <w:b w:val="false"/>
          <w:bCs w:val="false"/>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Required incremental revenue to break even, at Egypt's disclosed 24.5% gross margin: ≈USD 53.9m.</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As a share of Egypt's FY2025 revenue base (USD 509.9m): ≈10.6% incremental lift — a materially lower bar than the 20–28% Group-level order-frequency uplift Mechanism 2 is modeled on, even though a frequency-uplift percentage and a revenue-growth percentage are not identical measurements.</w:t>
      </w:r>
    </w:p>
    <w:p>
      <w:pPr>
        <w:spacing w:after="160" w:before="120" w:line="276"/>
      </w:pPr>
      <w:r>
        <w:rPr>
          <w:rFonts w:ascii="Calibri" w:cs="Calibri" w:eastAsia="Calibri" w:hAnsi="Calibri"/>
          <w:b w:val="false"/>
          <w:bCs w:val="false"/>
          <w:i w:val="false"/>
          <w:iCs w:val="false"/>
          <w:color w:val="1A1A1A"/>
          <w:sz w:val="22"/>
          <w:szCs w:val="22"/>
        </w:rPr>
        <w:t xml:space="preserve">This section's contribution is naming </w:t>
      </w:r>
      <w:r>
        <w:rPr>
          <w:rFonts w:ascii="Calibri" w:cs="Calibri" w:eastAsia="Calibri" w:hAnsi="Calibri"/>
          <w:b w:val="false"/>
          <w:bCs w:val="false"/>
          <w:i/>
          <w:iCs/>
          <w:color w:val="1A1A1A"/>
          <w:sz w:val="22"/>
          <w:szCs w:val="22"/>
        </w:rPr>
        <w:t xml:space="preserve">which</w:t>
      </w:r>
      <w:r>
        <w:rPr>
          <w:rFonts w:ascii="Calibri" w:cs="Calibri" w:eastAsia="Calibri" w:hAnsi="Calibri"/>
          <w:b w:val="false"/>
          <w:bCs w:val="false"/>
          <w:i w:val="false"/>
          <w:iCs w:val="false"/>
          <w:color w:val="1A1A1A"/>
          <w:sz w:val="22"/>
          <w:szCs w:val="22"/>
        </w:rPr>
        <w:t xml:space="preserve"> value mechanisms this ROI depends on (Mechanisms 1–3 above), not recomputing the ROI itself — the number lives in Section 9, the mechanism-to-number linkage lives here, and </w:t>
      </w:r>
      <w:r>
        <w:rPr>
          <w:rFonts w:ascii="Calibri" w:cs="Calibri" w:eastAsia="Calibri" w:hAnsi="Calibri"/>
          <w:b w:val="false"/>
          <w:bCs w:val="false"/>
          <w:i w:val="false"/>
          <w:iCs w:val="false"/>
          <w:color w:val="1A1A1A"/>
          <w:sz w:val="22"/>
          <w:szCs w:val="22"/>
        </w:rPr>
        <w:t xml:space="preserve">Section 13's KPI Tree</w:t>
      </w:r>
      <w:r>
        <w:rPr>
          <w:rFonts w:ascii="Calibri" w:cs="Calibri" w:eastAsia="Calibri" w:hAnsi="Calibri"/>
          <w:b w:val="false"/>
          <w:bCs w:val="false"/>
          <w:i w:val="false"/>
          <w:iCs w:val="false"/>
          <w:color w:val="1A1A1A"/>
          <w:sz w:val="22"/>
          <w:szCs w:val="22"/>
        </w:rPr>
        <w:t xml:space="preserve"> is what will make the linkage measurable once Egypt data exists (all three mechanisms' KPIs are tagged newly-instrumented, per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own honest baseline-exists/newly-instrumented split). </w:t>
      </w:r>
      <w:r>
        <w:rPr>
          <w:rFonts w:ascii="Consolas" w:cs="Consolas" w:eastAsia="Consolas" w:hAnsi="Consolas"/>
          <w:b/>
          <w:bCs/>
          <w:i w:val="false"/>
          <w:iCs w:val="false"/>
          <w:color w:val="1A1A1A"/>
          <w:sz w:val="22"/>
          <w:szCs w:val="22"/>
        </w:rPr>
        <w:t xml:space="preserve">KPI_Tree.md</w:t>
      </w:r>
      <w:r>
        <w:rPr>
          <w:rFonts w:ascii="Calibri" w:cs="Calibri" w:eastAsia="Calibri" w:hAnsi="Calibri"/>
          <w:b/>
          <w:bCs/>
          <w:i w:val="false"/>
          <w:iCs w:val="false"/>
          <w:color w:val="1A1A1A"/>
          <w:sz w:val="22"/>
          <w:szCs w:val="22"/>
        </w:rPr>
        <w:t xml:space="preserve">'s K16</w:t>
      </w:r>
      <w:r>
        <w:rPr>
          <w:rFonts w:ascii="Calibri" w:cs="Calibri" w:eastAsia="Calibri" w:hAnsi="Calibri"/>
          <w:b w:val="false"/>
          <w:bCs w:val="false"/>
          <w:i w:val="false"/>
          <w:iCs w:val="false"/>
          <w:color w:val="1A1A1A"/>
          <w:sz w:val="22"/>
          <w:szCs w:val="22"/>
        </w:rPr>
        <w:t xml:space="preserve"> — "Incremental Egypt revenue attributable to the DEC-003 AI-roadmap-extension intervention (upside-case revenue delta vs. base-case revenue)" — is the KPI built specifically to make this ROI paragraph's concept measurable once Egypt data exists: it is a named composite of </w:t>
      </w:r>
      <w:r>
        <w:rPr>
          <w:rFonts w:ascii="Consolas" w:cs="Consolas" w:eastAsia="Consolas" w:hAnsi="Consolas"/>
          <w:b w:val="false"/>
          <w:bCs w:val="false"/>
          <w:i w:val="false"/>
          <w:iCs w:val="false"/>
          <w:color w:val="1A1A1A"/>
          <w:sz w:val="22"/>
          <w:szCs w:val="22"/>
        </w:rPr>
        <w:t xml:space="preserve">ASM-008</w:t>
      </w:r>
      <w:r>
        <w:rPr>
          <w:rFonts w:ascii="Calibri" w:cs="Calibri" w:eastAsia="Calibri" w:hAnsi="Calibri"/>
          <w:b w:val="false"/>
          <w:bCs w:val="false"/>
          <w:i w:val="false"/>
          <w:iCs w:val="false"/>
          <w:color w:val="1A1A1A"/>
          <w:sz w:val="22"/>
          <w:szCs w:val="22"/>
        </w:rPr>
        <w:t xml:space="preserve"> + </w:t>
      </w:r>
      <w:r>
        <w:rPr>
          <w:rFonts w:ascii="Consolas" w:cs="Consolas" w:eastAsia="Consolas" w:hAnsi="Consolas"/>
          <w:b w:val="false"/>
          <w:bCs w:val="false"/>
          <w:i w:val="false"/>
          <w:iCs w:val="false"/>
          <w:color w:val="1A1A1A"/>
          <w:sz w:val="22"/>
          <w:szCs w:val="22"/>
        </w:rPr>
        <w:t xml:space="preserve">ASM-011</w:t>
      </w:r>
      <w:r>
        <w:rPr>
          <w:rFonts w:ascii="Calibri" w:cs="Calibri" w:eastAsia="Calibri" w:hAnsi="Calibri"/>
          <w:b w:val="false"/>
          <w:bCs w:val="false"/>
          <w:i w:val="false"/>
          <w:iCs w:val="false"/>
          <w:color w:val="1A1A1A"/>
          <w:sz w:val="22"/>
          <w:szCs w:val="22"/>
        </w:rPr>
        <w:t xml:space="preserve"> + the Root Fact node, i.e. the same three mechanisms this section describes, expressed as a single trackable metric.</w:t>
      </w:r>
    </w:p>
    <w:p>
      <w:pPr>
        <w:sectPr>
          <w:headerReference w:type="default" r:id="rId17"/>
          <w:footerReference w:type="default" r:id="rId18"/>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5. AI Technology and Development</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talabat does not need new AI technology to execute this plan — it needs to point technology it already owns, has already partly shipped, and already funds (</w:t>
      </w:r>
      <w:r>
        <w:rPr>
          <w:rFonts w:ascii="Consolas" w:cs="Consolas" w:eastAsia="Consolas" w:hAnsi="Consolas"/>
          <w:b w:val="false"/>
          <w:bCs w:val="false"/>
          <w:i w:val="false"/>
          <w:iCs w:val="false"/>
          <w:color w:val="1A1A1A"/>
          <w:sz w:val="22"/>
          <w:szCs w:val="22"/>
        </w:rPr>
        <w:t xml:space="preserve">DEC-004</w:t>
      </w:r>
      <w:r>
        <w:rPr>
          <w:rFonts w:ascii="Calibri" w:cs="Calibri" w:eastAsia="Calibri" w:hAnsi="Calibri"/>
          <w:b w:val="false"/>
          <w:bCs w:val="false"/>
          <w:i w:val="false"/>
          <w:iCs w:val="false"/>
          <w:color w:val="1A1A1A"/>
          <w:sz w:val="22"/>
          <w:szCs w:val="22"/>
        </w:rPr>
        <w:t xml:space="preserve">'s ~USD120mn Everyday App envelope) at Egypt specifically. The build/buy/partner decision this section works through is not "build vs. buy" in the conventional sense; talabat's own history already answers that question (partner with Delivery Hero for shared infrastructure, build proprietary personalisation on top). The live decision for this plan is narrower: </w:t>
      </w:r>
      <w:r>
        <w:rPr>
          <w:rFonts w:ascii="Calibri" w:cs="Calibri" w:eastAsia="Calibri" w:hAnsi="Calibri"/>
          <w:b/>
          <w:bCs/>
          <w:i w:val="false"/>
          <w:iCs w:val="false"/>
          <w:color w:val="1A1A1A"/>
          <w:sz w:val="22"/>
          <w:szCs w:val="22"/>
        </w:rPr>
        <w:t xml:space="preserve">redeploy the existing owned capability to Egypt, versus building a new Egypt-specific capability, versus licensing a third-party vendor</w:t>
      </w:r>
      <w:r>
        <w:rPr>
          <w:rFonts w:ascii="Calibri" w:cs="Calibri" w:eastAsia="Calibri" w:hAnsi="Calibri"/>
          <w:b w:val="false"/>
          <w:bCs w:val="false"/>
          <w:i w:val="false"/>
          <w:iCs w:val="false"/>
          <w:color w:val="1A1A1A"/>
          <w:sz w:val="22"/>
          <w:szCs w:val="22"/>
        </w:rPr>
        <w:t xml:space="preserve"> — and redeployment wins decisively on cost and speed, which is precisely what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 already committed the plan to.</w:t>
      </w:r>
    </w:p>
    <w:p>
      <w:pPr>
        <w:pStyle w:val="Heading2"/>
        <w:spacing w:after="120" w:before="280"/>
      </w:pPr>
      <w:r>
        <w:t xml:space="preserve">5.1 Description of AI Technology</w:t>
      </w:r>
    </w:p>
    <w:p>
      <w:pPr>
        <w:spacing w:after="160" w:before="120" w:line="276"/>
      </w:pPr>
      <w:r>
        <w:rPr>
          <w:rFonts w:ascii="Calibri" w:cs="Calibri" w:eastAsia="Calibri" w:hAnsi="Calibri"/>
          <w:b w:val="false"/>
          <w:bCs w:val="false"/>
          <w:i w:val="false"/>
          <w:iCs w:val="false"/>
          <w:color w:val="1A1A1A"/>
          <w:sz w:val="22"/>
          <w:szCs w:val="22"/>
        </w:rPr>
        <w:t xml:space="preserve">talabat's AI/ML capability is a horizontal layer spanning four disclosed application areas, not a single model: </w:t>
      </w:r>
      <w:r>
        <w:rPr>
          <w:rFonts w:ascii="Calibri" w:cs="Calibri" w:eastAsia="Calibri" w:hAnsi="Calibri"/>
          <w:b/>
          <w:bCs/>
          <w:i w:val="false"/>
          <w:iCs w:val="false"/>
          <w:color w:val="1A1A1A"/>
          <w:sz w:val="22"/>
          <w:szCs w:val="22"/>
        </w:rPr>
        <w:t xml:space="preserve">customer-facing personalisation</w:t>
      </w:r>
      <w:r>
        <w:rPr>
          <w:rFonts w:ascii="Calibri" w:cs="Calibri" w:eastAsia="Calibri" w:hAnsi="Calibri"/>
          <w:b w:val="false"/>
          <w:bCs w:val="false"/>
          <w:i w:val="false"/>
          <w:iCs w:val="false"/>
          <w:color w:val="1A1A1A"/>
          <w:sz w:val="22"/>
          <w:szCs w:val="22"/>
        </w:rPr>
        <w:t xml:space="preserve"> (recommendations and loyalty-offer timing), </w:t>
      </w:r>
      <w:r>
        <w:rPr>
          <w:rFonts w:ascii="Calibri" w:cs="Calibri" w:eastAsia="Calibri" w:hAnsi="Calibri"/>
          <w:b/>
          <w:bCs/>
          <w:i w:val="false"/>
          <w:iCs w:val="false"/>
          <w:color w:val="1A1A1A"/>
          <w:sz w:val="22"/>
          <w:szCs w:val="22"/>
        </w:rPr>
        <w:t xml:space="preserve">logistics</w:t>
      </w:r>
      <w:r>
        <w:rPr>
          <w:rFonts w:ascii="Calibri" w:cs="Calibri" w:eastAsia="Calibri" w:hAnsi="Calibri"/>
          <w:b w:val="false"/>
          <w:bCs w:val="false"/>
          <w:i w:val="false"/>
          <w:iCs w:val="false"/>
          <w:color w:val="1A1A1A"/>
          <w:sz w:val="22"/>
          <w:szCs w:val="22"/>
        </w:rPr>
        <w:t xml:space="preserve"> (predictive dispatch, dynamic route optimisation), </w:t>
      </w:r>
      <w:r>
        <w:rPr>
          <w:rFonts w:ascii="Calibri" w:cs="Calibri" w:eastAsia="Calibri" w:hAnsi="Calibri"/>
          <w:b/>
          <w:bCs/>
          <w:i w:val="false"/>
          <w:iCs w:val="false"/>
          <w:color w:val="1A1A1A"/>
          <w:sz w:val="22"/>
          <w:szCs w:val="22"/>
        </w:rPr>
        <w:t xml:space="preserve">advertising</w:t>
      </w:r>
      <w:r>
        <w:rPr>
          <w:rFonts w:ascii="Calibri" w:cs="Calibri" w:eastAsia="Calibri" w:hAnsi="Calibri"/>
          <w:b w:val="false"/>
          <w:bCs w:val="false"/>
          <w:i w:val="false"/>
          <w:iCs w:val="false"/>
          <w:color w:val="1A1A1A"/>
          <w:sz w:val="22"/>
          <w:szCs w:val="22"/>
        </w:rPr>
        <w:t xml:space="preserve"> (AI-driven ad-targeting, automated ad-buying), and </w:t>
      </w:r>
      <w:r>
        <w:rPr>
          <w:rFonts w:ascii="Calibri" w:cs="Calibri" w:eastAsia="Calibri" w:hAnsi="Calibri"/>
          <w:b/>
          <w:bCs/>
          <w:i w:val="false"/>
          <w:iCs w:val="false"/>
          <w:color w:val="1A1A1A"/>
          <w:sz w:val="22"/>
          <w:szCs w:val="22"/>
        </w:rPr>
        <w:t xml:space="preserve">internal operations</w:t>
      </w:r>
      <w:r>
        <w:rPr>
          <w:rFonts w:ascii="Calibri" w:cs="Calibri" w:eastAsia="Calibri" w:hAnsi="Calibri"/>
          <w:b w:val="false"/>
          <w:bCs w:val="false"/>
          <w:i w:val="false"/>
          <w:iCs w:val="false"/>
          <w:color w:val="1A1A1A"/>
          <w:sz w:val="22"/>
          <w:szCs w:val="22"/>
        </w:rPr>
        <w:t xml:space="preserve"> (invoice matching, sales-lead qualification, fraud detection) — TLB-001, page 10, 13, 22–23; TLB-002, page 15–16. The corpus does not name specific model architectures (no disclosed reference to LLMs, transformer models, or computer vision specifically) — every disclosed AI application is a machine-learning / recommendation-ranking system, and this section does not overstate the corpus by inventing model-architecture detail it does not disclose.</w:t>
      </w:r>
    </w:p>
    <w:p>
      <w:pPr>
        <w:spacing w:after="160" w:before="120" w:line="276"/>
      </w:pPr>
      <w:r>
        <w:rPr>
          <w:rFonts w:ascii="Calibri" w:cs="Calibri" w:eastAsia="Calibri" w:hAnsi="Calibri"/>
          <w:b/>
          <w:bCs/>
          <w:i w:val="false"/>
          <w:iCs w:val="false"/>
          <w:color w:val="1A1A1A"/>
          <w:sz w:val="22"/>
          <w:szCs w:val="22"/>
        </w:rPr>
        <w:t xml:space="preserve">Data scale:</w:t>
      </w:r>
      <w:r>
        <w:rPr>
          <w:rFonts w:ascii="Calibri" w:cs="Calibri" w:eastAsia="Calibri" w:hAnsi="Calibri"/>
          <w:b w:val="false"/>
          <w:bCs w:val="false"/>
          <w:i w:val="false"/>
          <w:iCs w:val="false"/>
          <w:color w:val="1A1A1A"/>
          <w:sz w:val="22"/>
          <w:szCs w:val="22"/>
        </w:rPr>
        <w:t xml:space="preserve"> talabat processes over 235 terabytes of data daily as of FY2025 (TLB-002, page 15), up from ~13 terabytes/day as of mid-2024 (TLB-015) — an order-of-magnitude growth in the underlying data pipeline in roughly a year, the clearest disclosed evidence of the platform's technical scaling trajectory.</w:t>
      </w:r>
    </w:p>
    <w:p>
      <w:pPr>
        <w:spacing w:after="160" w:before="120" w:line="276"/>
      </w:pPr>
      <w:r>
        <w:rPr>
          <w:rFonts w:ascii="Calibri" w:cs="Calibri" w:eastAsia="Calibri" w:hAnsi="Calibri"/>
          <w:b/>
          <w:bCs/>
          <w:i w:val="false"/>
          <w:iCs w:val="false"/>
          <w:color w:val="1A1A1A"/>
          <w:sz w:val="22"/>
          <w:szCs w:val="22"/>
        </w:rPr>
        <w:t xml:space="preserve">The mechanism this plan's governing hypothesis depends on</w:t>
      </w:r>
      <w:r>
        <w:rPr>
          <w:rFonts w:ascii="Calibri" w:cs="Calibri" w:eastAsia="Calibri" w:hAnsi="Calibri"/>
          <w:b w:val="false"/>
          <w:bCs w:val="false"/>
          <w:i w:val="false"/>
          <w:iCs w:val="false"/>
          <w:color w:val="1A1A1A"/>
          <w:sz w:val="22"/>
          <w:szCs w:val="22"/>
        </w:rPr>
        <w:t xml:space="preserve"> (per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 is the proprietary personalisation/ranking algorithm: it activates after approximately six orders from a given customer (TLB-001, page 22–23; TLB-026), has evolved from cuisine-level to item-level recommendation granularity (the "Meal for One" example, TLB-002, page 15), and is the same model that decides when to surface a talabat pro or talabat Rewards offer (TLB-023, page 8) and which vertical to cross-sell (TLB-026, page 121).</w:t>
      </w:r>
    </w:p>
    <w:p>
      <w:pPr>
        <w:pStyle w:val="Heading2"/>
        <w:spacing w:after="120" w:before="280"/>
      </w:pPr>
      <w:r>
        <w:t xml:space="preserve">5.2 Build / Buy / Partner Decision — Structured Options Analysis</w:t>
      </w:r>
    </w:p>
    <w:p>
      <w:pPr>
        <w:spacing w:after="160" w:before="120" w:line="276"/>
      </w:pPr>
      <w:r>
        <w:rPr>
          <w:rFonts w:ascii="Calibri" w:cs="Calibri" w:eastAsia="Calibri" w:hAnsi="Calibri"/>
          <w:b w:val="false"/>
          <w:bCs w:val="false"/>
          <w:i w:val="false"/>
          <w:iCs w:val="false"/>
          <w:color w:val="1A1A1A"/>
          <w:sz w:val="22"/>
          <w:szCs w:val="22"/>
        </w:rPr>
        <w:t xml:space="preserve">talabat's own disclosed history is a hybrid: the </w:t>
      </w:r>
      <w:r>
        <w:rPr>
          <w:rFonts w:ascii="Calibri" w:cs="Calibri" w:eastAsia="Calibri" w:hAnsi="Calibri"/>
          <w:b/>
          <w:bCs/>
          <w:i w:val="false"/>
          <w:iCs w:val="false"/>
          <w:color w:val="1A1A1A"/>
          <w:sz w:val="22"/>
          <w:szCs w:val="22"/>
        </w:rPr>
        <w:t xml:space="preserve">foundational infrastructure is partnered</w:t>
      </w:r>
      <w:r>
        <w:rPr>
          <w:rFonts w:ascii="Calibri" w:cs="Calibri" w:eastAsia="Calibri" w:hAnsi="Calibri"/>
          <w:b w:val="false"/>
          <w:bCs w:val="false"/>
          <w:i w:val="false"/>
          <w:iCs w:val="false"/>
          <w:color w:val="1A1A1A"/>
          <w:sz w:val="22"/>
          <w:szCs w:val="22"/>
        </w:rPr>
        <w:t xml:space="preserve"> (licensed from parent Delivery Hero SE — dispatch algorithms, real-time GPS tracking, back-end solutions, TLB-001/TLB-026), while the </w:t>
      </w:r>
      <w:r>
        <w:rPr>
          <w:rFonts w:ascii="Calibri" w:cs="Calibri" w:eastAsia="Calibri" w:hAnsi="Calibri"/>
          <w:b/>
          <w:bCs/>
          <w:i w:val="false"/>
          <w:iCs w:val="false"/>
          <w:color w:val="1A1A1A"/>
          <w:sz w:val="22"/>
          <w:szCs w:val="22"/>
        </w:rPr>
        <w:t xml:space="preserve">personalisation/ranking layer on top is proprietary and talabat-built</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Entities/Technology_Platforms.md</w:t>
      </w:r>
      <w:r>
        <w:rPr>
          <w:rFonts w:ascii="Calibri" w:cs="Calibri" w:eastAsia="Calibri" w:hAnsi="Calibri"/>
          <w:b w:val="false"/>
          <w:bCs w:val="false"/>
          <w:i w:val="false"/>
          <w:iCs w:val="false"/>
          <w:color w:val="1A1A1A"/>
          <w:sz w:val="22"/>
          <w:szCs w:val="22"/>
        </w:rPr>
        <w:t xml:space="preserve">). This plan does not revisit that historical choice — it is a disclosed fact, not a decision this capstone is making. The live decision, per this plan's governing hypothesis, is how to bring that already-built layer to Egypt specifically:</w:t>
      </w:r>
    </w:p>
    <w:p>
      <w:pPr>
        <w:spacing w:after="40" w:before="60"/>
      </w:pPr>
      <w:r>
        <w:rPr>
          <w:rFonts w:ascii="Calibri" w:cs="Calibri" w:eastAsia="Calibri" w:hAnsi="Calibri"/>
          <w:b/>
          <w:bCs/>
          <w:i/>
          <w:iCs/>
          <w:color w:val="595959"/>
          <w:sz w:val="18"/>
          <w:szCs w:val="18"/>
        </w:rPr>
        <w:t xml:space="preserve">Table 3.</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72"/>
        <w:gridCol w:w="1872"/>
        <w:gridCol w:w="1872"/>
        <w:gridCol w:w="1872"/>
        <w:gridCol w:w="1872"/>
      </w:tblGrid>
      <w:tr>
        <w:trPr>
          <w:tblHeader/>
        </w:trPr>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Option</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Cost</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Speed</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Capability</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Data confidentiality</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A — Redeploy existing owned capability to Egypt</w:t>
            </w:r>
            <w:r>
              <w:rPr>
                <w:rFonts w:ascii="Calibri" w:cs="Calibri" w:eastAsia="Calibri" w:hAnsi="Calibri"/>
                <w:b w:val="false"/>
                <w:bCs w:val="false"/>
                <w:i w:val="false"/>
                <w:iCs w:val="false"/>
                <w:color w:val="1A1A1A"/>
                <w:sz w:val="18"/>
                <w:szCs w:val="18"/>
              </w:rPr>
              <w:t xml:space="preserve"> (this plan's chosen path, per </w:t>
            </w:r>
            <w:r>
              <w:rPr>
                <w:rFonts w:ascii="Consolas" w:cs="Consolas" w:eastAsia="Consolas" w:hAnsi="Consolas"/>
                <w:b w:val="false"/>
                <w:bCs w:val="false"/>
                <w:i w:val="false"/>
                <w:iCs w:val="false"/>
                <w:color w:val="1A1A1A"/>
                <w:sz w:val="18"/>
                <w:szCs w:val="18"/>
              </w:rPr>
              <w:t xml:space="preserve">DEC-003</w:t>
            </w:r>
            <w:r>
              <w:rPr>
                <w:rFonts w:ascii="Calibri" w:cs="Calibri" w:eastAsia="Calibri" w:hAnsi="Calibri"/>
                <w:b w:val="false"/>
                <w:bCs w:val="false"/>
                <w:i w:val="false"/>
                <w:iCs w:val="false"/>
                <w:color w:val="1A1A1A"/>
                <w:sz w:val="18"/>
                <w:szCs w:val="18"/>
              </w:rPr>
              <w:t xml:space="preserve">)</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 — no new model development; this section's own inference (not a DEC-004-stated equivalence) is that the personalisation algorithm, dispatch logic, and adtech targeting ride on capability DEC-004's disclosed ~USD120mn Everyday App envelope already funds — DEC-004 itself names the envelope's disclosed uses as talabat mart dark-store scaling, the talabat pro loyalty programme, and new-vertical expansion, not these three AI mechanisms by name (</w:t>
            </w:r>
            <w:r>
              <w:rPr>
                <w:rFonts w:ascii="Consolas" w:cs="Consolas" w:eastAsia="Consolas" w:hAnsi="Consolas"/>
                <w:b w:val="false"/>
                <w:bCs w:val="false"/>
                <w:i w:val="false"/>
                <w:iCs w:val="false"/>
                <w:color w:val="1A1A1A"/>
                <w:sz w:val="18"/>
                <w:szCs w:val="18"/>
              </w:rPr>
              <w:t xml:space="preserve">DEC-004</w:t>
            </w:r>
            <w:r>
              <w:rPr>
                <w:rFonts w:ascii="Calibri" w:cs="Calibri" w:eastAsia="Calibri" w:hAnsi="Calibri"/>
                <w:b w:val="false"/>
                <w:bCs w:val="false"/>
                <w:i w:val="false"/>
                <w:iCs w:val="false"/>
                <w:color w:val="1A1A1A"/>
                <w:sz w:val="18"/>
                <w:szCs w:val="18"/>
              </w:rPr>
              <w:t xml:space="preserve">)</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Fast — infrastructure to run it already exists in Egypt (largest MENA q-commerce distribution centre with in-house AI demand forecasting; a 1,500-person Global Tech &amp; Shared Services hub delivering 74% of shared services and 30% of app features Group-wide, </w:t>
            </w:r>
            <w:r>
              <w:rPr>
                <w:rFonts w:ascii="Consolas" w:cs="Consolas" w:eastAsia="Consolas" w:hAnsi="Consolas"/>
                <w:b w:val="false"/>
                <w:bCs w:val="false"/>
                <w:i w:val="false"/>
                <w:iCs w:val="false"/>
                <w:color w:val="1A1A1A"/>
                <w:sz w:val="18"/>
                <w:szCs w:val="18"/>
              </w:rPr>
              <w:t xml:space="preserve">ASM-004</w:t>
            </w:r>
            <w:r>
              <w:rPr>
                <w:rFonts w:ascii="Calibri" w:cs="Calibri" w:eastAsia="Calibri" w:hAnsi="Calibri"/>
                <w:b w:val="false"/>
                <w:bCs w:val="false"/>
                <w:i w:val="false"/>
                <w:iCs w:val="false"/>
                <w:color w:val="1A1A1A"/>
                <w:sz w:val="18"/>
                <w:szCs w:val="18"/>
              </w:rPr>
              <w:t xml:space="preserve">)</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Proven at Group level (the only directly quantified AI-EBITDA trail in the corpus, $14mn+→$30mn+ FY24→FY25, TLB-001, page 23; TLB-002, page 16; </w:t>
            </w:r>
            <w:r>
              <w:rPr>
                <w:rFonts w:ascii="Consolas" w:cs="Consolas" w:eastAsia="Consolas" w:hAnsi="Consolas"/>
                <w:b w:val="false"/>
                <w:bCs w:val="false"/>
                <w:i w:val="false"/>
                <w:iCs w:val="false"/>
                <w:color w:val="1A1A1A"/>
                <w:sz w:val="18"/>
                <w:szCs w:val="18"/>
              </w:rPr>
              <w:t xml:space="preserve">Topics/Profitability.md</w:t>
            </w:r>
            <w:r>
              <w:rPr>
                <w:rFonts w:ascii="Calibri" w:cs="Calibri" w:eastAsia="Calibri" w:hAnsi="Calibri"/>
                <w:b w:val="false"/>
                <w:bCs w:val="false"/>
                <w:i w:val="false"/>
                <w:iCs w:val="false"/>
                <w:color w:val="1A1A1A"/>
                <w:sz w:val="18"/>
                <w:szCs w:val="18"/>
              </w:rPr>
              <w:t xml:space="preserve">) but </w:t>
            </w:r>
            <w:r>
              <w:rPr>
                <w:rFonts w:ascii="Calibri" w:cs="Calibri" w:eastAsia="Calibri" w:hAnsi="Calibri"/>
                <w:b/>
                <w:bCs/>
                <w:i w:val="false"/>
                <w:iCs w:val="false"/>
                <w:color w:val="1A1A1A"/>
                <w:sz w:val="18"/>
                <w:szCs w:val="18"/>
              </w:rPr>
              <w:t xml:space="preserve">not yet confirmed to perform equivalently on Egypt's population</w:t>
            </w:r>
            <w:r>
              <w:rPr>
                <w:rFonts w:ascii="Calibri" w:cs="Calibri" w:eastAsia="Calibri" w:hAnsi="Calibri"/>
                <w:b w:val="false"/>
                <w:bCs w:val="false"/>
                <w:i w:val="false"/>
                <w:iCs w:val="false"/>
                <w:color w:val="1A1A1A"/>
                <w:sz w:val="18"/>
                <w:szCs w:val="18"/>
              </w:rPr>
              <w:t xml:space="preserve"> — the exact risk </w:t>
            </w:r>
            <w:r>
              <w:rPr>
                <w:rFonts w:ascii="Consolas" w:cs="Consolas" w:eastAsia="Consolas" w:hAnsi="Consolas"/>
                <w:b w:val="false"/>
                <w:bCs w:val="false"/>
                <w:i w:val="false"/>
                <w:iCs w:val="false"/>
                <w:color w:val="1A1A1A"/>
                <w:sz w:val="18"/>
                <w:szCs w:val="18"/>
              </w:rPr>
              <w:t xml:space="preserve">Section_10_Risk_Analysis.md</w:t>
            </w:r>
            <w:r>
              <w:rPr>
                <w:rFonts w:ascii="Calibri" w:cs="Calibri" w:eastAsia="Calibri" w:hAnsi="Calibri"/>
                <w:b w:val="false"/>
                <w:bCs w:val="false"/>
                <w:i w:val="false"/>
                <w:iCs w:val="false"/>
                <w:color w:val="1A1A1A"/>
                <w:sz w:val="18"/>
                <w:szCs w:val="18"/>
              </w:rPr>
              <w:t xml:space="preserve"> names as Model Transfer Risk</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High — no new third-party data-sharing relationship required; data stays within talabat/Delivery Hero's existing infrastructure</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B — Build a new, Egypt-specific AI capability from scratch</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High — new model development, new training data pipeline, no existing EBITDA trail to build a business case on</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Slow — no disclosed talabat precedent for building a market-specific model from zero</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Unknown — untested, no corpus evidence either way</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High, same as Option A</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C — License/partner with a new third-party AI vendor for Egypt</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Medium-to-high — new vendor relationship, new integration cost, ongoing licensing fees not currently incurred</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 — vendor onboarding and integration typically slower than redeploying an internal system already running elsewhere</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Vendor-dependent, unproven for talabat's specific use case</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Lower — introduces a new external party with access to Egypt customer/order data, a genuine confidentiality and governance question the corpus gives no basis to evaluate</w:t>
            </w:r>
          </w:p>
        </w:tc>
      </w:tr>
    </w:tbl>
    <w:p>
      <w:pPr>
        <w:spacing w:after="160" w:before="120" w:line="276"/>
      </w:pPr>
      <w:r>
        <w:rPr>
          <w:rFonts w:ascii="Calibri" w:cs="Calibri" w:eastAsia="Calibri" w:hAnsi="Calibri"/>
          <w:b/>
          <w:bCs/>
          <w:i w:val="false"/>
          <w:iCs w:val="false"/>
          <w:color w:val="1A1A1A"/>
          <w:sz w:val="22"/>
          <w:szCs w:val="22"/>
        </w:rPr>
        <w:t xml:space="preserve">Decision: Option A.</w:t>
      </w:r>
      <w:r>
        <w:rPr>
          <w:rFonts w:ascii="Calibri" w:cs="Calibri" w:eastAsia="Calibri" w:hAnsi="Calibri"/>
          <w:b w:val="false"/>
          <w:bCs w:val="false"/>
          <w:i w:val="false"/>
          <w:iCs w:val="false"/>
          <w:color w:val="1A1A1A"/>
          <w:sz w:val="22"/>
          <w:szCs w:val="22"/>
        </w:rPr>
        <w:t xml:space="preserve"> This is not a new judgment call this section is making independently — it is the direct technical consequence of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already-user-confirmed governing hypothesis (extend the Group AI roadmap into Egypt, not build a new capability or license one). This section's contribution is showing </w:t>
      </w:r>
      <w:r>
        <w:rPr>
          <w:rFonts w:ascii="Calibri" w:cs="Calibri" w:eastAsia="Calibri" w:hAnsi="Calibri"/>
          <w:b w:val="false"/>
          <w:bCs w:val="false"/>
          <w:i/>
          <w:iCs/>
          <w:color w:val="1A1A1A"/>
          <w:sz w:val="22"/>
          <w:szCs w:val="22"/>
        </w:rPr>
        <w:t xml:space="preserve">why</w:t>
      </w:r>
      <w:r>
        <w:rPr>
          <w:rFonts w:ascii="Calibri" w:cs="Calibri" w:eastAsia="Calibri" w:hAnsi="Calibri"/>
          <w:b w:val="false"/>
          <w:bCs w:val="false"/>
          <w:i w:val="false"/>
          <w:iCs w:val="false"/>
          <w:color w:val="1A1A1A"/>
          <w:sz w:val="22"/>
          <w:szCs w:val="22"/>
        </w:rPr>
        <w:t xml:space="preserve"> that choice wins on the template's own required criteria (cost, speed, capability, data confidentiality), not re-litigating the choice itself.</w:t>
      </w:r>
    </w:p>
    <w:p>
      <w:pPr>
        <w:pStyle w:val="Heading2"/>
        <w:spacing w:after="120" w:before="280"/>
      </w:pPr>
      <w:r>
        <w:t xml:space="preserve">5.3 Proprietary Algorithms, Data Models</w:t>
      </w:r>
    </w:p>
    <w:p>
      <w:pPr>
        <w:spacing w:after="160" w:before="120" w:line="276"/>
      </w:pPr>
      <w:r>
        <w:rPr>
          <w:rFonts w:ascii="Calibri" w:cs="Calibri" w:eastAsia="Calibri" w:hAnsi="Calibri"/>
          <w:b w:val="false"/>
          <w:bCs w:val="false"/>
          <w:i w:val="false"/>
          <w:iCs w:val="false"/>
          <w:color w:val="1A1A1A"/>
          <w:sz w:val="22"/>
          <w:szCs w:val="22"/>
        </w:rPr>
        <w:t xml:space="preserve">The corpus discloses one clearly proprietary, talabat-owned algorithm relevant to this plan: the </w:t>
      </w:r>
      <w:r>
        <w:rPr>
          <w:rFonts w:ascii="Calibri" w:cs="Calibri" w:eastAsia="Calibri" w:hAnsi="Calibri"/>
          <w:b/>
          <w:bCs/>
          <w:i w:val="false"/>
          <w:iCs w:val="false"/>
          <w:color w:val="1A1A1A"/>
          <w:sz w:val="22"/>
          <w:szCs w:val="22"/>
        </w:rPr>
        <w:t xml:space="preserve">personalisation/ranking algorithm</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Entities/Technology_Platforms.md</w:t>
      </w:r>
      <w:r>
        <w:rPr>
          <w:rFonts w:ascii="Calibri" w:cs="Calibri" w:eastAsia="Calibri" w:hAnsi="Calibri"/>
          <w:b w:val="false"/>
          <w:bCs w:val="false"/>
          <w:i w:val="false"/>
          <w:iCs w:val="false"/>
          <w:color w:val="1A1A1A"/>
          <w:sz w:val="22"/>
          <w:szCs w:val="22"/>
        </w:rPr>
        <w:t xml:space="preserve">), distinct from the Delivery-Hero-licensed dispatch/logistics stack. No patent is disclosed anywhere in the corpus — this section does not assert one exists. The algorithm's proprietary status is evidenced structurally (it is described as talabat's own ML system, separately from the explicitly-licensed Delivery Hero infrastructure) rather than through any IP filing disclosed in the corpus.</w:t>
      </w:r>
    </w:p>
    <w:p>
      <w:pPr>
        <w:pStyle w:val="Heading2"/>
        <w:spacing w:after="120" w:before="280"/>
      </w:pPr>
      <w:r>
        <w:t xml:space="preserve">5.4 Infrastructure and Tools</w:t>
      </w:r>
    </w:p>
    <w:p>
      <w:pPr>
        <w:spacing w:after="160" w:before="120" w:line="276"/>
      </w:pPr>
      <w:r>
        <w:rPr>
          <w:rFonts w:ascii="Calibri" w:cs="Calibri" w:eastAsia="Calibri" w:hAnsi="Calibri"/>
          <w:b/>
          <w:bCs/>
          <w:i w:val="false"/>
          <w:iCs w:val="false"/>
          <w:color w:val="1A1A1A"/>
          <w:sz w:val="22"/>
          <w:szCs w:val="22"/>
        </w:rPr>
        <w:t xml:space="preserve">Cloud/data infrastructure:</w:t>
      </w:r>
      <w:r>
        <w:rPr>
          <w:rFonts w:ascii="Calibri" w:cs="Calibri" w:eastAsia="Calibri" w:hAnsi="Calibri"/>
          <w:b w:val="false"/>
          <w:bCs w:val="false"/>
          <w:i w:val="false"/>
          <w:iCs w:val="false"/>
          <w:color w:val="1A1A1A"/>
          <w:sz w:val="22"/>
          <w:szCs w:val="22"/>
        </w:rPr>
        <w:t xml:space="preserve"> the corpus does not name a specific cloud platform (no disclosed reference to AWS, Azure, or GCP specifically) — only the scale of data processed (235TB/day) and the shared Delivery Hero technology stack it runs on. This section does not invent a specific vendor the corpus does not disclose.</w:t>
      </w:r>
    </w:p>
    <w:p>
      <w:pPr>
        <w:spacing w:after="160" w:before="120" w:line="276"/>
      </w:pPr>
      <w:r>
        <w:rPr>
          <w:rFonts w:ascii="Calibri" w:cs="Calibri" w:eastAsia="Calibri" w:hAnsi="Calibri"/>
          <w:b/>
          <w:bCs/>
          <w:i w:val="false"/>
          <w:iCs w:val="false"/>
          <w:color w:val="1A1A1A"/>
          <w:sz w:val="22"/>
          <w:szCs w:val="22"/>
        </w:rPr>
        <w:t xml:space="preserve">Egypt-specific infrastructure already in place</w:t>
      </w:r>
      <w:r>
        <w:rPr>
          <w:rFonts w:ascii="Calibri" w:cs="Calibri" w:eastAsia="Calibri" w:hAnsi="Calibri"/>
          <w:b w:val="false"/>
          <w:bCs w:val="false"/>
          <w:i w:val="false"/>
          <w:iCs w:val="false"/>
          <w:color w:val="1A1A1A"/>
          <w:sz w:val="22"/>
          <w:szCs w:val="22"/>
        </w:rPr>
        <w:t xml:space="preserve"> (directly relevant to Option A's speed/cost advantage): the largest quick-commerce distribution centre in MENA (Cairo–Suez Road, ~27,000 sqm, up to 1 million items/day, running in-house AI demand forecasting and stock-positioning models —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official newsroom source, explicitly labeled outside the audited primary corpus per its own citation discipline) and the 1,500-person Global Tech &amp; Shared Services hub.</w:t>
      </w:r>
    </w:p>
    <w:p>
      <w:pPr>
        <w:spacing w:after="160" w:before="120" w:line="276"/>
      </w:pPr>
      <w:r>
        <w:rPr>
          <w:rFonts w:ascii="Calibri" w:cs="Calibri" w:eastAsia="Calibri" w:hAnsi="Calibri"/>
          <w:b/>
          <w:bCs/>
          <w:i w:val="false"/>
          <w:iCs w:val="false"/>
          <w:color w:val="1A1A1A"/>
          <w:sz w:val="22"/>
          <w:szCs w:val="22"/>
        </w:rPr>
        <w:t xml:space="preserve">Agentic tooling / MCP:</w:t>
      </w:r>
      <w:r>
        <w:rPr>
          <w:rFonts w:ascii="Calibri" w:cs="Calibri" w:eastAsia="Calibri" w:hAnsi="Calibri"/>
          <w:b w:val="false"/>
          <w:bCs w:val="false"/>
          <w:i w:val="false"/>
          <w:iCs w:val="false"/>
          <w:color w:val="1A1A1A"/>
          <w:sz w:val="22"/>
          <w:szCs w:val="22"/>
        </w:rPr>
        <w:t xml:space="preserve"> the corpus discloses no reference to Model Context Protocol, agentic frameworks, or LLM-based tooling anywhere in talabat's own disclosed technology stack — every disclosed AI application is a conventional ML/ranking system, not an agentic architecture (</w:t>
      </w:r>
      <w:r>
        <w:rPr>
          <w:rFonts w:ascii="Consolas" w:cs="Consolas" w:eastAsia="Consolas" w:hAnsi="Consolas"/>
          <w:b w:val="false"/>
          <w:bCs w:val="false"/>
          <w:i w:val="false"/>
          <w:iCs w:val="false"/>
          <w:color w:val="1A1A1A"/>
          <w:sz w:val="22"/>
          <w:szCs w:val="22"/>
        </w:rPr>
        <w:t xml:space="preserve">Facts/AI_Facts.md</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Topics/AI.md</w:t>
      </w:r>
      <w:r>
        <w:rPr>
          <w:rFonts w:ascii="Calibri" w:cs="Calibri" w:eastAsia="Calibri" w:hAnsi="Calibri"/>
          <w:b w:val="false"/>
          <w:bCs w:val="false"/>
          <w:i w:val="false"/>
          <w:iCs w:val="false"/>
          <w:color w:val="1A1A1A"/>
          <w:sz w:val="22"/>
          <w:szCs w:val="22"/>
        </w:rPr>
        <w:t xml:space="preserve"> — no MCP/agentic/LLM reference in either consolidated note; independently verified by a vault-wide grep sweep during this section's citation audit). This plan's own recommendation (Option A) does not require introducing agentic tooling to deliver value; it is a scope question genuinely outside what this capstone's evidence base can responsibly speak to, and per this project's own standing note, is left honestly unaddressed rather than fabricated.</w:t>
      </w:r>
    </w:p>
    <w:p>
      <w:pPr>
        <w:pStyle w:val="Heading2"/>
        <w:spacing w:after="120" w:before="280"/>
      </w:pPr>
      <w:r>
        <w:t xml:space="preserve">5.5 Scalability and Adaptability</w:t>
      </w:r>
    </w:p>
    <w:p>
      <w:pPr>
        <w:spacing w:after="160" w:before="120" w:line="276"/>
      </w:pPr>
      <w:r>
        <w:rPr>
          <w:rFonts w:ascii="Calibri" w:cs="Calibri" w:eastAsia="Calibri" w:hAnsi="Calibri"/>
          <w:b w:val="false"/>
          <w:bCs w:val="false"/>
          <w:i w:val="false"/>
          <w:iCs w:val="false"/>
          <w:color w:val="1A1A1A"/>
          <w:sz w:val="22"/>
          <w:szCs w:val="22"/>
        </w:rPr>
        <w:t xml:space="preserve">The 235TB/day data-processing figure (up from ~13TB/day in roughly a year) is the strongest disclosed evidence of the platform's demonstrated ability to scale — this is a Group-wide, not Egypt-specific, trend, but it directly supports Option A's core premise: the infrastructure has already absorbed an order-of-magnitude data-volume increase without a disclosed capability failure, which is relevant evidence (not proof) that adding Egypt's incremental volume is a scaling problem the platform has already solved for, not one it would face for the first time. Adaptability specifically for Egypt (currency, language, local behavior patterns) is not addressed anywhere in the corpus — flagged as a genuine open item for Section 12's implementation planning, not resolved here.</w:t>
      </w:r>
    </w:p>
    <w:p>
      <w:pPr>
        <w:pStyle w:val="Heading2"/>
        <w:spacing w:after="120" w:before="280"/>
      </w:pPr>
      <w:r>
        <w:t xml:space="preserve">5.6 Research and Development Plans</w:t>
      </w:r>
    </w:p>
    <w:p>
      <w:pPr>
        <w:spacing w:after="160" w:before="120" w:line="276"/>
      </w:pPr>
      <w:r>
        <w:rPr>
          <w:rFonts w:ascii="Calibri" w:cs="Calibri" w:eastAsia="Calibri" w:hAnsi="Calibri"/>
          <w:b w:val="false"/>
          <w:bCs w:val="false"/>
          <w:i w:val="false"/>
          <w:iCs w:val="false"/>
          <w:color w:val="1A1A1A"/>
          <w:sz w:val="22"/>
          <w:szCs w:val="22"/>
        </w:rPr>
        <w:t xml:space="preserve">talabat has itself named three forward AI roadmap items, all Group-level and none yet Egypt-attributed (</w:t>
      </w:r>
      <w:r>
        <w:rPr>
          <w:rFonts w:ascii="Consolas" w:cs="Consolas" w:eastAsia="Consolas" w:hAnsi="Consolas"/>
          <w:b w:val="false"/>
          <w:bCs w:val="false"/>
          <w:i w:val="false"/>
          <w:iCs w:val="false"/>
          <w:color w:val="1A1A1A"/>
          <w:sz w:val="22"/>
          <w:szCs w:val="22"/>
        </w:rPr>
        <w:t xml:space="preserve">Strategic/AI Opportunities.md</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new-form-factor recommendations</w:t>
      </w:r>
      <w:r>
        <w:rPr>
          <w:rFonts w:ascii="Calibri" w:cs="Calibri" w:eastAsia="Calibri" w:hAnsi="Calibri"/>
          <w:b w:val="false"/>
          <w:bCs w:val="false"/>
          <w:i w:val="false"/>
          <w:iCs w:val="false"/>
          <w:color w:val="1A1A1A"/>
          <w:sz w:val="22"/>
          <w:szCs w:val="22"/>
        </w:rPr>
        <w:t xml:space="preserve"> (TLB-015, page 89, content unspecified in the corpus), </w:t>
      </w:r>
      <w:r>
        <w:rPr>
          <w:rFonts w:ascii="Calibri" w:cs="Calibri" w:eastAsia="Calibri" w:hAnsi="Calibri"/>
          <w:b/>
          <w:bCs/>
          <w:i w:val="false"/>
          <w:iCs w:val="false"/>
          <w:color w:val="1A1A1A"/>
          <w:sz w:val="22"/>
          <w:szCs w:val="22"/>
        </w:rPr>
        <w:t xml:space="preserve">cross-sell timing/incentive optimisation</w:t>
      </w:r>
      <w:r>
        <w:rPr>
          <w:rFonts w:ascii="Calibri" w:cs="Calibri" w:eastAsia="Calibri" w:hAnsi="Calibri"/>
          <w:b w:val="false"/>
          <w:bCs w:val="false"/>
          <w:i w:val="false"/>
          <w:iCs w:val="false"/>
          <w:color w:val="1A1A1A"/>
          <w:sz w:val="22"/>
          <w:szCs w:val="22"/>
        </w:rPr>
        <w:t xml:space="preserve"> (same source), and </w:t>
      </w:r>
      <w:r>
        <w:rPr>
          <w:rFonts w:ascii="Calibri" w:cs="Calibri" w:eastAsia="Calibri" w:hAnsi="Calibri"/>
          <w:b/>
          <w:bCs/>
          <w:i w:val="false"/>
          <w:iCs w:val="false"/>
          <w:color w:val="1A1A1A"/>
          <w:sz w:val="22"/>
          <w:szCs w:val="22"/>
        </w:rPr>
        <w:t xml:space="preserve">deepened adtech-embedded personalisation</w:t>
      </w:r>
      <w:r>
        <w:rPr>
          <w:rFonts w:ascii="Calibri" w:cs="Calibri" w:eastAsia="Calibri" w:hAnsi="Calibri"/>
          <w:b w:val="false"/>
          <w:bCs w:val="false"/>
          <w:i w:val="false"/>
          <w:iCs w:val="false"/>
          <w:color w:val="1A1A1A"/>
          <w:sz w:val="22"/>
          <w:szCs w:val="22"/>
        </w:rPr>
        <w:t xml:space="preserve"> ("particularly within our rapidly growing adtech business," TLB-002, page 10). These three items are, respectively, Mechanisms 1, 2, and 3 of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's value creation argument — this plan's R&amp;D "ask" is not a new research agenda, it is prioritizing Egypt in the sequencing of an R&amp;D roadmap talabat has already disclosed.</w:t>
      </w:r>
    </w:p>
    <w:p>
      <w:pPr>
        <w:sectPr>
          <w:headerReference w:type="default" r:id="rId19"/>
          <w:footerReference w:type="default" r:id="rId20"/>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6. Business Model and Revenue Streams</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talabat monetizes a single GMV-times-take-rate system through four disclosed, MECE revenue lines — Commission fees, Delivery &amp; Service fees, Subscription fee &amp; Other Income, and Advertising &amp; listing fees — and this plan's AI-driven retention intervention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 does not add a fifth line or change the business model's structure. It shifts the </w:t>
      </w:r>
      <w:r>
        <w:rPr>
          <w:rFonts w:ascii="Calibri" w:cs="Calibri" w:eastAsia="Calibri" w:hAnsi="Calibri"/>
          <w:b w:val="false"/>
          <w:bCs w:val="false"/>
          <w:i/>
          <w:iCs/>
          <w:color w:val="1A1A1A"/>
          <w:sz w:val="22"/>
          <w:szCs w:val="22"/>
        </w:rPr>
        <w:t xml:space="preserve">mix</w:t>
      </w:r>
      <w:r>
        <w:rPr>
          <w:rFonts w:ascii="Calibri" w:cs="Calibri" w:eastAsia="Calibri" w:hAnsi="Calibri"/>
          <w:b w:val="false"/>
          <w:bCs w:val="false"/>
          <w:i w:val="false"/>
          <w:iCs w:val="false"/>
          <w:color w:val="1A1A1A"/>
          <w:sz w:val="22"/>
          <w:szCs w:val="22"/>
        </w:rPr>
        <w:t xml:space="preserve"> toward the two fastest-growing, highest-margin lines (Subscription and Advertising) by deepening engagement with existing customers, which is precisely the mechanism the corpus itself names as the reason revenue has repeatedly outpaced GMV growth. No Egypt-specific revenue-by-fee-type breakdown exists anywhere in the corpus — this section states the Group-level structure as evidenced fact and extends it to Egypt only directionally, labeled as such throughout, consistent with </w:t>
      </w:r>
      <w:r>
        <w:rPr>
          <w:rFonts w:ascii="Consolas" w:cs="Consolas" w:eastAsia="Consolas" w:hAnsi="Consolas"/>
          <w:b w:val="false"/>
          <w:bCs w:val="false"/>
          <w:i w:val="false"/>
          <w:iCs w:val="false"/>
          <w:color w:val="1A1A1A"/>
          <w:sz w:val="22"/>
          <w:szCs w:val="22"/>
        </w:rPr>
        <w:t xml:space="preserve">ASM-010</w:t>
      </w:r>
      <w:r>
        <w:rPr>
          <w:rFonts w:ascii="Calibri" w:cs="Calibri" w:eastAsia="Calibri" w:hAnsi="Calibri"/>
          <w:b w:val="false"/>
          <w:bCs w:val="false"/>
          <w:i w:val="false"/>
          <w:iCs w:val="false"/>
          <w:color w:val="1A1A1A"/>
          <w:sz w:val="22"/>
          <w:szCs w:val="22"/>
        </w:rPr>
        <w:t xml:space="preserve">/</w:t>
      </w:r>
      <w:r>
        <w:rPr>
          <w:rFonts w:ascii="Consolas" w:cs="Consolas" w:eastAsia="Consolas" w:hAnsi="Consolas"/>
          <w:b w:val="false"/>
          <w:bCs w:val="false"/>
          <w:i w:val="false"/>
          <w:iCs w:val="false"/>
          <w:color w:val="1A1A1A"/>
          <w:sz w:val="22"/>
          <w:szCs w:val="22"/>
        </w:rPr>
        <w:t xml:space="preserve">ASM-011</w:t>
      </w:r>
      <w:r>
        <w:rPr>
          <w:rFonts w:ascii="Calibri" w:cs="Calibri" w:eastAsia="Calibri" w:hAnsi="Calibri"/>
          <w:b w:val="false"/>
          <w:bCs w:val="false"/>
          <w:i w:val="false"/>
          <w:iCs w:val="false"/>
          <w:color w:val="1A1A1A"/>
          <w:sz w:val="22"/>
          <w:szCs w:val="22"/>
        </w:rPr>
        <w:t xml:space="preserve">'s treatment in Section 9.</w:t>
      </w:r>
    </w:p>
    <w:p>
      <w:pPr>
        <w:pStyle w:val="Heading2"/>
        <w:spacing w:after="120" w:before="280"/>
      </w:pPr>
      <w:r>
        <w:t xml:space="preserve">6.1 Revenue Generation Methods</w:t>
      </w:r>
    </w:p>
    <w:p>
      <w:pPr>
        <w:spacing w:after="160" w:before="120" w:line="276"/>
      </w:pPr>
      <w:r>
        <w:rPr>
          <w:rFonts w:ascii="Calibri" w:cs="Calibri" w:eastAsia="Calibri" w:hAnsi="Calibri"/>
          <w:b w:val="false"/>
          <w:bCs w:val="false"/>
          <w:i w:val="false"/>
          <w:iCs w:val="false"/>
          <w:color w:val="1A1A1A"/>
          <w:sz w:val="22"/>
          <w:szCs w:val="22"/>
        </w:rPr>
        <w:t xml:space="preserve">talabat's revenue is not four independent fee lines but a single GMV-times-take-rate system in which each line responds to a different underlying volume or pricing driver (</w:t>
      </w:r>
      <w:r>
        <w:rPr>
          <w:rFonts w:ascii="Consolas" w:cs="Consolas" w:eastAsia="Consolas" w:hAnsi="Consolas"/>
          <w:b w:val="false"/>
          <w:bCs w:val="false"/>
          <w:i w:val="false"/>
          <w:iCs w:val="false"/>
          <w:color w:val="1A1A1A"/>
          <w:sz w:val="22"/>
          <w:szCs w:val="22"/>
        </w:rPr>
        <w:t xml:space="preserve">Strategic/Revenue Model.md</w:t>
      </w:r>
      <w:r>
        <w:rPr>
          <w:rFonts w:ascii="Calibri" w:cs="Calibri" w:eastAsia="Calibri" w:hAnsi="Calibri"/>
          <w:b w:val="false"/>
          <w:bCs w:val="false"/>
          <w:i w:val="false"/>
          <w:iCs w:val="false"/>
          <w:color w:val="1A1A1A"/>
          <w:sz w:val="22"/>
          <w:szCs w:val="22"/>
        </w:rPr>
        <w:t xml:space="preserve">). The Group's disclosed four-line structure, per </w:t>
      </w:r>
      <w:r>
        <w:rPr>
          <w:rFonts w:ascii="Consolas" w:cs="Consolas" w:eastAsia="Consolas" w:hAnsi="Consolas"/>
          <w:b w:val="false"/>
          <w:bCs w:val="false"/>
          <w:i w:val="false"/>
          <w:iCs w:val="false"/>
          <w:color w:val="1A1A1A"/>
          <w:sz w:val="22"/>
          <w:szCs w:val="22"/>
        </w:rPr>
        <w:t xml:space="preserve">DEC-006</w:t>
      </w:r>
      <w:r>
        <w:rPr>
          <w:rFonts w:ascii="Calibri" w:cs="Calibri" w:eastAsia="Calibri" w:hAnsi="Calibri"/>
          <w:b w:val="false"/>
          <w:bCs w:val="false"/>
          <w:i w:val="false"/>
          <w:iCs w:val="false"/>
          <w:color w:val="1A1A1A"/>
          <w:sz w:val="22"/>
          <w:szCs w:val="22"/>
        </w:rPr>
        <w:t xml:space="preserve">'s adopted headline convention:</w:t>
      </w:r>
    </w:p>
    <w:p>
      <w:pPr>
        <w:spacing w:after="40" w:before="60"/>
      </w:pPr>
      <w:r>
        <w:rPr>
          <w:rFonts w:ascii="Calibri" w:cs="Calibri" w:eastAsia="Calibri" w:hAnsi="Calibri"/>
          <w:b/>
          <w:bCs/>
          <w:i/>
          <w:iCs/>
          <w:color w:val="595959"/>
          <w:sz w:val="18"/>
          <w:szCs w:val="18"/>
        </w:rPr>
        <w:t xml:space="preserve">Table 4.</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72"/>
        <w:gridCol w:w="1872"/>
        <w:gridCol w:w="1872"/>
        <w:gridCol w:w="1872"/>
        <w:gridCol w:w="1872"/>
      </w:tblGrid>
      <w:tr>
        <w:trPr>
          <w:tblHeader/>
        </w:trPr>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Revenue line</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FY2024</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FY2025</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Growth</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Underlying driver</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Commission fees</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1,062mn</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1,297mn</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+25% → +22%</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Food/Local Shop marketplace order volume (agent model — talabat earns commission without owning inventory)</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Delivery &amp; Service fees</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696mn</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859mn</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+29% → +24%</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Order count and basket composition; structurally eroded per-order by talabat pro's free-delivery benefit even as pro raises order frequency</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Subscription fee &amp; Other Income</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952mn</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1,397mn</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+44% → +47%</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talabat pro penetration (subscription fees) plus tMart's near-95%-take-rate owned-inventory grocery revenue (other direct income) — see decomposition below</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Advertising &amp; listing fees</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246mn</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323mn</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+27% → +32%</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Partner demand for visibility, itself a lagging function of the engaged, frequently-ordering customer base the other three lines build</w:t>
            </w:r>
          </w:p>
        </w:tc>
      </w:tr>
    </w:tbl>
    <w:p>
      <w:pPr>
        <w:spacing w:after="160" w:before="120" w:line="276"/>
      </w:pPr>
      <w:r>
        <w:rPr>
          <w:rFonts w:ascii="Calibri" w:cs="Calibri" w:eastAsia="Calibri" w:hAnsi="Calibri"/>
          <w:b w:val="false"/>
          <w:bCs w:val="false"/>
          <w:i w:val="false"/>
          <w:iCs w:val="false"/>
          <w:color w:val="1A1A1A"/>
          <w:sz w:val="22"/>
          <w:szCs w:val="22"/>
        </w:rPr>
        <w:t xml:space="preserve">(TLB-001, page 27; TLB-002, page 20; TLB-009, page 4)</w:t>
      </w:r>
    </w:p>
    <w:p>
      <w:pPr>
        <w:spacing w:after="160" w:before="120" w:line="276"/>
      </w:pPr>
      <w:r>
        <w:rPr>
          <w:rFonts w:ascii="Calibri" w:cs="Calibri" w:eastAsia="Calibri" w:hAnsi="Calibri"/>
          <w:b w:val="false"/>
          <w:bCs w:val="false"/>
          <w:i w:val="false"/>
          <w:iCs w:val="false"/>
          <w:color w:val="1A1A1A"/>
          <w:sz w:val="22"/>
          <w:szCs w:val="22"/>
        </w:rPr>
        <w:t xml:space="preserve">These four lines are </w:t>
      </w:r>
      <w:r>
        <w:rPr>
          <w:rFonts w:ascii="Calibri" w:cs="Calibri" w:eastAsia="Calibri" w:hAnsi="Calibri"/>
          <w:b/>
          <w:bCs/>
          <w:i w:val="false"/>
          <w:iCs w:val="false"/>
          <w:color w:val="1A1A1A"/>
          <w:sz w:val="22"/>
          <w:szCs w:val="22"/>
        </w:rPr>
        <w:t xml:space="preserve">MECE</w:t>
      </w:r>
      <w:r>
        <w:rPr>
          <w:rFonts w:ascii="Calibri" w:cs="Calibri" w:eastAsia="Calibri" w:hAnsi="Calibri"/>
          <w:b w:val="false"/>
          <w:bCs w:val="false"/>
          <w:i w:val="false"/>
          <w:iCs w:val="false"/>
          <w:color w:val="1A1A1A"/>
          <w:sz w:val="22"/>
          <w:szCs w:val="22"/>
        </w:rPr>
        <w:t xml:space="preserve"> as the template requires: each is a distinct, separately-disclosed P&amp;L line item with its own driver, and none double-counts another's dollars. One nuance is worth stating explicitly rather than leaving implicit: Subscription revenue has a documented </w:t>
      </w:r>
      <w:r>
        <w:rPr>
          <w:rFonts w:ascii="Calibri" w:cs="Calibri" w:eastAsia="Calibri" w:hAnsi="Calibri"/>
          <w:b w:val="false"/>
          <w:bCs w:val="false"/>
          <w:i/>
          <w:iCs/>
          <w:color w:val="1A1A1A"/>
          <w:sz w:val="22"/>
          <w:szCs w:val="22"/>
        </w:rPr>
        <w:t xml:space="preserve">indirect</w:t>
      </w:r>
      <w:r>
        <w:rPr>
          <w:rFonts w:ascii="Calibri" w:cs="Calibri" w:eastAsia="Calibri" w:hAnsi="Calibri"/>
          <w:b w:val="false"/>
          <w:bCs w:val="false"/>
          <w:i w:val="false"/>
          <w:iCs w:val="false"/>
          <w:color w:val="1A1A1A"/>
          <w:sz w:val="22"/>
          <w:szCs w:val="22"/>
        </w:rPr>
        <w:t xml:space="preserve"> second effect — talabat pro subscribers show a 20-28% order-frequency uplift that feeds additional volume into the Commission and Delivery &amp; Service lines (</w:t>
      </w:r>
      <w:r>
        <w:rPr>
          <w:rFonts w:ascii="Consolas" w:cs="Consolas" w:eastAsia="Consolas" w:hAnsi="Consolas"/>
          <w:b w:val="false"/>
          <w:bCs w:val="false"/>
          <w:i w:val="false"/>
          <w:iCs w:val="false"/>
          <w:color w:val="1A1A1A"/>
          <w:sz w:val="22"/>
          <w:szCs w:val="22"/>
        </w:rPr>
        <w:t xml:space="preserve">Strategic/Revenue Model.md</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ASM-008</w:t>
      </w:r>
      <w:r>
        <w:rPr>
          <w:rFonts w:ascii="Calibri" w:cs="Calibri" w:eastAsia="Calibri" w:hAnsi="Calibri"/>
          <w:b w:val="false"/>
          <w:bCs w:val="false"/>
          <w:i w:val="false"/>
          <w:iCs w:val="false"/>
          <w:color w:val="1A1A1A"/>
          <w:sz w:val="22"/>
          <w:szCs w:val="22"/>
        </w:rPr>
        <w:t xml:space="preserve">). This is not double-counting (the subscription fee itself and the incremental commission/delivery dollars it causes are still two genuinely different dollars, recorded on two different lines), but it does mean the four lines are not fully </w:t>
      </w:r>
      <w:r>
        <w:rPr>
          <w:rFonts w:ascii="Calibri" w:cs="Calibri" w:eastAsia="Calibri" w:hAnsi="Calibri"/>
          <w:b w:val="false"/>
          <w:bCs w:val="false"/>
          <w:i/>
          <w:iCs/>
          <w:color w:val="1A1A1A"/>
          <w:sz w:val="22"/>
          <w:szCs w:val="22"/>
        </w:rPr>
        <w:t xml:space="preserve">independent</w:t>
      </w:r>
      <w:r>
        <w:rPr>
          <w:rFonts w:ascii="Calibri" w:cs="Calibri" w:eastAsia="Calibri" w:hAnsi="Calibri"/>
          <w:b w:val="false"/>
          <w:bCs w:val="false"/>
          <w:i w:val="false"/>
          <w:iCs w:val="false"/>
          <w:color w:val="1A1A1A"/>
          <w:sz w:val="22"/>
          <w:szCs w:val="22"/>
        </w:rPr>
        <w:t xml:space="preserve"> — subscription is, in the corpus's own framing, "monetized twice." This section names that spillover explicitly rather than letting the MECE table imply the lines are causally isolated.</w:t>
      </w:r>
    </w:p>
    <w:p>
      <w:pPr>
        <w:spacing w:after="160" w:before="120" w:line="276"/>
      </w:pPr>
      <w:r>
        <w:rPr>
          <w:rFonts w:ascii="Calibri" w:cs="Calibri" w:eastAsia="Calibri" w:hAnsi="Calibri"/>
          <w:b/>
          <w:bCs/>
          <w:i w:val="false"/>
          <w:iCs w:val="false"/>
          <w:color w:val="1A1A1A"/>
          <w:sz w:val="22"/>
          <w:szCs w:val="22"/>
        </w:rPr>
        <w:t xml:space="preserve">Tracing each stream to the Value Driver Tree.</w:t>
      </w:r>
      <w:r>
        <w:rPr>
          <w:rFonts w:ascii="Calibri" w:cs="Calibri" w:eastAsia="Calibri" w:hAnsi="Calibri"/>
          <w:b w:val="false"/>
          <w:bCs w:val="false"/>
          <w:i w:val="false"/>
          <w:iCs w:val="false"/>
          <w:color w:val="1A1A1A"/>
          <w:sz w:val="22"/>
          <w:szCs w:val="22"/>
        </w:rPr>
        <w:t xml:space="preserve"> Per the template's own McKinsey Lens instruction for this section, each revenue stream should trace to a branch of </w:t>
      </w:r>
      <w:r>
        <w:rPr>
          <w:rFonts w:ascii="Consolas" w:cs="Consolas" w:eastAsia="Consolas" w:hAnsi="Consolas"/>
          <w:b w:val="false"/>
          <w:bCs w:val="false"/>
          <w:i w:val="false"/>
          <w:iCs w:val="false"/>
          <w:color w:val="1A1A1A"/>
          <w:sz w:val="22"/>
          <w:szCs w:val="22"/>
        </w:rPr>
        <w:t xml:space="preserve">vault/Forecasts/Value_Driver_Tree.md</w:t>
      </w:r>
      <w:r>
        <w:rPr>
          <w:rFonts w:ascii="Calibri" w:cs="Calibri" w:eastAsia="Calibri" w:hAnsi="Calibri"/>
          <w:b w:val="false"/>
          <w:bCs w:val="false"/>
          <w:i w:val="false"/>
          <w:iCs w:val="false"/>
          <w:color w:val="1A1A1A"/>
          <w:sz w:val="22"/>
          <w:szCs w:val="22"/>
        </w:rPr>
        <w:t xml:space="preserve">. Two lines trace cleanly; two do not, and this section states that honestly rather than forcing a fit:</w:t>
      </w:r>
    </w:p>
    <w:p>
      <w:pPr>
        <w:spacing w:after="40" w:before="60"/>
      </w:pPr>
      <w:r>
        <w:rPr>
          <w:rFonts w:ascii="Calibri" w:cs="Calibri" w:eastAsia="Calibri" w:hAnsi="Calibri"/>
          <w:b/>
          <w:bCs/>
          <w:i/>
          <w:iCs/>
          <w:color w:val="595959"/>
          <w:sz w:val="18"/>
          <w:szCs w:val="18"/>
        </w:rPr>
        <w:t xml:space="preserve">Table 5.</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120"/>
        <w:gridCol w:w="3120"/>
        <w:gridCol w:w="3120"/>
      </w:tblGrid>
      <w:tr>
        <w:trPr>
          <w:tblHeader/>
        </w:trPr>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Revenue line</w:t>
            </w:r>
          </w:p>
        </w:tc>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Value Driver Tree branch</w:t>
            </w:r>
          </w:p>
        </w:tc>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Fit</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Subscription fee &amp; Other Income (Subscription-fees component)</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Branch 1b — Order Frequency uplift (</w:t>
            </w:r>
            <w:r>
              <w:rPr>
                <w:rFonts w:ascii="Consolas" w:cs="Consolas" w:eastAsia="Consolas" w:hAnsi="Consolas"/>
                <w:b w:val="false"/>
                <w:bCs w:val="false"/>
                <w:i w:val="false"/>
                <w:iCs w:val="false"/>
                <w:color w:val="1A1A1A"/>
                <w:sz w:val="18"/>
                <w:szCs w:val="18"/>
              </w:rPr>
              <w:t xml:space="preserve">ASM-008</w:t>
            </w:r>
            <w:r>
              <w:rPr>
                <w:rFonts w:ascii="Calibri" w:cs="Calibri" w:eastAsia="Calibri" w:hAnsi="Calibri"/>
                <w:b w:val="false"/>
                <w:bCs w:val="false"/>
                <w:i w:val="false"/>
                <w:iCs w:val="false"/>
                <w:color w:val="1A1A1A"/>
                <w:sz w:val="18"/>
                <w:szCs w:val="18"/>
              </w:rPr>
              <w:t xml:space="preserve">), the </w:t>
            </w:r>
            <w:r>
              <w:rPr>
                <w:rFonts w:ascii="Consolas" w:cs="Consolas" w:eastAsia="Consolas" w:hAnsi="Consolas"/>
                <w:b w:val="false"/>
                <w:bCs w:val="false"/>
                <w:i w:val="false"/>
                <w:iCs w:val="false"/>
                <w:color w:val="1A1A1A"/>
                <w:sz w:val="18"/>
                <w:szCs w:val="18"/>
              </w:rPr>
              <w:t xml:space="preserve">DEC-003</w:t>
            </w:r>
            <w:r>
              <w:rPr>
                <w:rFonts w:ascii="Calibri" w:cs="Calibri" w:eastAsia="Calibri" w:hAnsi="Calibri"/>
                <w:b w:val="false"/>
                <w:bCs w:val="false"/>
                <w:i w:val="false"/>
                <w:iCs w:val="false"/>
                <w:color w:val="1A1A1A"/>
                <w:sz w:val="18"/>
                <w:szCs w:val="18"/>
              </w:rPr>
              <w:t xml:space="preserve"> intervention channel</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Direct — this is the line the plan's own retention thesis targets</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Advertising &amp; listing fees</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Branch 3b — Advertising penetration (</w:t>
            </w:r>
            <w:r>
              <w:rPr>
                <w:rFonts w:ascii="Consolas" w:cs="Consolas" w:eastAsia="Consolas" w:hAnsi="Consolas"/>
                <w:b w:val="false"/>
                <w:bCs w:val="false"/>
                <w:i w:val="false"/>
                <w:iCs w:val="false"/>
                <w:color w:val="1A1A1A"/>
                <w:sz w:val="18"/>
                <w:szCs w:val="18"/>
              </w:rPr>
              <w:t xml:space="preserve">ASM-011</w:t>
            </w:r>
            <w:r>
              <w:rPr>
                <w:rFonts w:ascii="Calibri" w:cs="Calibri" w:eastAsia="Calibri" w:hAnsi="Calibri"/>
                <w:b w:val="false"/>
                <w:bCs w:val="false"/>
                <w:i w:val="false"/>
                <w:iCs w:val="false"/>
                <w:color w:val="1A1A1A"/>
                <w:sz w:val="18"/>
                <w:szCs w:val="18"/>
              </w:rPr>
              <w:t xml:space="preserve">), the </w:t>
            </w:r>
            <w:r>
              <w:rPr>
                <w:rFonts w:ascii="Consolas" w:cs="Consolas" w:eastAsia="Consolas" w:hAnsi="Consolas"/>
                <w:b w:val="false"/>
                <w:bCs w:val="false"/>
                <w:i w:val="false"/>
                <w:iCs w:val="false"/>
                <w:color w:val="1A1A1A"/>
                <w:sz w:val="18"/>
                <w:szCs w:val="18"/>
              </w:rPr>
              <w:t xml:space="preserve">DEC-003</w:t>
            </w:r>
            <w:r>
              <w:rPr>
                <w:rFonts w:ascii="Calibri" w:cs="Calibri" w:eastAsia="Calibri" w:hAnsi="Calibri"/>
                <w:b w:val="false"/>
                <w:bCs w:val="false"/>
                <w:i w:val="false"/>
                <w:iCs w:val="false"/>
                <w:color w:val="1A1A1A"/>
                <w:sz w:val="18"/>
                <w:szCs w:val="18"/>
              </w:rPr>
              <w:t xml:space="preserve"> adtech channel</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Direct</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Commission fees</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Branch 3a — Take rate / implied-GMV proxy (</w:t>
            </w:r>
            <w:r>
              <w:rPr>
                <w:rFonts w:ascii="Consolas" w:cs="Consolas" w:eastAsia="Consolas" w:hAnsi="Consolas"/>
                <w:b w:val="false"/>
                <w:bCs w:val="false"/>
                <w:i w:val="false"/>
                <w:iCs w:val="false"/>
                <w:color w:val="1A1A1A"/>
                <w:sz w:val="18"/>
                <w:szCs w:val="18"/>
              </w:rPr>
              <w:t xml:space="preserve">ASM-010</w:t>
            </w:r>
            <w:r>
              <w:rPr>
                <w:rFonts w:ascii="Calibri" w:cs="Calibri" w:eastAsia="Calibri" w:hAnsi="Calibri"/>
                <w:b w:val="false"/>
                <w:bCs w:val="false"/>
                <w:i w:val="false"/>
                <w:iCs w:val="false"/>
                <w:color w:val="1A1A1A"/>
                <w:sz w:val="18"/>
                <w:szCs w:val="18"/>
              </w:rPr>
              <w:t xml:space="preserve">)</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Partial only — Branch 3a is a </w:t>
            </w:r>
            <w:r>
              <w:rPr>
                <w:rFonts w:ascii="Calibri" w:cs="Calibri" w:eastAsia="Calibri" w:hAnsi="Calibri"/>
                <w:b w:val="false"/>
                <w:bCs w:val="false"/>
                <w:i/>
                <w:iCs/>
                <w:color w:val="1A1A1A"/>
                <w:sz w:val="18"/>
                <w:szCs w:val="18"/>
              </w:rPr>
              <w:t xml:space="preserve">blended</w:t>
            </w:r>
            <w:r>
              <w:rPr>
                <w:rFonts w:ascii="Calibri" w:cs="Calibri" w:eastAsia="Calibri" w:hAnsi="Calibri"/>
                <w:b w:val="false"/>
                <w:bCs w:val="false"/>
                <w:i w:val="false"/>
                <w:iCs w:val="false"/>
                <w:color w:val="1A1A1A"/>
                <w:sz w:val="18"/>
                <w:szCs w:val="18"/>
              </w:rPr>
              <w:t xml:space="preserve"> take-rate proxy covering all four lines together, not a Commission-specific node; the Value Driver Tree does not currently decompose take rate by fee line</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Delivery &amp; Service fees</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iCs/>
                <w:color w:val="1A1A1A"/>
                <w:sz w:val="18"/>
                <w:szCs w:val="18"/>
              </w:rPr>
              <w:t xml:space="preserve">(no dedicated branch)</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Not traced — the Value Driver Tree has no node isolating delivery/service-fee revenue specifically; it sits inside the same blended Branch 3a proxy as Commission</w:t>
            </w:r>
          </w:p>
        </w:tc>
      </w:tr>
    </w:tbl>
    <w:p>
      <w:pPr>
        <w:spacing w:after="160" w:before="120" w:line="276"/>
      </w:pPr>
      <w:r>
        <w:rPr>
          <w:rFonts w:ascii="Calibri" w:cs="Calibri" w:eastAsia="Calibri" w:hAnsi="Calibri"/>
          <w:b w:val="false"/>
          <w:bCs w:val="false"/>
          <w:i w:val="false"/>
          <w:iCs w:val="false"/>
          <w:color w:val="1A1A1A"/>
          <w:sz w:val="22"/>
          <w:szCs w:val="22"/>
        </w:rPr>
        <w:t xml:space="preserve">This gap (Commission and Delivery &amp; Service fees sharing one blended proxy node rather than each having its own branch) is a genuine limitation of the current Value Driver Tree, not something this section should silently paper over — a future Value Driver Tree revision that splits Branch 3a by fee line would resolve it precisely, the same kind of flagged-not-smoothed-over open item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 names for its own ASM-008 sharing between Mechanisms 1 and 2.</w:t>
      </w:r>
    </w:p>
    <w:p>
      <w:pPr>
        <w:spacing w:after="160" w:before="120" w:line="276"/>
      </w:pPr>
      <w:r>
        <w:rPr>
          <w:rFonts w:ascii="Calibri" w:cs="Calibri" w:eastAsia="Calibri" w:hAnsi="Calibri"/>
          <w:b/>
          <w:bCs/>
          <w:i w:val="false"/>
          <w:iCs w:val="false"/>
          <w:color w:val="1A1A1A"/>
          <w:sz w:val="22"/>
          <w:szCs w:val="22"/>
        </w:rPr>
        <w:t xml:space="preserve">The "Subscription fee &amp; Other Income" decomposition (</w:t>
      </w:r>
      <w:r>
        <w:rPr>
          <w:rFonts w:ascii="Consolas" w:cs="Consolas" w:eastAsia="Consolas" w:hAnsi="Consolas"/>
          <w:b/>
          <w:bCs/>
          <w:i w:val="false"/>
          <w:iCs w:val="false"/>
          <w:color w:val="1A1A1A"/>
          <w:sz w:val="22"/>
          <w:szCs w:val="22"/>
        </w:rPr>
        <w:t xml:space="preserve">DEC-006</w:t>
      </w:r>
      <w:r>
        <w:rPr>
          <w:rFonts w:ascii="Calibri" w:cs="Calibri" w:eastAsia="Calibri" w:hAnsi="Calibri"/>
          <w:b/>
          <w:bCs/>
          <w:i w:val="false"/>
          <w:iCs w:val="false"/>
          <w:color w:val="1A1A1A"/>
          <w:sz w:val="22"/>
          <w:szCs w:val="22"/>
        </w:rPr>
        <w:t xml:space="preserve">, </w:t>
      </w:r>
      <w:r>
        <w:rPr>
          <w:rFonts w:ascii="Consolas" w:cs="Consolas" w:eastAsia="Consolas" w:hAnsi="Consolas"/>
          <w:b/>
          <w:bCs/>
          <w:i w:val="false"/>
          <w:iCs w:val="false"/>
          <w:color w:val="1A1A1A"/>
          <w:sz w:val="22"/>
          <w:szCs w:val="22"/>
        </w:rPr>
        <w:t xml:space="preserve">ASM-013</w:t>
      </w:r>
      <w:r>
        <w:rPr>
          <w:rFonts w:ascii="Calibri" w:cs="Calibri" w:eastAsia="Calibri" w:hAnsi="Calibri"/>
          <w:b/>
          <w:bCs/>
          <w:i w:val="false"/>
          <w:iCs w:val="false"/>
          <w:color w:val="1A1A1A"/>
          <w:sz w:val="22"/>
          <w:szCs w:val="22"/>
        </w:rPr>
        <w:t xml:space="preserve">).</w:t>
      </w:r>
      <w:r>
        <w:rPr>
          <w:rFonts w:ascii="Calibri" w:cs="Calibri" w:eastAsia="Calibri" w:hAnsi="Calibri"/>
          <w:b w:val="false"/>
          <w:bCs w:val="false"/>
          <w:i w:val="false"/>
          <w:iCs w:val="false"/>
          <w:color w:val="1A1A1A"/>
          <w:sz w:val="22"/>
          <w:szCs w:val="22"/>
        </w:rPr>
        <w:t xml:space="preserve"> This combined line is itself two components that only became separately visible in TLB-011's Q1 2026 press release, cross-checked against TLB-010's audited Q1 2026 line items: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Subscription fees</w:t>
      </w:r>
      <w:r>
        <w:rPr>
          <w:rFonts w:ascii="Calibri" w:cs="Calibri" w:eastAsia="Calibri" w:hAnsi="Calibri"/>
          <w:b w:val="false"/>
          <w:bCs w:val="false"/>
          <w:i w:val="false"/>
          <w:iCs w:val="false"/>
          <w:color w:val="1A1A1A"/>
          <w:sz w:val="22"/>
          <w:szCs w:val="22"/>
        </w:rPr>
        <w:t xml:space="preserve"> (talabat pro membership, narrowly): 1.0% of GMV in Q1 2026 (USD 25.77mn, audited) vs. 0.5% of GMV in Q1 2025 — the fastest-relative-growth sub-component, consistent with pro's expanding penetration.</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Own grocery &amp; other income</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bCs/>
          <w:i w:val="false"/>
          <w:iCs w:val="false"/>
          <w:color w:val="1A1A1A"/>
          <w:sz w:val="22"/>
          <w:szCs w:val="22"/>
        </w:rPr>
        <w:t xml:space="preserve">Other direct income</w:t>
      </w:r>
      <w:r>
        <w:rPr>
          <w:rFonts w:ascii="Calibri" w:cs="Calibri" w:eastAsia="Calibri" w:hAnsi="Calibri"/>
          <w:b w:val="false"/>
          <w:bCs w:val="false"/>
          <w:i w:val="false"/>
          <w:iCs w:val="false"/>
          <w:color w:val="1A1A1A"/>
          <w:sz w:val="22"/>
          <w:szCs w:val="22"/>
        </w:rPr>
        <w:t xml:space="preserve"> (predominantly tMart's near-95%-take-rate owned-inventory quick-commerce revenue): 15.2% of GMV in Q1 2026 (USD 408.42mn, audited) vs. 12.6% of GMV in Q1 2025.</w:t>
      </w:r>
    </w:p>
    <w:p>
      <w:pPr>
        <w:spacing w:after="160" w:before="120" w:line="276"/>
      </w:pPr>
      <w:r>
        <w:rPr>
          <w:rFonts w:ascii="Calibri" w:cs="Calibri" w:eastAsia="Calibri" w:hAnsi="Calibri"/>
          <w:b w:val="false"/>
          <w:bCs w:val="false"/>
          <w:i w:val="false"/>
          <w:iCs w:val="false"/>
          <w:color w:val="1A1A1A"/>
          <w:sz w:val="22"/>
          <w:szCs w:val="22"/>
        </w:rPr>
        <w:t xml:space="preserve">This split is available </w:t>
      </w:r>
      <w:r>
        <w:rPr>
          <w:rFonts w:ascii="Calibri" w:cs="Calibri" w:eastAsia="Calibri" w:hAnsi="Calibri"/>
          <w:b/>
          <w:bCs/>
          <w:i w:val="false"/>
          <w:iCs w:val="false"/>
          <w:color w:val="1A1A1A"/>
          <w:sz w:val="22"/>
          <w:szCs w:val="22"/>
        </w:rPr>
        <w:t xml:space="preserve">only for Q1 2025 and Q1 2026</w:t>
      </w:r>
      <w:r>
        <w:rPr>
          <w:rFonts w:ascii="Calibri" w:cs="Calibri" w:eastAsia="Calibri" w:hAnsi="Calibri"/>
          <w:b w:val="false"/>
          <w:bCs w:val="false"/>
          <w:i w:val="false"/>
          <w:iCs w:val="false"/>
          <w:color w:val="1A1A1A"/>
          <w:sz w:val="22"/>
          <w:szCs w:val="22"/>
        </w:rPr>
        <w:t xml:space="preserve">, not restated for full-year FY2024/FY2025 — the USD 952mn (FY2024) and USD 1,397mn (FY2025) combined figures above are not decomposed further in this section, per </w:t>
      </w:r>
      <w:r>
        <w:rPr>
          <w:rFonts w:ascii="Consolas" w:cs="Consolas" w:eastAsia="Consolas" w:hAnsi="Consolas"/>
          <w:b w:val="false"/>
          <w:bCs w:val="false"/>
          <w:i w:val="false"/>
          <w:iCs w:val="false"/>
          <w:color w:val="1A1A1A"/>
          <w:sz w:val="22"/>
          <w:szCs w:val="22"/>
        </w:rPr>
        <w:t xml:space="preserve">DEC-006</w:t>
      </w:r>
      <w:r>
        <w:rPr>
          <w:rFonts w:ascii="Calibri" w:cs="Calibri" w:eastAsia="Calibri" w:hAnsi="Calibri"/>
          <w:b w:val="false"/>
          <w:bCs w:val="false"/>
          <w:i w:val="false"/>
          <w:iCs w:val="false"/>
          <w:color w:val="1A1A1A"/>
          <w:sz w:val="22"/>
          <w:szCs w:val="22"/>
        </w:rPr>
        <w:t xml:space="preserve">'s explicit scope limit. (TLB-010, page 16; TLB-011, page 4)</w:t>
      </w:r>
    </w:p>
    <w:p>
      <w:pPr>
        <w:spacing w:after="160" w:before="120" w:line="276"/>
      </w:pPr>
      <w:r>
        <w:rPr>
          <w:rFonts w:ascii="Calibri" w:cs="Calibri" w:eastAsia="Calibri" w:hAnsi="Calibri"/>
          <w:b/>
          <w:bCs/>
          <w:i w:val="false"/>
          <w:iCs w:val="false"/>
          <w:color w:val="1A1A1A"/>
          <w:sz w:val="22"/>
          <w:szCs w:val="22"/>
        </w:rPr>
        <w:t xml:space="preserve">Egypt-specific gap, stated plainly:</w:t>
      </w:r>
      <w:r>
        <w:rPr>
          <w:rFonts w:ascii="Calibri" w:cs="Calibri" w:eastAsia="Calibri" w:hAnsi="Calibri"/>
          <w:b w:val="false"/>
          <w:bCs w:val="false"/>
          <w:i w:val="false"/>
          <w:iCs w:val="false"/>
          <w:color w:val="1A1A1A"/>
          <w:sz w:val="22"/>
          <w:szCs w:val="22"/>
        </w:rPr>
        <w:t xml:space="preserve"> no document in the corpus breaks out Egypt's revenue by these four fee-type lines — Egypt's only disclosed figures are total segment revenue (USD 509.9mn FY2025, audited, TLB-002, page 111; TLB-008, page 61; USD 145.3mn Q1 2026, ~81% YoY growth, TLB-010, page 20; </w:t>
      </w:r>
      <w:r>
        <w:rPr>
          <w:rFonts w:ascii="Consolas" w:cs="Consolas" w:eastAsia="Consolas" w:hAnsi="Consolas"/>
          <w:b w:val="false"/>
          <w:bCs w:val="false"/>
          <w:i w:val="false"/>
          <w:iCs w:val="false"/>
          <w:color w:val="1A1A1A"/>
          <w:sz w:val="22"/>
          <w:szCs w:val="22"/>
        </w:rPr>
        <w:t xml:space="preserve">Topics/Segment Reporting.md</w:t>
      </w:r>
      <w:r>
        <w:rPr>
          <w:rFonts w:ascii="Calibri" w:cs="Calibri" w:eastAsia="Calibri" w:hAnsi="Calibri"/>
          <w:b w:val="false"/>
          <w:bCs w:val="false"/>
          <w:i w:val="false"/>
          <w:iCs w:val="false"/>
          <w:color w:val="1A1A1A"/>
          <w:sz w:val="22"/>
          <w:szCs w:val="22"/>
        </w:rPr>
        <w:t xml:space="preserve">). The mix-shift argument above is a Group-level mechanism this plan proposes extends to Egypt via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roadmap- extension hypothesis — it is not something directly observed for Egypt. Given Egypt's talabat pro programme is only ~18 months old at this analysis (launched February 2025), it is plausible Egypt's revenue mix is still Commission/Delivery-fee-heavy relative to the Group blend, with Subscription and Advertising shares still building — this is </w:t>
      </w:r>
      <w:r>
        <w:rPr>
          <w:rFonts w:ascii="Consolas" w:cs="Consolas" w:eastAsia="Consolas" w:hAnsi="Consolas"/>
          <w:b w:val="false"/>
          <w:bCs w:val="false"/>
          <w:i w:val="false"/>
          <w:iCs w:val="false"/>
          <w:color w:val="1A1A1A"/>
          <w:sz w:val="22"/>
          <w:szCs w:val="22"/>
        </w:rPr>
        <w:t xml:space="preserve">Strategic/Revenue Model.md</w:t>
      </w:r>
      <w:r>
        <w:rPr>
          <w:rFonts w:ascii="Calibri" w:cs="Calibri" w:eastAsia="Calibri" w:hAnsi="Calibri"/>
          <w:b w:val="false"/>
          <w:bCs w:val="false"/>
          <w:i w:val="false"/>
          <w:iCs w:val="false"/>
          <w:color w:val="1A1A1A"/>
          <w:sz w:val="22"/>
          <w:szCs w:val="22"/>
        </w:rPr>
        <w:t xml:space="preserve">'s own synthesis, not a disclosed fact, and is presented here with that same qualification.</w:t>
      </w:r>
    </w:p>
    <w:p>
      <w:pPr>
        <w:pStyle w:val="Heading2"/>
        <w:spacing w:after="120" w:before="280"/>
      </w:pPr>
      <w:r>
        <w:t xml:space="preserve">6.2 Pricing Strategy</w:t>
      </w:r>
    </w:p>
    <w:p>
      <w:pPr>
        <w:spacing w:after="160" w:before="120" w:line="276"/>
      </w:pPr>
      <w:r>
        <w:rPr>
          <w:rFonts w:ascii="Calibri" w:cs="Calibri" w:eastAsia="Calibri" w:hAnsi="Calibri"/>
          <w:b w:val="false"/>
          <w:bCs w:val="false"/>
          <w:i w:val="false"/>
          <w:iCs w:val="false"/>
          <w:color w:val="1A1A1A"/>
          <w:sz w:val="22"/>
          <w:szCs w:val="22"/>
        </w:rPr>
        <w:t xml:space="preserve">talabat's four revenue lines correspond to three structurally distinct pricing/monetization models, not one uniform pricing approach:</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Commission (transaction-based, agent model):</w:t>
      </w:r>
      <w:r>
        <w:rPr>
          <w:rFonts w:ascii="Calibri" w:cs="Calibri" w:eastAsia="Calibri" w:hAnsi="Calibri"/>
          <w:b w:val="false"/>
          <w:bCs w:val="false"/>
          <w:i w:val="false"/>
          <w:iCs w:val="false"/>
          <w:color w:val="1A1A1A"/>
          <w:sz w:val="22"/>
          <w:szCs w:val="22"/>
        </w:rPr>
        <w:t xml:space="preserve"> talabat takes a percentage commission per Food/Local Shop order without owning inventory — the structurally oldest and largest single line, but growing more slowly than the other three (+22% FY2025 vs. +44-47% for Subscription), with the corpus explicitly naming "lower commission rates" as a contributing factor to a Q1 2026 mix shift away from Commission's share of GMV (12.8% Q1 2026 vs. 13.4% Q1 2025, TLB-011, page 4; TLB-014, page 15) — plausibly linked to the competitive pressure </w:t>
      </w:r>
      <w:r>
        <w:rPr>
          <w:rFonts w:ascii="Consolas" w:cs="Consolas" w:eastAsia="Consolas" w:hAnsi="Consolas"/>
          <w:b w:val="false"/>
          <w:bCs w:val="false"/>
          <w:i w:val="false"/>
          <w:iCs w:val="false"/>
          <w:color w:val="1A1A1A"/>
          <w:sz w:val="22"/>
          <w:szCs w:val="22"/>
        </w:rPr>
        <w:t xml:space="preserve">Section_10_Risk_Analysis.md</w:t>
      </w:r>
      <w:r>
        <w:rPr>
          <w:rFonts w:ascii="Calibri" w:cs="Calibri" w:eastAsia="Calibri" w:hAnsi="Calibri"/>
          <w:b w:val="false"/>
          <w:bCs w:val="false"/>
          <w:i w:val="false"/>
          <w:iCs w:val="false"/>
          <w:color w:val="1A1A1A"/>
          <w:sz w:val="22"/>
          <w:szCs w:val="22"/>
        </w:rPr>
        <w:t xml:space="preserve"> documents (commission caps in Qatar, licensing disputes in Oman), though the corpus does not draw that link explicitly for Egypt.</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Subscription (tiered, recurring membership fee):</w:t>
      </w:r>
      <w:r>
        <w:rPr>
          <w:rFonts w:ascii="Calibri" w:cs="Calibri" w:eastAsia="Calibri" w:hAnsi="Calibri"/>
          <w:b w:val="false"/>
          <w:bCs w:val="false"/>
          <w:i w:val="false"/>
          <w:iCs w:val="false"/>
          <w:color w:val="1A1A1A"/>
          <w:sz w:val="22"/>
          <w:szCs w:val="22"/>
        </w:rPr>
        <w:t xml:space="preserve"> talabat pro is a monthly/annual paid membership (free delivery above a minimum basket plus exclusive discounts), rolled out market-by-market since March 2022, reaching Egypt in February 2025 (</w:t>
      </w:r>
      <w:r>
        <w:rPr>
          <w:rFonts w:ascii="Consolas" w:cs="Consolas" w:eastAsia="Consolas" w:hAnsi="Consolas"/>
          <w:b w:val="false"/>
          <w:bCs w:val="false"/>
          <w:i w:val="false"/>
          <w:iCs w:val="false"/>
          <w:color w:val="1A1A1A"/>
          <w:sz w:val="22"/>
          <w:szCs w:val="22"/>
        </w:rPr>
        <w:t xml:space="preserve">Topics/Talabat Pro.md</w:t>
      </w:r>
      <w:r>
        <w:rPr>
          <w:rFonts w:ascii="Calibri" w:cs="Calibri" w:eastAsia="Calibri" w:hAnsi="Calibri"/>
          <w:b w:val="false"/>
          <w:bCs w:val="false"/>
          <w:i w:val="false"/>
          <w:iCs w:val="false"/>
          <w:color w:val="1A1A1A"/>
          <w:sz w:val="22"/>
          <w:szCs w:val="22"/>
        </w:rPr>
        <w:t xml:space="preserve">; TLB-001, page 19; TLB-002, page 14). Pricing is value-based against the delivery-fee savings and discount value a frequent orderer would otherwise pay per-transaction. Egypt's price point is EGP 79/month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official-newsroom source, explicitly outside the audited TLB-XXX regime — see the closing paragraph of this subsection for the full citation and labeling discipline).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Principal/owned-inventory pricing (Q-commerce):</w:t>
      </w:r>
      <w:r>
        <w:rPr>
          <w:rFonts w:ascii="Calibri" w:cs="Calibri" w:eastAsia="Calibri" w:hAnsi="Calibri"/>
          <w:b w:val="false"/>
          <w:bCs w:val="false"/>
          <w:i w:val="false"/>
          <w:iCs w:val="false"/>
          <w:color w:val="1A1A1A"/>
          <w:sz w:val="22"/>
          <w:szCs w:val="22"/>
        </w:rPr>
        <w:t xml:space="preserve"> tMart, talabat's dark-store grocery arm, prices as a retailer (owns inventory, sets shelf prices) rather than a marketplace commission-taker, yielding a near-95% take rate on tMart GMV — structurally different economics from the agent-model Commission line, which is why tMart's rising share of the "Subscription fee &amp; Other Income" line drives that line's outsized growth (</w:t>
      </w:r>
      <w:r>
        <w:rPr>
          <w:rFonts w:ascii="Consolas" w:cs="Consolas" w:eastAsia="Consolas" w:hAnsi="Consolas"/>
          <w:b w:val="false"/>
          <w:bCs w:val="false"/>
          <w:i w:val="false"/>
          <w:iCs w:val="false"/>
          <w:color w:val="1A1A1A"/>
          <w:sz w:val="22"/>
          <w:szCs w:val="22"/>
        </w:rPr>
        <w:t xml:space="preserve">Topics/Quick Commerce.md</w:t>
      </w:r>
      <w:r>
        <w:rPr>
          <w:rFonts w:ascii="Calibri" w:cs="Calibri" w:eastAsia="Calibri" w:hAnsi="Calibri"/>
          <w:b w:val="false"/>
          <w:bCs w:val="false"/>
          <w:i w:val="false"/>
          <w:iCs w:val="false"/>
          <w:color w:val="1A1A1A"/>
          <w:sz w:val="22"/>
          <w:szCs w:val="22"/>
        </w:rPr>
        <w:t xml:space="preserve">; TLB-002, pages 12, 14, 20).</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Advertising (partner-funded, CPC/listing-based):</w:t>
      </w:r>
      <w:r>
        <w:rPr>
          <w:rFonts w:ascii="Calibri" w:cs="Calibri" w:eastAsia="Calibri" w:hAnsi="Calibri"/>
          <w:b w:val="false"/>
          <w:bCs w:val="false"/>
          <w:i w:val="false"/>
          <w:iCs w:val="false"/>
          <w:color w:val="1A1A1A"/>
          <w:sz w:val="22"/>
          <w:szCs w:val="22"/>
        </w:rPr>
        <w:t xml:space="preserve"> Partners pay for visibility and ad placement; this is the smallest line in dollar terms but the most under-penetrated relative to its own stated benchmark — AdTech grew from 2.1% of GMV (2021) to 3.4-3.5% of GMV (FY2025) against a management-stated medium-term target of ~7% of GMV already reached in the UAE for talabat mart specifically (</w:t>
      </w:r>
      <w:r>
        <w:rPr>
          <w:rFonts w:ascii="Consolas" w:cs="Consolas" w:eastAsia="Consolas" w:hAnsi="Consolas"/>
          <w:b w:val="false"/>
          <w:bCs w:val="false"/>
          <w:i w:val="false"/>
          <w:iCs w:val="false"/>
          <w:color w:val="1A1A1A"/>
          <w:sz w:val="22"/>
          <w:szCs w:val="22"/>
        </w:rPr>
        <w:t xml:space="preserve">Topics/Advertising.md</w:t>
      </w:r>
      <w:r>
        <w:rPr>
          <w:rFonts w:ascii="Calibri" w:cs="Calibri" w:eastAsia="Calibri" w:hAnsi="Calibri"/>
          <w:b w:val="false"/>
          <w:bCs w:val="false"/>
          <w:i w:val="false"/>
          <w:iCs w:val="false"/>
          <w:color w:val="1A1A1A"/>
          <w:sz w:val="22"/>
          <w:szCs w:val="22"/>
        </w:rPr>
        <w:t xml:space="preserve">, referenced via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 TLB-001, page 21; TLB-002, page 10).</w:t>
      </w:r>
    </w:p>
    <w:p>
      <w:pPr>
        <w:spacing w:after="160" w:before="120" w:line="276"/>
      </w:pPr>
      <w:r>
        <w:rPr>
          <w:rFonts w:ascii="Calibri" w:cs="Calibri" w:eastAsia="Calibri" w:hAnsi="Calibri"/>
          <w:b w:val="false"/>
          <w:bCs w:val="false"/>
          <w:i w:val="false"/>
          <w:iCs w:val="false"/>
          <w:color w:val="1A1A1A"/>
          <w:sz w:val="22"/>
          <w:szCs w:val="22"/>
        </w:rPr>
        <w:t xml:space="preserve">No primary TLB-XXX corpus document discloses Egypt-specific pricing for Egypt commission rates or Egypt AdTech CPC rates. One Egypt price point is available, but only as labeled External Research, not from the audited primary corpus: talabat pro's Egypt price is EGP 79/month, per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RES-004_egypt-official-newsroom-operational-datapoints</w:t>
      </w:r>
      <w:r>
        <w:rPr>
          <w:rFonts w:ascii="Calibri" w:cs="Calibri" w:eastAsia="Calibri" w:hAnsi="Calibri"/>
          <w:b w:val="false"/>
          <w:bCs w:val="false"/>
          <w:i w:val="false"/>
          <w:iCs w:val="false"/>
          <w:color w:val="1A1A1A"/>
          <w:sz w:val="22"/>
          <w:szCs w:val="22"/>
        </w:rPr>
        <w:t xml:space="preserve">, sourced from talabat's official newsroom, explicitly outside the audited TLB-XXX regime — the same figure and same labeling discipline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already uses). Beyond that one figure, this section names the four pricing models structurally, as disclosed at Group level, without inventing an Egypt figure.</w:t>
      </w:r>
    </w:p>
    <w:p>
      <w:pPr>
        <w:pStyle w:val="Heading2"/>
        <w:spacing w:after="120" w:before="280"/>
      </w:pPr>
      <w:r>
        <w:t xml:space="preserve">6.3 Recurring vs. One-Time Revenue Streams; Unit Economics</w:t>
      </w:r>
    </w:p>
    <w:p>
      <w:pPr>
        <w:spacing w:after="160" w:before="120" w:line="276"/>
      </w:pPr>
      <w:r>
        <w:rPr>
          <w:rFonts w:ascii="Calibri" w:cs="Calibri" w:eastAsia="Calibri" w:hAnsi="Calibri"/>
          <w:b/>
          <w:bCs/>
          <w:i w:val="false"/>
          <w:iCs w:val="false"/>
          <w:color w:val="1A1A1A"/>
          <w:sz w:val="22"/>
          <w:szCs w:val="22"/>
        </w:rPr>
        <w:t xml:space="preserve">Recurring vs. transactional split.</w:t>
      </w:r>
      <w:r>
        <w:rPr>
          <w:rFonts w:ascii="Calibri" w:cs="Calibri" w:eastAsia="Calibri" w:hAnsi="Calibri"/>
          <w:b w:val="false"/>
          <w:bCs w:val="false"/>
          <w:i w:val="false"/>
          <w:iCs w:val="false"/>
          <w:color w:val="1A1A1A"/>
          <w:sz w:val="22"/>
          <w:szCs w:val="22"/>
        </w:rPr>
        <w:t xml:space="preserve"> Of the four lines, only Subscription fees are a true recurring revenue stream in the SaaS sense (a fixed periodic membership fee, independent of whether the subscriber orders that period). Commission, Delivery &amp; Service, and Advertising &amp; listing fees are all per-transaction/per-order revenue — they recur in the sense that an engaged customer generates them repeatedly, but each dollar is tied to a discrete order or ad impression, not a standing contract. Own grocery &amp; other income (the tMart-driven component of the combined Subscription line) is also transactional, priced per item sold, not a subscription fee in the strict sense despite sharing a P&amp;L line with Subscription fees. This distinction matters for how the retention thesis should be read: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intervention grows the </w:t>
      </w:r>
      <w:r>
        <w:rPr>
          <w:rFonts w:ascii="Calibri" w:cs="Calibri" w:eastAsia="Calibri" w:hAnsi="Calibri"/>
          <w:b w:val="false"/>
          <w:bCs w:val="false"/>
          <w:i/>
          <w:iCs/>
          <w:color w:val="1A1A1A"/>
          <w:sz w:val="22"/>
          <w:szCs w:val="22"/>
        </w:rPr>
        <w:t xml:space="preserve">recurring</w:t>
      </w:r>
      <w:r>
        <w:rPr>
          <w:rFonts w:ascii="Calibri" w:cs="Calibri" w:eastAsia="Calibri" w:hAnsi="Calibri"/>
          <w:b w:val="false"/>
          <w:bCs w:val="false"/>
          <w:i w:val="false"/>
          <w:iCs w:val="false"/>
          <w:color w:val="1A1A1A"/>
          <w:sz w:val="22"/>
          <w:szCs w:val="22"/>
        </w:rPr>
        <w:t xml:space="preserve"> component directly (more subscribers) and grows the </w:t>
      </w:r>
      <w:r>
        <w:rPr>
          <w:rFonts w:ascii="Calibri" w:cs="Calibri" w:eastAsia="Calibri" w:hAnsi="Calibri"/>
          <w:b w:val="false"/>
          <w:bCs w:val="false"/>
          <w:i/>
          <w:iCs/>
          <w:color w:val="1A1A1A"/>
          <w:sz w:val="22"/>
          <w:szCs w:val="22"/>
        </w:rPr>
        <w:t xml:space="preserve">transactional</w:t>
      </w:r>
      <w:r>
        <w:rPr>
          <w:rFonts w:ascii="Calibri" w:cs="Calibri" w:eastAsia="Calibri" w:hAnsi="Calibri"/>
          <w:b w:val="false"/>
          <w:bCs w:val="false"/>
          <w:i w:val="false"/>
          <w:iCs w:val="false"/>
          <w:color w:val="1A1A1A"/>
          <w:sz w:val="22"/>
          <w:szCs w:val="22"/>
        </w:rPr>
        <w:t xml:space="preserve"> components indirectly, via the frequency uplift subscription and personalisation drive — it is not converting talabat's business model into a subscription-first one, which would misstate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actual scope.</w:t>
      </w:r>
    </w:p>
    <w:p>
      <w:pPr>
        <w:spacing w:after="160" w:before="120" w:line="276"/>
      </w:pPr>
      <w:r>
        <w:rPr>
          <w:rFonts w:ascii="Calibri" w:cs="Calibri" w:eastAsia="Calibri" w:hAnsi="Calibri"/>
          <w:b/>
          <w:bCs/>
          <w:i w:val="false"/>
          <w:iCs w:val="false"/>
          <w:color w:val="1A1A1A"/>
          <w:sz w:val="22"/>
          <w:szCs w:val="22"/>
        </w:rPr>
        <w:t xml:space="preserve">Unit economics.</w:t>
      </w:r>
      <w:r>
        <w:rPr>
          <w:rFonts w:ascii="Calibri" w:cs="Calibri" w:eastAsia="Calibri" w:hAnsi="Calibri"/>
          <w:b w:val="false"/>
          <w:bCs w:val="false"/>
          <w:i w:val="false"/>
          <w:iCs w:val="false"/>
          <w:color w:val="1A1A1A"/>
          <w:sz w:val="22"/>
          <w:szCs w:val="22"/>
        </w:rPr>
        <w:t xml:space="preserve"> The corpus discloses this at the Group/blended level, not per-Egypt-customer: Group Management Revenue was 39.8% of GMV in FY2024, rising toward 40-41% in FY2025 (</w:t>
      </w:r>
      <w:r>
        <w:rPr>
          <w:rFonts w:ascii="Consolas" w:cs="Consolas" w:eastAsia="Consolas" w:hAnsi="Consolas"/>
          <w:b w:val="false"/>
          <w:bCs w:val="false"/>
          <w:i w:val="false"/>
          <w:iCs w:val="false"/>
          <w:color w:val="1A1A1A"/>
          <w:sz w:val="22"/>
          <w:szCs w:val="22"/>
        </w:rPr>
        <w:t xml:space="preserve">Facts/Revenue.md</w:t>
      </w:r>
      <w:r>
        <w:rPr>
          <w:rFonts w:ascii="Calibri" w:cs="Calibri" w:eastAsia="Calibri" w:hAnsi="Calibri"/>
          <w:b w:val="false"/>
          <w:bCs w:val="false"/>
          <w:i w:val="false"/>
          <w:iCs w:val="false"/>
          <w:color w:val="1A1A1A"/>
          <w:sz w:val="22"/>
          <w:szCs w:val="22"/>
        </w:rPr>
        <w:t xml:space="preserve">; TLB-001, page 27; TLB-002, page 20) — i.e., for every USD 100 of GMV transacted on the platform, talabat's blended take across all four revenue lines was roughly USD 40-41. No Egypt-specific GMV or take-rate figure is disclosed (</w:t>
      </w:r>
      <w:r>
        <w:rPr>
          <w:rFonts w:ascii="Consolas" w:cs="Consolas" w:eastAsia="Consolas" w:hAnsi="Consolas"/>
          <w:b w:val="false"/>
          <w:bCs w:val="false"/>
          <w:i w:val="false"/>
          <w:iCs w:val="false"/>
          <w:color w:val="1A1A1A"/>
          <w:sz w:val="22"/>
          <w:szCs w:val="22"/>
        </w:rPr>
        <w:t xml:space="preserve">Topics/Segment Reporting.md</w:t>
      </w:r>
      <w:r>
        <w:rPr>
          <w:rFonts w:ascii="Calibri" w:cs="Calibri" w:eastAsia="Calibri" w:hAnsi="Calibri"/>
          <w:b w:val="false"/>
          <w:bCs w:val="false"/>
          <w:i w:val="false"/>
          <w:iCs w:val="false"/>
          <w:color w:val="1A1A1A"/>
          <w:sz w:val="22"/>
          <w:szCs w:val="22"/>
        </w:rPr>
        <w:t xml:space="preserve">'s Open Questions).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§9.4 already builds an Egypt take-rate proxy for financial-plan sizing purposes (</w:t>
      </w:r>
      <w:r>
        <w:rPr>
          <w:rFonts w:ascii="Consolas" w:cs="Consolas" w:eastAsia="Consolas" w:hAnsi="Consolas"/>
          <w:b w:val="false"/>
          <w:bCs w:val="false"/>
          <w:i w:val="false"/>
          <w:iCs w:val="false"/>
          <w:color w:val="1A1A1A"/>
          <w:sz w:val="22"/>
          <w:szCs w:val="22"/>
        </w:rPr>
        <w:t xml:space="preserve">ASM-010</w:t>
      </w:r>
      <w:r>
        <w:rPr>
          <w:rFonts w:ascii="Calibri" w:cs="Calibri" w:eastAsia="Calibri" w:hAnsi="Calibri"/>
          <w:b w:val="false"/>
          <w:bCs w:val="false"/>
          <w:i w:val="false"/>
          <w:iCs w:val="false"/>
          <w:color w:val="1A1A1A"/>
          <w:sz w:val="22"/>
          <w:szCs w:val="22"/>
        </w:rPr>
        <w:t xml:space="preserve">: ≈USD 1.24bn implied Egypt GMV, from applying the Group's 41%-of-GMV ratio to Egypt's disclosed USD 509.9mn FY2025 revenue, explicitly labeled Low confidence and illustrative only) — this section does not re-derive that figure, only notes that the same Group-ratio-import logic and confidence label applies here if a per-customer or per-order Egypt unit-economics figure were needed.</w:t>
      </w:r>
    </w:p>
    <w:p>
      <w:pPr>
        <w:spacing w:after="160" w:before="120" w:line="276"/>
      </w:pPr>
      <w:r>
        <w:rPr>
          <w:rFonts w:ascii="Calibri" w:cs="Calibri" w:eastAsia="Calibri" w:hAnsi="Calibri"/>
          <w:b/>
          <w:bCs/>
          <w:i w:val="false"/>
          <w:iCs w:val="false"/>
          <w:color w:val="1A1A1A"/>
          <w:sz w:val="22"/>
          <w:szCs w:val="22"/>
        </w:rPr>
        <w:t xml:space="preserve">What it costs, not only what it earns.</w:t>
      </w:r>
      <w:r>
        <w:rPr>
          <w:rFonts w:ascii="Calibri" w:cs="Calibri" w:eastAsia="Calibri" w:hAnsi="Calibri"/>
          <w:b w:val="false"/>
          <w:bCs w:val="false"/>
          <w:i w:val="false"/>
          <w:iCs w:val="false"/>
          <w:color w:val="1A1A1A"/>
          <w:sz w:val="22"/>
          <w:szCs w:val="22"/>
        </w:rPr>
        <w:t xml:space="preserve"> The template requires stating both sides of unit economics, not revenue alone. The one disclosed Egypt-specific cost line in the corpus is delivery cost: USD 113.13mn for FY2025, ~22% of Egypt segment revenue (</w:t>
      </w:r>
      <w:r>
        <w:rPr>
          <w:rFonts w:ascii="Consolas" w:cs="Consolas" w:eastAsia="Consolas" w:hAnsi="Consolas"/>
          <w:b w:val="false"/>
          <w:bCs w:val="false"/>
          <w:i w:val="false"/>
          <w:iCs w:val="false"/>
          <w:color w:val="1A1A1A"/>
          <w:sz w:val="22"/>
          <w:szCs w:val="22"/>
        </w:rPr>
        <w:t xml:space="preserve">Strategic/Cost Structure.md</w:t>
      </w:r>
      <w:r>
        <w:rPr>
          <w:rFonts w:ascii="Calibri" w:cs="Calibri" w:eastAsia="Calibri" w:hAnsi="Calibri"/>
          <w:b w:val="false"/>
          <w:bCs w:val="false"/>
          <w:i w:val="false"/>
          <w:iCs w:val="false"/>
          <w:color w:val="1A1A1A"/>
          <w:sz w:val="22"/>
          <w:szCs w:val="22"/>
        </w:rPr>
        <w:t xml:space="preserve">; TLB-002, page 111) — already used as Section 9 §9.2's operational-cost context and tracked as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KPI R4 ("Delivery cost as % of Egypt revenue"). Read together with the ~40-41% Group blended take rate above, this gives a directional per-order economics picture: of each dollar of Egypt revenue, roughly USD 0.22 is consumed by delivery cost alone before other operating costs (fulfilment overhead, CARC, platform costs) are counted — none of which are broken out at Egypt level in the corpus. This is not a full per-customer P&amp;L (the corpus does not disclose Egypt customer acquisition cost, cost-to-serve, or gross margin at the customer level), and this section does not construct one; it states the one cost figure the corpus does disclose, rather than presenting unit economics as revenue-only.</w:t>
      </w:r>
    </w:p>
    <w:p>
      <w:pPr>
        <w:spacing w:after="160" w:before="120" w:line="276"/>
      </w:pPr>
      <w:r>
        <w:rPr>
          <w:rFonts w:ascii="Calibri" w:cs="Calibri" w:eastAsia="Calibri" w:hAnsi="Calibri"/>
          <w:b w:val="false"/>
          <w:bCs w:val="false"/>
          <w:i w:val="false"/>
          <w:iCs w:val="false"/>
          <w:color w:val="1A1A1A"/>
          <w:sz w:val="22"/>
          <w:szCs w:val="22"/>
        </w:rPr>
        <w:t xml:space="preserve">The one directly disclosed unit-economics-adjacent figure worth naming: talabat pro subscribers show a 136% gross-profit-per-customer uplift in the 30 days immediately following subscription (</w:t>
      </w:r>
      <w:r>
        <w:rPr>
          <w:rFonts w:ascii="Consolas" w:cs="Consolas" w:eastAsia="Consolas" w:hAnsi="Consolas"/>
          <w:b w:val="false"/>
          <w:bCs w:val="false"/>
          <w:i w:val="false"/>
          <w:iCs w:val="false"/>
          <w:color w:val="1A1A1A"/>
          <w:sz w:val="22"/>
          <w:szCs w:val="22"/>
        </w:rPr>
        <w:t xml:space="preserve">Topics/Talabat Pro.md</w:t>
      </w:r>
      <w:r>
        <w:rPr>
          <w:rFonts w:ascii="Calibri" w:cs="Calibri" w:eastAsia="Calibri" w:hAnsi="Calibri"/>
          <w:b w:val="false"/>
          <w:bCs w:val="false"/>
          <w:i w:val="false"/>
          <w:iCs w:val="false"/>
          <w:color w:val="1A1A1A"/>
          <w:sz w:val="22"/>
          <w:szCs w:val="22"/>
        </w:rPr>
        <w:t xml:space="preserve">; TLB-015, page 78) — a Group/GCC-level figure, not Egypt-measured (Egypt and Iraq are explicitly excluded from the cohorts this figure is drawn from, per </w:t>
      </w:r>
      <w:r>
        <w:rPr>
          <w:rFonts w:ascii="Consolas" w:cs="Consolas" w:eastAsia="Consolas" w:hAnsi="Consolas"/>
          <w:b w:val="false"/>
          <w:bCs w:val="false"/>
          <w:i w:val="false"/>
          <w:iCs w:val="false"/>
          <w:color w:val="1A1A1A"/>
          <w:sz w:val="22"/>
          <w:szCs w:val="22"/>
        </w:rPr>
        <w:t xml:space="preserve">Topics/Talabat Pro.md</w:t>
      </w:r>
      <w:r>
        <w:rPr>
          <w:rFonts w:ascii="Calibri" w:cs="Calibri" w:eastAsia="Calibri" w:hAnsi="Calibri"/>
          <w:b w:val="false"/>
          <w:bCs w:val="false"/>
          <w:i w:val="false"/>
          <w:iCs w:val="false"/>
          <w:color w:val="1A1A1A"/>
          <w:sz w:val="22"/>
          <w:szCs w:val="22"/>
        </w:rPr>
        <w:t xml:space="preserve">'s Open Questions), cited here as the clearest evidence in the corpus of </w:t>
      </w:r>
      <w:r>
        <w:rPr>
          <w:rFonts w:ascii="Calibri" w:cs="Calibri" w:eastAsia="Calibri" w:hAnsi="Calibri"/>
          <w:b w:val="false"/>
          <w:bCs w:val="false"/>
          <w:i/>
          <w:iCs/>
          <w:color w:val="1A1A1A"/>
          <w:sz w:val="22"/>
          <w:szCs w:val="22"/>
        </w:rPr>
        <w:t xml:space="preserve">why</w:t>
      </w:r>
      <w:r>
        <w:rPr>
          <w:rFonts w:ascii="Calibri" w:cs="Calibri" w:eastAsia="Calibri" w:hAnsi="Calibri"/>
          <w:b w:val="false"/>
          <w:bCs w:val="false"/>
          <w:i w:val="false"/>
          <w:iCs w:val="false"/>
          <w:color w:val="1A1A1A"/>
          <w:sz w:val="22"/>
          <w:szCs w:val="22"/>
        </w:rPr>
        <w:t xml:space="preserve"> the subscription line's growth rate matters more to unit economics than its dollar size alone suggests.</w:t>
      </w:r>
    </w:p>
    <w:p>
      <w:pPr>
        <w:sectPr>
          <w:headerReference w:type="default" r:id="rId21"/>
          <w:footerReference w:type="default" r:id="rId22"/>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7. Marketing and Sales Strategy</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This plan's marketing motion is not a top-of-funnel customer-acquisition play — talabat already holds category leadership in Egypt with a large, broad-reach marketplace (</w:t>
      </w:r>
      <w:r>
        <w:rPr>
          <w:rFonts w:ascii="Consolas" w:cs="Consolas" w:eastAsia="Consolas" w:hAnsi="Consolas"/>
          <w:b w:val="false"/>
          <w:bCs w:val="false"/>
          <w:i w:val="false"/>
          <w:iCs w:val="false"/>
          <w:color w:val="1A1A1A"/>
          <w:sz w:val="22"/>
          <w:szCs w:val="22"/>
        </w:rPr>
        <w:t xml:space="preserve">Topics/Marketplace.md</w:t>
      </w:r>
      <w:r>
        <w:rPr>
          <w:rFonts w:ascii="Calibri" w:cs="Calibri" w:eastAsia="Calibri" w:hAnsi="Calibri"/>
          <w:b w:val="false"/>
          <w:bCs w:val="false"/>
          <w:i w:val="false"/>
          <w:iCs w:val="false"/>
          <w:color w:val="1A1A1A"/>
          <w:sz w:val="22"/>
          <w:szCs w:val="22"/>
        </w:rPr>
        <w:t xml:space="preserve">). The McKinsey Lens for this section — concentrate spend where Section 3's 80/20 analysis says the value is — points the same direction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 already committed the plan to: </w:t>
      </w:r>
      <w:r>
        <w:rPr>
          <w:rFonts w:ascii="Calibri" w:cs="Calibri" w:eastAsia="Calibri" w:hAnsi="Calibri"/>
          <w:b/>
          <w:bCs/>
          <w:i w:val="false"/>
          <w:iCs w:val="false"/>
          <w:color w:val="1A1A1A"/>
          <w:sz w:val="22"/>
          <w:szCs w:val="22"/>
        </w:rPr>
        <w:t xml:space="preserve">AI-driven marketing spend should concentrate on moving already-acquired Egypt customers along the disclosed Food → Grocery &amp; Retail → talabat pro journey</w:t>
      </w:r>
      <w:r>
        <w:rPr>
          <w:rFonts w:ascii="Calibri" w:cs="Calibri" w:eastAsia="Calibri" w:hAnsi="Calibri"/>
          <w:b w:val="false"/>
          <w:bCs w:val="false"/>
          <w:i w:val="false"/>
          <w:iCs w:val="false"/>
          <w:color w:val="1A1A1A"/>
          <w:sz w:val="22"/>
          <w:szCs w:val="22"/>
        </w:rPr>
        <w:t xml:space="preserve"> — a Group-level narrative, not yet Egypt-proven, per </w:t>
      </w:r>
      <w:r>
        <w:rPr>
          <w:rFonts w:ascii="Consolas" w:cs="Consolas" w:eastAsia="Consolas" w:hAnsi="Consolas"/>
          <w:b w:val="false"/>
          <w:bCs w:val="false"/>
          <w:i w:val="false"/>
          <w:iCs w:val="false"/>
          <w:color w:val="1A1A1A"/>
          <w:sz w:val="22"/>
          <w:szCs w:val="22"/>
        </w:rPr>
        <w:t xml:space="preserve">Topics/Customer Journey.md</w:t>
      </w:r>
      <w:r>
        <w:rPr>
          <w:rFonts w:ascii="Calibri" w:cs="Calibri" w:eastAsia="Calibri" w:hAnsi="Calibri"/>
          <w:b w:val="false"/>
          <w:bCs w:val="false"/>
          <w:i w:val="false"/>
          <w:iCs w:val="false"/>
          <w:color w:val="1A1A1A"/>
          <w:sz w:val="22"/>
          <w:szCs w:val="22"/>
        </w:rPr>
        <w:t xml:space="preserve">'s own instruction to present it as an extrapolation rather than an Egypt-verified funnel — using the same personalisation/timing mechanisms </w:t>
      </w:r>
      <w:r>
        <w:rPr>
          <w:rFonts w:ascii="Calibri" w:cs="Calibri" w:eastAsia="Calibri" w:hAnsi="Calibri"/>
          <w:b w:val="false"/>
          <w:bCs w:val="false"/>
          <w:i w:val="false"/>
          <w:iCs w:val="false"/>
          <w:color w:val="1A1A1A"/>
          <w:sz w:val="22"/>
          <w:szCs w:val="22"/>
        </w:rPr>
        <w:t xml:space="preserve"> Section 4</w:t>
      </w:r>
      <w:r>
        <w:rPr>
          <w:rFonts w:ascii="Calibri" w:cs="Calibri" w:eastAsia="Calibri" w:hAnsi="Calibri"/>
          <w:b w:val="false"/>
          <w:bCs w:val="false"/>
          <w:i w:val="false"/>
          <w:iCs w:val="false"/>
          <w:color w:val="1A1A1A"/>
          <w:sz w:val="22"/>
          <w:szCs w:val="22"/>
        </w:rPr>
        <w:t xml:space="preserve"> and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describe, rather than on broad new-customer discount acquisition. Positioning explicitly deprioritizes price-only acquisition competition against Egypt's local low-cost specialists in favor of retention-of-existing-base economics, which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's 80/20 finding shows is where the value already concentrates.</w:t>
      </w:r>
    </w:p>
    <w:p>
      <w:pPr>
        <w:pStyle w:val="Heading2"/>
        <w:spacing w:after="120" w:before="280"/>
      </w:pPr>
      <w:r>
        <w:t xml:space="preserve">Positioning</w:t>
      </w:r>
    </w:p>
    <w:p>
      <w:pPr>
        <w:spacing w:after="160" w:before="120" w:line="276"/>
      </w:pPr>
      <w:r>
        <w:rPr>
          <w:rFonts w:ascii="Calibri" w:cs="Calibri" w:eastAsia="Calibri" w:hAnsi="Calibri"/>
          <w:b/>
          <w:bCs/>
          <w:i w:val="false"/>
          <w:iCs w:val="false"/>
          <w:color w:val="1A1A1A"/>
          <w:sz w:val="22"/>
          <w:szCs w:val="22"/>
        </w:rPr>
        <w:t xml:space="preserve">How the AI product stands out.</w:t>
      </w:r>
      <w:r>
        <w:rPr>
          <w:rFonts w:ascii="Calibri" w:cs="Calibri" w:eastAsia="Calibri" w:hAnsi="Calibri"/>
          <w:b w:val="false"/>
          <w:bCs w:val="false"/>
          <w:i w:val="false"/>
          <w:iCs w:val="false"/>
          <w:color w:val="1A1A1A"/>
          <w:sz w:val="22"/>
          <w:szCs w:val="22"/>
        </w:rPr>
        <w:t xml:space="preserve"> The USP, inherited unchanged from </w:t>
      </w:r>
      <w:r>
        <w:rPr>
          <w:rFonts w:ascii="Calibri" w:cs="Calibri" w:eastAsia="Calibri" w:hAnsi="Calibri"/>
          <w:b w:val="false"/>
          <w:bCs w:val="false"/>
          <w:i w:val="false"/>
          <w:iCs w:val="false"/>
          <w:color w:val="1A1A1A"/>
          <w:sz w:val="22"/>
          <w:szCs w:val="22"/>
        </w:rPr>
        <w:t xml:space="preserve"> Section 4</w:t>
      </w:r>
      <w:r>
        <w:rPr>
          <w:rFonts w:ascii="Calibri" w:cs="Calibri" w:eastAsia="Calibri" w:hAnsi="Calibri"/>
          <w:b w:val="false"/>
          <w:bCs w:val="false"/>
          <w:i w:val="false"/>
          <w:iCs w:val="false"/>
          <w:color w:val="1A1A1A"/>
          <w:sz w:val="22"/>
          <w:szCs w:val="22"/>
        </w:rPr>
        <w:t xml:space="preserve"> §4.1, is speed and cost of deployment, not novelty of AI capability: talabat redeploys an already-built, already-proven personalisation/ranking algorithm to Egypt rather than building or buying new AI infrastructure — a structurally faster, lower-risk position than any Egypt-focused competitor building an equivalent capability from zero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w:t>
      </w:r>
    </w:p>
    <w:p>
      <w:pPr>
        <w:spacing w:after="160" w:before="120" w:line="276"/>
      </w:pPr>
      <w:r>
        <w:rPr>
          <w:rFonts w:ascii="Calibri" w:cs="Calibri" w:eastAsia="Calibri" w:hAnsi="Calibri"/>
          <w:b/>
          <w:bCs/>
          <w:i w:val="false"/>
          <w:iCs w:val="false"/>
          <w:color w:val="1A1A1A"/>
          <w:sz w:val="22"/>
          <w:szCs w:val="22"/>
        </w:rPr>
        <w:t xml:space="preserve">What this plan deliberately does NOT pursue, and why:</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Not a price-only acquisition war.</w:t>
      </w:r>
      <w:r>
        <w:rPr>
          <w:rFonts w:ascii="Calibri" w:cs="Calibri" w:eastAsia="Calibri" w:hAnsi="Calibri"/>
          <w:b w:val="false"/>
          <w:bCs w:val="false"/>
          <w:i w:val="false"/>
          <w:iCs w:val="false"/>
          <w:color w:val="1A1A1A"/>
          <w:sz w:val="22"/>
          <w:szCs w:val="22"/>
        </w:rPr>
        <w:t xml:space="preserve"> Egypt's named local competitors in the secondary corpus (</w:t>
      </w:r>
      <w:r>
        <w:rPr>
          <w:rFonts w:ascii="Consolas" w:cs="Consolas" w:eastAsia="Consolas" w:hAnsi="Consolas"/>
          <w:b w:val="false"/>
          <w:bCs w:val="false"/>
          <w:i w:val="false"/>
          <w:iCs w:val="false"/>
          <w:color w:val="1A1A1A"/>
          <w:sz w:val="22"/>
          <w:szCs w:val="22"/>
        </w:rPr>
        <w:t xml:space="preserve">ASM-002</w:t>
      </w:r>
      <w:r>
        <w:rPr>
          <w:rFonts w:ascii="Calibri" w:cs="Calibri" w:eastAsia="Calibri" w:hAnsi="Calibri"/>
          <w:b w:val="false"/>
          <w:bCs w:val="false"/>
          <w:i w:val="false"/>
          <w:iCs w:val="false"/>
          <w:color w:val="1A1A1A"/>
          <w:sz w:val="22"/>
          <w:szCs w:val="22"/>
        </w:rPr>
        <w:t xml:space="preserve">/RES-001, explicitly labeled non-primary) include Breadfast and Rabbit (q-commerce, well-capitalized, speed/price-focused) and elmenus (reported lower commission rates than talabat,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's competitor table). talabat's own stated GCC playbook is loyalty/CVP investment "rather than matching competitor discounts/vouchers" (TLB-020, page 16) — this plan extends that playbook to Egypt rather than proposing talabat compete on blanket discounting, a fight Section 3 already flags as a threat, not an opportunity, for talabat's margin structure.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Not new-customer mass acquisition as the primary lever.</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§3.2's 80/20 finding — a Group-level ~25% of MAUs (talabat pro subscribers/multi-vertical customers) already accounts for roughly half of platform GMV (TLB-019, page 7; TLB-014, page 14; TLB-020, page 8) — means the highest-ROI marketing spend is deepening engagement with customers talabat has already acquired, not spending to acquire net-new ones. The ~20-25% foodservice penetration figure this section might otherwise lean on as a further reason is a </w:t>
      </w:r>
      <w:r>
        <w:rPr>
          <w:rFonts w:ascii="Calibri" w:cs="Calibri" w:eastAsia="Calibri" w:hAnsi="Calibri"/>
          <w:b/>
          <w:bCs/>
          <w:i w:val="false"/>
          <w:iCs w:val="false"/>
          <w:color w:val="1A1A1A"/>
          <w:sz w:val="22"/>
          <w:szCs w:val="22"/>
        </w:rPr>
        <w:t xml:space="preserve">Group-wide, 8-country statistic</w:t>
      </w:r>
      <w:r>
        <w:rPr>
          <w:rFonts w:ascii="Calibri" w:cs="Calibri" w:eastAsia="Calibri" w:hAnsi="Calibri"/>
          <w:b w:val="false"/>
          <w:bCs w:val="false"/>
          <w:i w:val="false"/>
          <w:iCs w:val="false"/>
          <w:color w:val="1A1A1A"/>
          <w:sz w:val="22"/>
          <w:szCs w:val="22"/>
        </w:rPr>
        <w:t xml:space="preserve"> (TLB-001, page 21; </w:t>
      </w:r>
      <w:r>
        <w:rPr>
          <w:rFonts w:ascii="Consolas" w:cs="Consolas" w:eastAsia="Consolas" w:hAnsi="Consolas"/>
          <w:b w:val="false"/>
          <w:bCs w:val="false"/>
          <w:i w:val="false"/>
          <w:iCs w:val="false"/>
          <w:color w:val="1A1A1A"/>
          <w:sz w:val="22"/>
          <w:szCs w:val="22"/>
        </w:rPr>
        <w:t xml:space="preserve">Topics/Marketplace.md</w:t>
      </w:r>
      <w:r>
        <w:rPr>
          <w:rFonts w:ascii="Calibri" w:cs="Calibri" w:eastAsia="Calibri" w:hAnsi="Calibri"/>
          <w:b w:val="false"/>
          <w:bCs w:val="false"/>
          <w:i w:val="false"/>
          <w:iCs w:val="false"/>
          <w:color w:val="1A1A1A"/>
          <w:sz w:val="22"/>
          <w:szCs w:val="22"/>
        </w:rPr>
        <w:t xml:space="preserve">), not an Egypt-measured one — </w:t>
      </w:r>
      <w:r>
        <w:rPr>
          <w:rFonts w:ascii="Consolas" w:cs="Consolas" w:eastAsia="Consolas" w:hAnsi="Consolas"/>
          <w:b w:val="false"/>
          <w:bCs w:val="false"/>
          <w:i w:val="false"/>
          <w:iCs w:val="false"/>
          <w:color w:val="1A1A1A"/>
          <w:sz w:val="22"/>
          <w:szCs w:val="22"/>
        </w:rPr>
        <w:t xml:space="preserve">Topics/Marketplace.md</w:t>
      </w:r>
      <w:r>
        <w:rPr>
          <w:rFonts w:ascii="Calibri" w:cs="Calibri" w:eastAsia="Calibri" w:hAnsi="Calibri"/>
          <w:b w:val="false"/>
          <w:bCs w:val="false"/>
          <w:i w:val="false"/>
          <w:iCs w:val="false"/>
          <w:color w:val="1A1A1A"/>
          <w:sz w:val="22"/>
          <w:szCs w:val="22"/>
        </w:rPr>
        <w:t xml:space="preserve">'s own Open Questions states no Egypt-specific penetration or density figure exists in the corpus, and this section does not present it as if it were Egypt-proven. Acquisition is deprioritized here on the strength of the Group-level 80/20 concentration finding above, not on an unverified Egypt-penetration claim. Acquisition is not zero, however: </w:t>
      </w:r>
      <w:r>
        <w:rPr>
          <w:rFonts w:ascii="Calibri" w:cs="Calibri" w:eastAsia="Calibri" w:hAnsi="Calibri"/>
          <w:b/>
          <w:bCs/>
          <w:i w:val="false"/>
          <w:iCs w:val="false"/>
          <w:color w:val="1A1A1A"/>
          <w:sz w:val="22"/>
          <w:szCs w:val="22"/>
        </w:rPr>
        <w:t xml:space="preserve">Group-level, not Egypt-specific</w:t>
      </w:r>
      <w:r>
        <w:rPr>
          <w:rFonts w:ascii="Calibri" w:cs="Calibri" w:eastAsia="Calibri" w:hAnsi="Calibri"/>
          <w:b w:val="false"/>
          <w:bCs w:val="false"/>
          <w:i w:val="false"/>
          <w:iCs w:val="false"/>
          <w:color w:val="1A1A1A"/>
          <w:sz w:val="22"/>
          <w:szCs w:val="22"/>
        </w:rPr>
        <w:t xml:space="preserve"> — grocery/retail penetration remains "low single-digit" against a large TAM (TLB-014, page 19) — a genuine, secondary acquisition opportunity Section 3 §3.4 already names using the same qualifier, and one where Egypt's new q-commerce distribution centre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an Egypt-specific fact) is purpose-built infrastructure, even though the underlying penetration statistic itself is not Egypt-measured.</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Not a generic loyalty-points scheme.</w:t>
      </w:r>
      <w:r>
        <w:rPr>
          <w:rFonts w:ascii="Calibri" w:cs="Calibri" w:eastAsia="Calibri" w:hAnsi="Calibri"/>
          <w:b w:val="false"/>
          <w:bCs w:val="false"/>
          <w:i w:val="false"/>
          <w:iCs w:val="false"/>
          <w:color w:val="1A1A1A"/>
          <w:sz w:val="22"/>
          <w:szCs w:val="22"/>
        </w:rPr>
        <w:t xml:space="preserve"> talabat's existing product suite (talabat Rewards, PostPaid, the CIB co-branded card) already exists — this plan does not propose inventing a new promotional product category, only sequencing and AI-timing the ones already built, consistent with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redeployment framing.</w:t>
      </w:r>
    </w:p>
    <w:p>
      <w:pPr>
        <w:pStyle w:val="Heading2"/>
        <w:spacing w:after="120" w:before="280"/>
      </w:pPr>
      <w:r>
        <w:t xml:space="preserve">Customer Acquisition</w:t>
      </w:r>
    </w:p>
    <w:p>
      <w:pPr>
        <w:spacing w:after="160" w:before="120" w:line="276"/>
      </w:pPr>
      <w:r>
        <w:rPr>
          <w:rFonts w:ascii="Calibri" w:cs="Calibri" w:eastAsia="Calibri" w:hAnsi="Calibri"/>
          <w:b/>
          <w:bCs/>
          <w:i w:val="false"/>
          <w:iCs w:val="false"/>
          <w:color w:val="1A1A1A"/>
          <w:sz w:val="22"/>
          <w:szCs w:val="22"/>
        </w:rPr>
        <w:t xml:space="preserve">Channels.</w:t>
      </w:r>
      <w:r>
        <w:rPr>
          <w:rFonts w:ascii="Calibri" w:cs="Calibri" w:eastAsia="Calibri" w:hAnsi="Calibri"/>
          <w:b w:val="false"/>
          <w:bCs w:val="false"/>
          <w:i w:val="false"/>
          <w:iCs w:val="false"/>
          <w:color w:val="1A1A1A"/>
          <w:sz w:val="22"/>
          <w:szCs w:val="22"/>
        </w:rPr>
        <w:t xml:space="preserve"> The corpus does not disclose Egypt-specific acquisition-channel spend or mix (digital marketing budget split, partnership-driven acquisition volume, event-based acquisition) — this section states that gap plainly rather than inventing a channel breakdown. What is disclosed structurally: talabat operates a three-sided marketplace with Partner-side reach (93,000+ Active Partners platform-wide, </w:t>
      </w:r>
      <w:r>
        <w:rPr>
          <w:rFonts w:ascii="Consolas" w:cs="Consolas" w:eastAsia="Consolas" w:hAnsi="Consolas"/>
          <w:b w:val="false"/>
          <w:bCs w:val="false"/>
          <w:i w:val="false"/>
          <w:iCs w:val="false"/>
          <w:color w:val="1A1A1A"/>
          <w:sz w:val="22"/>
          <w:szCs w:val="22"/>
        </w:rPr>
        <w:t xml:space="preserve">Topics/Marketplace.md</w:t>
      </w:r>
      <w:r>
        <w:rPr>
          <w:rFonts w:ascii="Calibri" w:cs="Calibri" w:eastAsia="Calibri" w:hAnsi="Calibri"/>
          <w:b w:val="false"/>
          <w:bCs w:val="false"/>
          <w:i w:val="false"/>
          <w:iCs w:val="false"/>
          <w:color w:val="1A1A1A"/>
          <w:sz w:val="22"/>
          <w:szCs w:val="22"/>
        </w:rPr>
        <w:t xml:space="preserve">) that itself functions as a distribution channel (Partner listings drive organic discovery), and the corpus names "increasing store density" and "affordability" as the 2026-guidance levers for quick-commerce adoption specifically (</w:t>
      </w:r>
      <w:r>
        <w:rPr>
          <w:rFonts w:ascii="Consolas" w:cs="Consolas" w:eastAsia="Consolas" w:hAnsi="Consolas"/>
          <w:b w:val="false"/>
          <w:bCs w:val="false"/>
          <w:i w:val="false"/>
          <w:iCs w:val="false"/>
          <w:color w:val="1A1A1A"/>
          <w:sz w:val="22"/>
          <w:szCs w:val="22"/>
        </w:rPr>
        <w:t xml:space="preserve">Topics/Quick Commerce.md</w:t>
      </w:r>
      <w:r>
        <w:rPr>
          <w:rFonts w:ascii="Calibri" w:cs="Calibri" w:eastAsia="Calibri" w:hAnsi="Calibri"/>
          <w:b w:val="false"/>
          <w:bCs w:val="false"/>
          <w:i w:val="false"/>
          <w:iCs w:val="false"/>
          <w:color w:val="1A1A1A"/>
          <w:sz w:val="22"/>
          <w:szCs w:val="22"/>
        </w:rPr>
        <w:t xml:space="preserve">; TLB-002, page 10) — a q-commerce-specific acquisition lever, not a general one.</w:t>
      </w:r>
    </w:p>
    <w:p>
      <w:pPr>
        <w:spacing w:after="160" w:before="120" w:line="276"/>
      </w:pPr>
      <w:r>
        <w:rPr>
          <w:rFonts w:ascii="Calibri" w:cs="Calibri" w:eastAsia="Calibri" w:hAnsi="Calibri"/>
          <w:b/>
          <w:bCs/>
          <w:i w:val="false"/>
          <w:iCs w:val="false"/>
          <w:color w:val="1A1A1A"/>
          <w:sz w:val="22"/>
          <w:szCs w:val="22"/>
        </w:rPr>
        <w:t xml:space="preserve">Sales funnel and customer journey mapping.</w:t>
      </w:r>
      <w:r>
        <w:rPr>
          <w:rFonts w:ascii="Calibri" w:cs="Calibri" w:eastAsia="Calibri" w:hAnsi="Calibri"/>
          <w:b w:val="false"/>
          <w:bCs w:val="false"/>
          <w:i w:val="false"/>
          <w:iCs w:val="false"/>
          <w:color w:val="1A1A1A"/>
          <w:sz w:val="22"/>
          <w:szCs w:val="22"/>
        </w:rPr>
        <w:t xml:space="preserve"> talabat's own investor materials describe an explicit customer-journey arc: </w:t>
      </w:r>
      <w:r>
        <w:rPr>
          <w:rFonts w:ascii="Calibri" w:cs="Calibri" w:eastAsia="Calibri" w:hAnsi="Calibri"/>
          <w:b/>
          <w:bCs/>
          <w:i w:val="false"/>
          <w:iCs w:val="false"/>
          <w:color w:val="1A1A1A"/>
          <w:sz w:val="22"/>
          <w:szCs w:val="22"/>
        </w:rPr>
        <w:t xml:space="preserve">Food → Grocery &amp; Retail → talabat pro sign-up</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Topics/Customer Journey.md</w:t>
      </w:r>
      <w:r>
        <w:rPr>
          <w:rFonts w:ascii="Calibri" w:cs="Calibri" w:eastAsia="Calibri" w:hAnsi="Calibri"/>
          <w:b w:val="false"/>
          <w:bCs w:val="false"/>
          <w:i w:val="false"/>
          <w:iCs w:val="false"/>
          <w:color w:val="1A1A1A"/>
          <w:sz w:val="22"/>
          <w:szCs w:val="22"/>
        </w:rPr>
        <w:t xml:space="preserve">; TLB-013, page 6) — </w:t>
      </w:r>
      <w:r>
        <w:rPr>
          <w:rFonts w:ascii="Calibri" w:cs="Calibri" w:eastAsia="Calibri" w:hAnsi="Calibri"/>
          <w:b/>
          <w:bCs/>
          <w:i w:val="false"/>
          <w:iCs w:val="false"/>
          <w:color w:val="1A1A1A"/>
          <w:sz w:val="22"/>
          <w:szCs w:val="22"/>
        </w:rPr>
        <w:t xml:space="preserve">Group-level, not yet Egypt-proven</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Topics/Customer Journey.md</w:t>
      </w:r>
      <w:r>
        <w:rPr>
          <w:rFonts w:ascii="Calibri" w:cs="Calibri" w:eastAsia="Calibri" w:hAnsi="Calibri"/>
          <w:b w:val="false"/>
          <w:bCs w:val="false"/>
          <w:i w:val="false"/>
          <w:iCs w:val="false"/>
          <w:color w:val="1A1A1A"/>
          <w:sz w:val="22"/>
          <w:szCs w:val="22"/>
        </w:rPr>
        <w:t xml:space="preserve">'s own Business Implications state the vault does not disclose a formal, quantified Egypt journey/funnel model, and that any Egypt journey map is necessarily an extrapolation from Group-wide patterns, not an Egypt-verified funnel — a qualifier this section carries throughout rather than stating only once. This is reinforced mechanically by the ~six-order personalisation threshold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§5.1; TLB-001, page 22-23) — after which talabat's ML models begin actively shaping subsequent behavior toward the next journey stage. Two Group-level anchor points quantify how much the journey matters behaviorally: food-only customers order 3.8 times/month versus 13.0 times/month for multi-vertical customers (TLB-012), and multi-vertical customers accounted for 73% of GMV by December 2025 (TLB-019) — neither is Egypt-specific, and the corpus states no formal, measured Egypt (or Group-level) conversion-rate funnel exists between these stages (</w:t>
      </w:r>
      <w:r>
        <w:rPr>
          <w:rFonts w:ascii="Consolas" w:cs="Consolas" w:eastAsia="Consolas" w:hAnsi="Consolas"/>
          <w:b w:val="false"/>
          <w:bCs w:val="false"/>
          <w:i w:val="false"/>
          <w:iCs w:val="false"/>
          <w:color w:val="1A1A1A"/>
          <w:sz w:val="22"/>
          <w:szCs w:val="22"/>
        </w:rPr>
        <w:t xml:space="preserve">Topics/Customer Journey.md</w:t>
      </w:r>
      <w:r>
        <w:rPr>
          <w:rFonts w:ascii="Calibri" w:cs="Calibri" w:eastAsia="Calibri" w:hAnsi="Calibri"/>
          <w:b w:val="false"/>
          <w:bCs w:val="false"/>
          <w:i w:val="false"/>
          <w:iCs w:val="false"/>
          <w:color w:val="1A1A1A"/>
          <w:sz w:val="22"/>
          <w:szCs w:val="22"/>
        </w:rPr>
        <w:t xml:space="preserve">'s Open Questions).</w:t>
      </w:r>
    </w:p>
    <w:p>
      <w:pPr>
        <w:spacing w:after="160" w:before="120" w:line="276"/>
      </w:pPr>
      <w:r>
        <w:rPr>
          <w:rFonts w:ascii="Calibri" w:cs="Calibri" w:eastAsia="Calibri" w:hAnsi="Calibri"/>
          <w:b/>
          <w:bCs/>
          <w:i w:val="false"/>
          <w:iCs w:val="false"/>
          <w:color w:val="1A1A1A"/>
          <w:sz w:val="22"/>
          <w:szCs w:val="22"/>
        </w:rPr>
        <w:t xml:space="preserve">Illustrative Egypt funnel (synthetic, explicitly labeled — not disclosed data).</w:t>
      </w:r>
      <w:r>
        <w:rPr>
          <w:rFonts w:ascii="Calibri" w:cs="Calibri" w:eastAsia="Calibri" w:hAnsi="Calibri"/>
          <w:b w:val="false"/>
          <w:bCs w:val="false"/>
          <w:i w:val="false"/>
          <w:iCs w:val="false"/>
          <w:color w:val="1A1A1A"/>
          <w:sz w:val="22"/>
          <w:szCs w:val="22"/>
        </w:rPr>
        <w:t xml:space="preserve"> The template's McKinsey Lens requires structuring acquisition "as funnel economics... with a number at each stage." No such disclosed Egypt (or Group) funnel-conversion-rate series exists in the corpus. Per the project's standing instruction that synthetic data may be used only as a clearly-labeled last resort, the table below is </w:t>
      </w:r>
      <w:r>
        <w:rPr>
          <w:rFonts w:ascii="Calibri" w:cs="Calibri" w:eastAsia="Calibri" w:hAnsi="Calibri"/>
          <w:b/>
          <w:bCs/>
          <w:i w:val="false"/>
          <w:iCs w:val="false"/>
          <w:color w:val="1A1A1A"/>
          <w:sz w:val="22"/>
          <w:szCs w:val="22"/>
        </w:rPr>
        <w:t xml:space="preserve">illustrative only</w:t>
      </w:r>
      <w:r>
        <w:rPr>
          <w:rFonts w:ascii="Calibri" w:cs="Calibri" w:eastAsia="Calibri" w:hAnsi="Calibri"/>
          <w:b w:val="false"/>
          <w:bCs w:val="false"/>
          <w:i w:val="false"/>
          <w:iCs w:val="false"/>
          <w:color w:val="1A1A1A"/>
          <w:sz w:val="22"/>
          <w:szCs w:val="22"/>
        </w:rPr>
        <w:t xml:space="preserve">, built by anchoring two real disclosed data points (the ~6-order threshold; the ~25%-of-MAU/~50%-of-GMV subscriber concentration) and interpolating plausible, round-number, </w:t>
      </w:r>
      <w:r>
        <w:rPr>
          <w:rFonts w:ascii="Calibri" w:cs="Calibri" w:eastAsia="Calibri" w:hAnsi="Calibri"/>
          <w:b/>
          <w:bCs/>
          <w:i w:val="false"/>
          <w:iCs w:val="false"/>
          <w:color w:val="1A1A1A"/>
          <w:sz w:val="22"/>
          <w:szCs w:val="22"/>
        </w:rPr>
        <w:t xml:space="preserve">invented</w:t>
      </w:r>
      <w:r>
        <w:rPr>
          <w:rFonts w:ascii="Calibri" w:cs="Calibri" w:eastAsia="Calibri" w:hAnsi="Calibri"/>
          <w:b w:val="false"/>
          <w:bCs w:val="false"/>
          <w:i w:val="false"/>
          <w:iCs w:val="false"/>
          <w:color w:val="1A1A1A"/>
          <w:sz w:val="22"/>
          <w:szCs w:val="22"/>
        </w:rPr>
        <w:t xml:space="preserve"> conversion percentages between them for the stages the corpus does not measure:</w:t>
      </w:r>
    </w:p>
    <w:p>
      <w:pPr>
        <w:spacing w:after="40" w:before="60"/>
      </w:pPr>
      <w:r>
        <w:rPr>
          <w:rFonts w:ascii="Calibri" w:cs="Calibri" w:eastAsia="Calibri" w:hAnsi="Calibri"/>
          <w:b/>
          <w:bCs/>
          <w:i/>
          <w:iCs/>
          <w:color w:val="595959"/>
          <w:sz w:val="18"/>
          <w:szCs w:val="18"/>
        </w:rPr>
        <w:t xml:space="preserve">Table 6.</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120"/>
        <w:gridCol w:w="3120"/>
        <w:gridCol w:w="3120"/>
      </w:tblGrid>
      <w:tr>
        <w:trPr>
          <w:tblHeader/>
        </w:trPr>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Stage</w:t>
            </w:r>
          </w:p>
        </w:tc>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Illustrative conversion (synthetic)</w:t>
            </w:r>
          </w:p>
        </w:tc>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Anchor, if any</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App install / registration → first order</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iCs/>
                <w:color w:val="1A1A1A"/>
                <w:sz w:val="18"/>
                <w:szCs w:val="18"/>
              </w:rPr>
              <w:t xml:space="preserve">deliberately not modeled — this is the acquisition stage the Positioning subsection above explicitly deprioritizes as this plan's primary lever; a number here would misstate this plan's own scope, not fill a gap</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First order → sixth order (personalisation threshold reached)</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Illustrative: ~35-45%</w:t>
            </w:r>
            <w:r>
              <w:rPr>
                <w:rFonts w:ascii="Calibri" w:cs="Calibri" w:eastAsia="Calibri" w:hAnsi="Calibri"/>
                <w:b w:val="false"/>
                <w:bCs w:val="false"/>
                <w:i w:val="false"/>
                <w:iCs w:val="false"/>
                <w:color w:val="1A1A1A"/>
                <w:sz w:val="18"/>
                <w:szCs w:val="18"/>
              </w:rPr>
              <w:t xml:space="preserve"> of new Egypt customers reach this threshold within a plausible early window</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Anchored to the real ~6-order threshold (TLB-001, page 22-23); the 35-45% figure itself is invented, not disclosed</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Sixth order → multi-vertical adoption (Food + Grocery &amp; Retail)</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Illustrative: ~20-30%</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Directionally consistent with Group multi-vertical GMV share (73%, TLB-019) but not derived from it arithmetically — invented</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Multi-vertical adoption → talabat pro subscription</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Illustrative: ~30-40%</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Directionally consistent with the ~25%-of-MAU subscriber base (TLB-019/TLB-014/TLB-020) but not derived arithmetically — invented</w:t>
            </w:r>
          </w:p>
        </w:tc>
      </w:tr>
    </w:tbl>
    <w:p>
      <w:pPr>
        <w:spacing w:after="160" w:before="120" w:line="276"/>
      </w:pPr>
      <w:r>
        <w:rPr>
          <w:rFonts w:ascii="Calibri" w:cs="Calibri" w:eastAsia="Calibri" w:hAnsi="Calibri"/>
          <w:b/>
          <w:bCs/>
          <w:i w:val="false"/>
          <w:iCs w:val="false"/>
          <w:color w:val="1A1A1A"/>
          <w:sz w:val="22"/>
          <w:szCs w:val="22"/>
        </w:rPr>
        <w:t xml:space="preserve">This table must not be cited elsewhere in this plan, or in </w:t>
      </w:r>
      <w:r>
        <w:rPr>
          <w:rFonts w:ascii="Consolas" w:cs="Consolas" w:eastAsia="Consolas" w:hAnsi="Consolas"/>
          <w:b/>
          <w:bCs/>
          <w:i w:val="false"/>
          <w:iCs w:val="false"/>
          <w:color w:val="1A1A1A"/>
          <w:sz w:val="22"/>
          <w:szCs w:val="22"/>
        </w:rPr>
        <w:t xml:space="preserve">Outputs/</w:t>
      </w:r>
      <w:r>
        <w:rPr>
          <w:rFonts w:ascii="Calibri" w:cs="Calibri" w:eastAsia="Calibri" w:hAnsi="Calibri"/>
          <w:b/>
          <w:bCs/>
          <w:i w:val="false"/>
          <w:iCs w:val="false"/>
          <w:color w:val="1A1A1A"/>
          <w:sz w:val="22"/>
          <w:szCs w:val="22"/>
        </w:rPr>
        <w:t xml:space="preserve">, as if it were a disclosed company figure.</w:t>
      </w:r>
      <w:r>
        <w:rPr>
          <w:rFonts w:ascii="Calibri" w:cs="Calibri" w:eastAsia="Calibri" w:hAnsi="Calibri"/>
          <w:b w:val="false"/>
          <w:bCs w:val="false"/>
          <w:i w:val="false"/>
          <w:iCs w:val="false"/>
          <w:color w:val="1A1A1A"/>
          <w:sz w:val="22"/>
          <w:szCs w:val="22"/>
        </w:rPr>
        <w:t xml:space="preserve"> It exists solely to satisfy the template's funnel-economics instruction with a concrete number at each stage, per the corpus's stated data gap (</w:t>
      </w:r>
      <w:r>
        <w:rPr>
          <w:rFonts w:ascii="Consolas" w:cs="Consolas" w:eastAsia="Consolas" w:hAnsi="Consolas"/>
          <w:b w:val="false"/>
          <w:bCs w:val="false"/>
          <w:i w:val="false"/>
          <w:iCs w:val="false"/>
          <w:color w:val="1A1A1A"/>
          <w:sz w:val="22"/>
          <w:szCs w:val="22"/>
        </w:rPr>
        <w:t xml:space="preserve">Topics/Customer Journey.md</w:t>
      </w:r>
      <w:r>
        <w:rPr>
          <w:rFonts w:ascii="Calibri" w:cs="Calibri" w:eastAsia="Calibri" w:hAnsi="Calibri"/>
          <w:b w:val="false"/>
          <w:bCs w:val="false"/>
          <w:i w:val="false"/>
          <w:iCs w:val="false"/>
          <w:color w:val="1A1A1A"/>
          <w:sz w:val="22"/>
          <w:szCs w:val="22"/>
        </w:rPr>
        <w:t xml:space="preserve">'s Open Questions; project tracker's Section 7 row). A future primary-research pass (Egypt customer surveys or a data-sharing arrangement with talabat) is the only route to replacing this table with real figures.</w:t>
      </w:r>
    </w:p>
    <w:p>
      <w:pPr>
        <w:pStyle w:val="Heading2"/>
        <w:spacing w:after="120" w:before="280"/>
      </w:pPr>
      <w:r>
        <w:t xml:space="preserve">Partnerships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Delivery Hero SE (parent).</w:t>
      </w:r>
      <w:r>
        <w:rPr>
          <w:rFonts w:ascii="Calibri" w:cs="Calibri" w:eastAsia="Calibri" w:hAnsi="Calibri"/>
          <w:b w:val="false"/>
          <w:bCs w:val="false"/>
          <w:i w:val="false"/>
          <w:iCs w:val="false"/>
          <w:color w:val="1A1A1A"/>
          <w:sz w:val="22"/>
          <w:szCs w:val="22"/>
        </w:rPr>
        <w:t xml:space="preserve"> talabat licenses foundational dispatch/logistics infrastructure from Delivery Hero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§5.2; TLB-001/TLB-026) — this is an existing infrastructure partnership, not a new one this plan proposes.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Commercial International Bank (CIB) — Egypt-specific FinTech partnership, already live.</w:t>
      </w:r>
      <w:r>
        <w:rPr>
          <w:rFonts w:ascii="Calibri" w:cs="Calibri" w:eastAsia="Calibri" w:hAnsi="Calibri"/>
          <w:b w:val="false"/>
          <w:bCs w:val="false"/>
          <w:i w:val="false"/>
          <w:iCs w:val="false"/>
          <w:color w:val="1A1A1A"/>
          <w:sz w:val="22"/>
          <w:szCs w:val="22"/>
        </w:rPr>
        <w:t xml:space="preserve"> talabat launched a co-branded credit card with CIB, "Egypt's largest private-sector bank," alongside PostPaid's Egypt pilot phase (</w:t>
      </w:r>
      <w:r>
        <w:rPr>
          <w:rFonts w:ascii="Consolas" w:cs="Consolas" w:eastAsia="Consolas" w:hAnsi="Consolas"/>
          <w:b w:val="false"/>
          <w:bCs w:val="false"/>
          <w:i w:val="false"/>
          <w:iCs w:val="false"/>
          <w:color w:val="1A1A1A"/>
          <w:sz w:val="22"/>
          <w:szCs w:val="22"/>
        </w:rPr>
        <w:t xml:space="preserve">Facts/Subscription.md</w:t>
      </w:r>
      <w:r>
        <w:rPr>
          <w:rFonts w:ascii="Calibri" w:cs="Calibri" w:eastAsia="Calibri" w:hAnsi="Calibri"/>
          <w:b w:val="false"/>
          <w:bCs w:val="false"/>
          <w:i w:val="false"/>
          <w:iCs w:val="false"/>
          <w:color w:val="1A1A1A"/>
          <w:sz w:val="22"/>
          <w:szCs w:val="22"/>
        </w:rPr>
        <w:t xml:space="preserve">; TLB-002, pages 14, 19) — the clearest disclosed example of an Egypt-specific (not just Group-level) partnership this plan can build on directly, e.g. by AI-timing card-linked offers the same way talabat pro offers are timed.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§5.1).</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Partner (restaurant/retailer) co-funding.</w:t>
      </w:r>
      <w:r>
        <w:rPr>
          <w:rFonts w:ascii="Calibri" w:cs="Calibri" w:eastAsia="Calibri" w:hAnsi="Calibri"/>
          <w:b w:val="false"/>
          <w:bCs w:val="false"/>
          <w:i w:val="false"/>
          <w:iCs w:val="false"/>
          <w:color w:val="1A1A1A"/>
          <w:sz w:val="22"/>
          <w:szCs w:val="22"/>
        </w:rPr>
        <w:t xml:space="preserve"> Partner-funded customer savings reached an all-time-high 7% of GMV in Q1 2026, and exceeded AED 1,567.7mn over a 12-month period Group-wide (</w:t>
      </w:r>
      <w:r>
        <w:rPr>
          <w:rFonts w:ascii="Consolas" w:cs="Consolas" w:eastAsia="Consolas" w:hAnsi="Consolas"/>
          <w:b w:val="false"/>
          <w:bCs w:val="false"/>
          <w:i w:val="false"/>
          <w:iCs w:val="false"/>
          <w:color w:val="1A1A1A"/>
          <w:sz w:val="22"/>
          <w:szCs w:val="22"/>
        </w:rPr>
        <w:t xml:space="preserve">Topics/ Promotions.md</w:t>
      </w:r>
      <w:r>
        <w:rPr>
          <w:rFonts w:ascii="Calibri" w:cs="Calibri" w:eastAsia="Calibri" w:hAnsi="Calibri"/>
          <w:b w:val="false"/>
          <w:bCs w:val="false"/>
          <w:i w:val="false"/>
          <w:iCs w:val="false"/>
          <w:color w:val="1A1A1A"/>
          <w:sz w:val="22"/>
          <w:szCs w:val="22"/>
        </w:rPr>
        <w:t xml:space="preserve">; TLB-020, page 7; TLB-023, page 6) — a disclosed, scalable co-funding mechanism this plan can recommend extending in Egypt to preserve margin while still funding AI-timed retention offers, though no Egypt-specific Partner-funding figure is disclosed to validate feasibility there.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GEMs (internal precedent, not a new partnership).</w:t>
      </w:r>
      <w:r>
        <w:rPr>
          <w:rFonts w:ascii="Calibri" w:cs="Calibri" w:eastAsia="Calibri" w:hAnsi="Calibri"/>
          <w:b w:val="false"/>
          <w:bCs w:val="false"/>
          <w:i w:val="false"/>
          <w:iCs w:val="false"/>
          <w:color w:val="1A1A1A"/>
          <w:sz w:val="22"/>
          <w:szCs w:val="22"/>
        </w:rPr>
        <w:t xml:space="preserve"> talabat's own AI-supported Partner-level tool (flags Restaurants with declining acquisition/retention for targeted win-back, TLB-026, page 138, already cited in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§3.4) is named here only as evidence that AI-driven targeting capability already exists internally on the Partner side — it is not itself a consumer-facing product this plan proposes extending, consistent with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confirmed Option 2 scope (not Option 1's churn/win-back framing).</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No disclosed third-party AI/data-provider partnership.</w:t>
      </w:r>
      <w:r>
        <w:rPr>
          <w:rFonts w:ascii="Calibri" w:cs="Calibri" w:eastAsia="Calibri" w:hAnsi="Calibri"/>
          <w:b w:val="false"/>
          <w:bCs w:val="false"/>
          <w:i w:val="false"/>
          <w:iCs w:val="false"/>
          <w:color w:val="1A1A1A"/>
          <w:sz w:val="22"/>
          <w:szCs w:val="22"/>
        </w:rPr>
        <w:t xml:space="preserve"> Consistent with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§5.4's finding that no MCP/agentic/third-party AI tooling is disclosed anywhere in talabat's technology stack, this section does not invent an external data-provider or AI vendor partnership beyond what is named above.</w:t>
      </w:r>
    </w:p>
    <w:p>
      <w:pPr>
        <w:pStyle w:val="Heading2"/>
        <w:spacing w:after="120" w:before="280"/>
      </w:pPr>
      <w:r>
        <w:t xml:space="preserve">Retention</w:t>
      </w:r>
    </w:p>
    <w:p>
      <w:pPr>
        <w:spacing w:after="160" w:before="120" w:line="276"/>
      </w:pPr>
      <w:r>
        <w:rPr>
          <w:rFonts w:ascii="Calibri" w:cs="Calibri" w:eastAsia="Calibri" w:hAnsi="Calibri"/>
          <w:b/>
          <w:bCs/>
          <w:i w:val="false"/>
          <w:iCs w:val="false"/>
          <w:color w:val="1A1A1A"/>
          <w:sz w:val="22"/>
          <w:szCs w:val="22"/>
        </w:rPr>
        <w:t xml:space="preserve">Existing product suite (redeployed, not reinvented, per </w:t>
      </w:r>
      <w:r>
        <w:rPr>
          <w:rFonts w:ascii="Consolas" w:cs="Consolas" w:eastAsia="Consolas" w:hAnsi="Consolas"/>
          <w:b/>
          <w:bCs/>
          <w:i w:val="false"/>
          <w:iCs w:val="false"/>
          <w:color w:val="1A1A1A"/>
          <w:sz w:val="22"/>
          <w:szCs w:val="22"/>
        </w:rPr>
        <w:t xml:space="preserve">DEC-003</w:t>
      </w:r>
      <w:r>
        <w:rPr>
          <w:rFonts w:ascii="Calibri" w:cs="Calibri" w:eastAsia="Calibri" w:hAnsi="Calibri"/>
          <w:b/>
          <w:bCs/>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talabat pro</w:t>
      </w:r>
      <w:r>
        <w:rPr>
          <w:rFonts w:ascii="Calibri" w:cs="Calibri" w:eastAsia="Calibri" w:hAnsi="Calibri"/>
          <w:b w:val="false"/>
          <w:bCs w:val="false"/>
          <w:i w:val="false"/>
          <w:iCs w:val="false"/>
          <w:color w:val="1A1A1A"/>
          <w:sz w:val="22"/>
          <w:szCs w:val="22"/>
        </w:rPr>
        <w:t xml:space="preserve"> — free delivery + exclusive discounts, Egypt-live since February 2025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Section 6</w:t>
      </w:r>
      <w:r>
        <w:rPr>
          <w:rFonts w:ascii="Calibri" w:cs="Calibri" w:eastAsia="Calibri" w:hAnsi="Calibri"/>
          <w:b w:val="false"/>
          <w:bCs w:val="false"/>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talabat Rewards</w:t>
      </w:r>
      <w:r>
        <w:rPr>
          <w:rFonts w:ascii="Calibri" w:cs="Calibri" w:eastAsia="Calibri" w:hAnsi="Calibri"/>
          <w:b w:val="false"/>
          <w:bCs w:val="false"/>
          <w:i w:val="false"/>
          <w:iCs w:val="false"/>
          <w:color w:val="1A1A1A"/>
          <w:sz w:val="22"/>
          <w:szCs w:val="22"/>
        </w:rPr>
        <w:t xml:space="preserve"> — points-based; 18% adoption rate and &gt;15% order-frequency uplift among first-time redeemers Group-wide (</w:t>
      </w:r>
      <w:r>
        <w:rPr>
          <w:rFonts w:ascii="Consolas" w:cs="Consolas" w:eastAsia="Consolas" w:hAnsi="Consolas"/>
          <w:b w:val="false"/>
          <w:bCs w:val="false"/>
          <w:i w:val="false"/>
          <w:iCs w:val="false"/>
          <w:color w:val="1A1A1A"/>
          <w:sz w:val="22"/>
          <w:szCs w:val="22"/>
        </w:rPr>
        <w:t xml:space="preserve">Topics/Promotions.md</w:t>
      </w:r>
      <w:r>
        <w:rPr>
          <w:rFonts w:ascii="Calibri" w:cs="Calibri" w:eastAsia="Calibri" w:hAnsi="Calibri"/>
          <w:b w:val="false"/>
          <w:bCs w:val="false"/>
          <w:i w:val="false"/>
          <w:iCs w:val="false"/>
          <w:color w:val="1A1A1A"/>
          <w:sz w:val="22"/>
          <w:szCs w:val="22"/>
        </w:rPr>
        <w:t xml:space="preserve">; TLB-026, page 134) — not Egypt-specific, and the corpus does not state whether the uplift is causal or reflects self-selection by already-engaged customers (</w:t>
      </w:r>
      <w:r>
        <w:rPr>
          <w:rFonts w:ascii="Consolas" w:cs="Consolas" w:eastAsia="Consolas" w:hAnsi="Consolas"/>
          <w:b w:val="false"/>
          <w:bCs w:val="false"/>
          <w:i w:val="false"/>
          <w:iCs w:val="false"/>
          <w:color w:val="1A1A1A"/>
          <w:sz w:val="22"/>
          <w:szCs w:val="22"/>
        </w:rPr>
        <w:t xml:space="preserve">Topics/Promotions.md</w:t>
      </w:r>
      <w:r>
        <w:rPr>
          <w:rFonts w:ascii="Calibri" w:cs="Calibri" w:eastAsia="Calibri" w:hAnsi="Calibri"/>
          <w:b w:val="false"/>
          <w:bCs w:val="false"/>
          <w:i w:val="false"/>
          <w:iCs w:val="false"/>
          <w:color w:val="1A1A1A"/>
          <w:sz w:val="22"/>
          <w:szCs w:val="22"/>
        </w:rPr>
        <w:t xml:space="preserve">'s Open Questions), a caveat this section preserves rather than overstates.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talabat PostPaid</w:t>
      </w:r>
      <w:r>
        <w:rPr>
          <w:rFonts w:ascii="Calibri" w:cs="Calibri" w:eastAsia="Calibri" w:hAnsi="Calibri"/>
          <w:b w:val="false"/>
          <w:bCs w:val="false"/>
          <w:i w:val="false"/>
          <w:iCs w:val="false"/>
          <w:color w:val="1A1A1A"/>
          <w:sz w:val="22"/>
          <w:szCs w:val="22"/>
        </w:rPr>
        <w:t xml:space="preserve"> — deferred-payment FinTech, Egypt pilot phase live (TLB-002, page 14); associated with a 14% order-frequency increase Group-wide per the Products entity list (</w:t>
      </w:r>
      <w:r>
        <w:rPr>
          <w:rFonts w:ascii="Consolas" w:cs="Consolas" w:eastAsia="Consolas" w:hAnsi="Consolas"/>
          <w:b w:val="false"/>
          <w:bCs w:val="false"/>
          <w:i w:val="false"/>
          <w:iCs w:val="false"/>
          <w:color w:val="1A1A1A"/>
          <w:sz w:val="22"/>
          <w:szCs w:val="22"/>
        </w:rPr>
        <w:t xml:space="preserve">Topics/Promotions.md</w:t>
      </w:r>
      <w:r>
        <w:rPr>
          <w:rFonts w:ascii="Calibri" w:cs="Calibri" w:eastAsia="Calibri" w:hAnsi="Calibri"/>
          <w:b w:val="false"/>
          <w:bCs w:val="false"/>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CIB co-branded card</w:t>
      </w:r>
      <w:r>
        <w:rPr>
          <w:rFonts w:ascii="Calibri" w:cs="Calibri" w:eastAsia="Calibri" w:hAnsi="Calibri"/>
          <w:b w:val="false"/>
          <w:bCs w:val="false"/>
          <w:i w:val="false"/>
          <w:iCs w:val="false"/>
          <w:color w:val="1A1A1A"/>
          <w:sz w:val="22"/>
          <w:szCs w:val="22"/>
        </w:rPr>
        <w:t xml:space="preserve"> — see Partnerships above; no promotional/order-frequency figure is disclosed specifically for this Egypt product yet (</w:t>
      </w:r>
      <w:r>
        <w:rPr>
          <w:rFonts w:ascii="Consolas" w:cs="Consolas" w:eastAsia="Consolas" w:hAnsi="Consolas"/>
          <w:b w:val="false"/>
          <w:bCs w:val="false"/>
          <w:i w:val="false"/>
          <w:iCs w:val="false"/>
          <w:color w:val="1A1A1A"/>
          <w:sz w:val="22"/>
          <w:szCs w:val="22"/>
        </w:rPr>
        <w:t xml:space="preserve">Topics/Promotions.md</w:t>
      </w:r>
      <w:r>
        <w:rPr>
          <w:rFonts w:ascii="Calibri" w:cs="Calibri" w:eastAsia="Calibri" w:hAnsi="Calibri"/>
          <w:b w:val="false"/>
          <w:bCs w:val="false"/>
          <w:i w:val="false"/>
          <w:iCs w:val="false"/>
          <w:color w:val="1A1A1A"/>
          <w:sz w:val="22"/>
          <w:szCs w:val="22"/>
        </w:rPr>
        <w:t xml:space="preserve">'s Open Questions).</w:t>
      </w:r>
    </w:p>
    <w:p>
      <w:pPr>
        <w:spacing w:after="160" w:before="120" w:line="276"/>
      </w:pPr>
      <w:r>
        <w:rPr>
          <w:rFonts w:ascii="Calibri" w:cs="Calibri" w:eastAsia="Calibri" w:hAnsi="Calibri"/>
          <w:b/>
          <w:bCs/>
          <w:i w:val="false"/>
          <w:iCs w:val="false"/>
          <w:color w:val="1A1A1A"/>
          <w:sz w:val="22"/>
          <w:szCs w:val="22"/>
        </w:rPr>
        <w:t xml:space="preserve">Customer support, training, community-building.</w:t>
      </w:r>
      <w:r>
        <w:rPr>
          <w:rFonts w:ascii="Calibri" w:cs="Calibri" w:eastAsia="Calibri" w:hAnsi="Calibri"/>
          <w:b w:val="false"/>
          <w:bCs w:val="false"/>
          <w:i w:val="false"/>
          <w:iCs w:val="false"/>
          <w:color w:val="1A1A1A"/>
          <w:sz w:val="22"/>
          <w:szCs w:val="22"/>
        </w:rPr>
        <w:t xml:space="preserve"> The corpus discloses no customer-support-model detail (support channels, SLA, staffing) at either Group or Egypt level — this section states that gap plainly rather than inventing an operating detail the corpus does not support. This is carried forward as an input to </w:t>
      </w:r>
      <w:r>
        <w:rPr>
          <w:rFonts w:ascii="Calibri" w:cs="Calibri" w:eastAsia="Calibri" w:hAnsi="Calibri"/>
          <w:b w:val="false"/>
          <w:bCs w:val="false"/>
          <w:i w:val="false"/>
          <w:iCs w:val="false"/>
          <w:color w:val="1A1A1A"/>
          <w:sz w:val="22"/>
          <w:szCs w:val="22"/>
        </w:rPr>
        <w:t xml:space="preserve">Section 8</w:t>
      </w:r>
      <w:r>
        <w:rPr>
          <w:rFonts w:ascii="Calibri" w:cs="Calibri" w:eastAsia="Calibri" w:hAnsi="Calibri"/>
          <w:b w:val="false"/>
          <w:bCs w:val="false"/>
          <w:i w:val="false"/>
          <w:iCs w:val="false"/>
          <w:color w:val="1A1A1A"/>
          <w:sz w:val="22"/>
          <w:szCs w:val="22"/>
        </w:rPr>
        <w:t xml:space="preserve">'s operations planning, not resolved here.</w:t>
      </w:r>
    </w:p>
    <w:p>
      <w:pPr>
        <w:spacing w:after="160" w:before="120" w:line="276"/>
      </w:pPr>
      <w:r>
        <w:rPr>
          <w:rFonts w:ascii="Calibri" w:cs="Calibri" w:eastAsia="Calibri" w:hAnsi="Calibri"/>
          <w:b/>
          <w:bCs/>
          <w:i w:val="false"/>
          <w:iCs w:val="false"/>
          <w:color w:val="1A1A1A"/>
          <w:sz w:val="22"/>
          <w:szCs w:val="22"/>
        </w:rPr>
        <w:t xml:space="preserve">Regular updates and enhancements.</w:t>
      </w:r>
      <w:r>
        <w:rPr>
          <w:rFonts w:ascii="Calibri" w:cs="Calibri" w:eastAsia="Calibri" w:hAnsi="Calibri"/>
          <w:b w:val="false"/>
          <w:bCs w:val="false"/>
          <w:i w:val="false"/>
          <w:iCs w:val="false"/>
          <w:color w:val="1A1A1A"/>
          <w:sz w:val="22"/>
          <w:szCs w:val="22"/>
        </w:rPr>
        <w:t xml:space="preserve"> This is directly answered by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§5.6's R&amp;D roadmap — the same three Group-disclosed, not-yet-Egypt-attributed items (new-form-factor recommendations, cross-sell timing/incentive optimisation, deepened adtech-embedded personalisation, </w:t>
      </w:r>
      <w:r>
        <w:rPr>
          <w:rFonts w:ascii="Consolas" w:cs="Consolas" w:eastAsia="Consolas" w:hAnsi="Consolas"/>
          <w:b w:val="false"/>
          <w:bCs w:val="false"/>
          <w:i w:val="false"/>
          <w:iCs w:val="false"/>
          <w:color w:val="1A1A1A"/>
          <w:sz w:val="22"/>
          <w:szCs w:val="22"/>
        </w:rPr>
        <w:t xml:space="preserve">Strategic/AI Opportunities.md</w:t>
      </w:r>
      <w:r>
        <w:rPr>
          <w:rFonts w:ascii="Calibri" w:cs="Calibri" w:eastAsia="Calibri" w:hAnsi="Calibri"/>
          <w:b w:val="false"/>
          <w:bCs w:val="false"/>
          <w:i w:val="false"/>
          <w:iCs w:val="false"/>
          <w:color w:val="1A1A1A"/>
          <w:sz w:val="22"/>
          <w:szCs w:val="22"/>
        </w:rPr>
        <w:t xml:space="preserve">) that are </w:t>
      </w:r>
      <w:r>
        <w:rPr>
          <w:rFonts w:ascii="Calibri" w:cs="Calibri" w:eastAsia="Calibri" w:hAnsi="Calibri"/>
          <w:b w:val="false"/>
          <w:bCs w:val="false"/>
          <w:i w:val="false"/>
          <w:iCs w:val="false"/>
          <w:color w:val="1A1A1A"/>
          <w:sz w:val="22"/>
          <w:szCs w:val="22"/>
        </w:rPr>
        <w:t xml:space="preserve"> Section 4</w:t>
      </w:r>
      <w:r>
        <w:rPr>
          <w:rFonts w:ascii="Calibri" w:cs="Calibri" w:eastAsia="Calibri" w:hAnsi="Calibri"/>
          <w:b w:val="false"/>
          <w:bCs w:val="false"/>
          <w:i w:val="false"/>
          <w:iCs w:val="false"/>
          <w:color w:val="1A1A1A"/>
          <w:sz w:val="22"/>
          <w:szCs w:val="22"/>
        </w:rPr>
        <w:t xml:space="preserve">'s three value mechanisms. This section does not restate them; it names Section 5 §5.6 as the answer to the template's "regular updates and enhancements" prompt, consistent with the cross-section discipline this plan follows throughout.</w:t>
      </w:r>
    </w:p>
    <w:p>
      <w:pPr>
        <w:sectPr>
          <w:headerReference w:type="default" r:id="rId23"/>
          <w:footerReference w:type="default" r:id="rId24"/>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8. Operations Plan</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The template's own McKinsey Lens warns that "an AI plan that ignores the organization that must run it is the most common failure pattern in the case literature." Run against the 7S framework, this plan's operating-model picture is asymmetric: </w:t>
      </w:r>
      <w:r>
        <w:rPr>
          <w:rFonts w:ascii="Calibri" w:cs="Calibri" w:eastAsia="Calibri" w:hAnsi="Calibri"/>
          <w:b/>
          <w:bCs/>
          <w:i w:val="false"/>
          <w:iCs w:val="false"/>
          <w:color w:val="1A1A1A"/>
          <w:sz w:val="22"/>
          <w:szCs w:val="22"/>
        </w:rPr>
        <w:t xml:space="preserve">Systems</w:t>
      </w:r>
      <w:r>
        <w:rPr>
          <w:rFonts w:ascii="Calibri" w:cs="Calibri" w:eastAsia="Calibri" w:hAnsi="Calibri"/>
          <w:b w:val="false"/>
          <w:bCs w:val="false"/>
          <w:i w:val="false"/>
          <w:iCs w:val="false"/>
          <w:color w:val="1A1A1A"/>
          <w:sz w:val="22"/>
          <w:szCs w:val="22"/>
        </w:rPr>
        <w:t xml:space="preserve"> and </w:t>
      </w:r>
      <w:r>
        <w:rPr>
          <w:rFonts w:ascii="Calibri" w:cs="Calibri" w:eastAsia="Calibri" w:hAnsi="Calibri"/>
          <w:b/>
          <w:bCs/>
          <w:i w:val="false"/>
          <w:iCs w:val="false"/>
          <w:color w:val="1A1A1A"/>
          <w:sz w:val="22"/>
          <w:szCs w:val="22"/>
        </w:rPr>
        <w:t xml:space="preserve">Strategy</w:t>
      </w:r>
      <w:r>
        <w:rPr>
          <w:rFonts w:ascii="Calibri" w:cs="Calibri" w:eastAsia="Calibri" w:hAnsi="Calibri"/>
          <w:b w:val="false"/>
          <w:bCs w:val="false"/>
          <w:i w:val="false"/>
          <w:iCs w:val="false"/>
          <w:color w:val="1A1A1A"/>
          <w:sz w:val="22"/>
          <w:szCs w:val="22"/>
        </w:rPr>
        <w:t xml:space="preserve"> are well-evidenced (existing AI infrastructure, a stated 2026 objective naming retention explicitly), but </w:t>
      </w:r>
      <w:r>
        <w:rPr>
          <w:rFonts w:ascii="Calibri" w:cs="Calibri" w:eastAsia="Calibri" w:hAnsi="Calibri"/>
          <w:b/>
          <w:bCs/>
          <w:i w:val="false"/>
          <w:iCs w:val="false"/>
          <w:color w:val="1A1A1A"/>
          <w:sz w:val="22"/>
          <w:szCs w:val="22"/>
        </w:rPr>
        <w:t xml:space="preserve">Structure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Staff</w:t>
      </w:r>
      <w:r>
        <w:rPr>
          <w:rFonts w:ascii="Calibri" w:cs="Calibri" w:eastAsia="Calibri" w:hAnsi="Calibri"/>
          <w:b w:val="false"/>
          <w:bCs w:val="false"/>
          <w:i w:val="false"/>
          <w:iCs w:val="false"/>
          <w:color w:val="1A1A1A"/>
          <w:sz w:val="22"/>
          <w:szCs w:val="22"/>
        </w:rPr>
        <w:t xml:space="preserve">, and </w:t>
      </w:r>
      <w:r>
        <w:rPr>
          <w:rFonts w:ascii="Calibri" w:cs="Calibri" w:eastAsia="Calibri" w:hAnsi="Calibri"/>
          <w:b/>
          <w:bCs/>
          <w:i w:val="false"/>
          <w:iCs w:val="false"/>
          <w:color w:val="1A1A1A"/>
          <w:sz w:val="22"/>
          <w:szCs w:val="22"/>
        </w:rPr>
        <w:t xml:space="preserve">Style</w:t>
      </w:r>
      <w:r>
        <w:rPr>
          <w:rFonts w:ascii="Calibri" w:cs="Calibri" w:eastAsia="Calibri" w:hAnsi="Calibri"/>
          <w:b w:val="false"/>
          <w:bCs w:val="false"/>
          <w:i w:val="false"/>
          <w:iCs w:val="false"/>
          <w:color w:val="1A1A1A"/>
          <w:sz w:val="22"/>
          <w:szCs w:val="22"/>
        </w:rPr>
        <w:t xml:space="preserve"> are the corpus's thinnest areas — governance is visibly concentrated at the Delivery Hero SE level, no internal capital-approval process is disclosed, and Egypt has no confirmed local decision-making seat. This section names those misalignments honestly rather than assuming an organizational readiness the corpus does not evidence, consistent with the project's standing discipline of stating gaps rather than filling them silently.</w:t>
      </w:r>
    </w:p>
    <w:p>
      <w:pPr>
        <w:pStyle w:val="Heading2"/>
        <w:spacing w:after="120" w:before="280"/>
      </w:pPr>
      <w:r>
        <w:t xml:space="preserve">Infrastructure Needs (data storage, cloud computing, hardware)</w:t>
      </w:r>
    </w:p>
    <w:p>
      <w:pPr>
        <w:spacing w:after="160" w:before="120" w:line="276"/>
      </w:pPr>
      <w:r>
        <w:rPr>
          <w:rFonts w:ascii="Calibri" w:cs="Calibri" w:eastAsia="Calibri" w:hAnsi="Calibri"/>
          <w:b w:val="false"/>
          <w:bCs w:val="false"/>
          <w:i w:val="false"/>
          <w:iCs w:val="false"/>
          <w:color w:val="1A1A1A"/>
          <w:sz w:val="22"/>
          <w:szCs w:val="22"/>
        </w:rPr>
        <w:t xml:space="preserve">Cross-referencing rather than re-deriving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§5.4: the corpus does not name a specific cloud platform (no disclosed reference to AWS, Azure, or GCP) — only the scale of data processed (235TB/day, TLB-002, page 15) and the shared Delivery Hero technology stack it runs on. Egypt-specific infrastructure already in place, directly relevant to this plan's redeployment premise: the largest quick-commerce distribution centre in MENA (Cairo–Suez Road, ~27,000 sqm, running in-house AI demand forecasting,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and a 1,500-person Global Tech &amp; Shared Services hub delivering 74% of shared services and 30% of app features Group-wide (</w:t>
      </w:r>
      <w:r>
        <w:rPr>
          <w:rFonts w:ascii="Calibri" w:cs="Calibri" w:eastAsia="Calibri" w:hAnsi="Calibri"/>
          <w:b w:val="false"/>
          <w:bCs w:val="false"/>
          <w:i w:val="false"/>
          <w:iCs w:val="false"/>
          <w:color w:val="1A1A1A"/>
          <w:sz w:val="22"/>
          <w:szCs w:val="22"/>
        </w:rPr>
        <w:t xml:space="preserve"> Section 5</w:t>
      </w:r>
      <w:r>
        <w:rPr>
          <w:rFonts w:ascii="Calibri" w:cs="Calibri" w:eastAsia="Calibri" w:hAnsi="Calibri"/>
          <w:b w:val="false"/>
          <w:bCs w:val="false"/>
          <w:i w:val="false"/>
          <w:iCs w:val="false"/>
          <w:color w:val="1A1A1A"/>
          <w:sz w:val="22"/>
          <w:szCs w:val="22"/>
        </w:rPr>
        <w:t xml:space="preserve"> §5.2). No Egypt-specific hardware, data-centre, or cloud-spend figure is disclosed beyond this — this section does not invent one.</w:t>
      </w:r>
    </w:p>
    <w:p>
      <w:pPr>
        <w:pStyle w:val="Heading2"/>
        <w:spacing w:after="120" w:before="280"/>
      </w:pPr>
      <w:r>
        <w:t xml:space="preserve">Development and Maintenance Workflow</w:t>
      </w:r>
    </w:p>
    <w:p>
      <w:pPr>
        <w:spacing w:after="160" w:before="120" w:line="276"/>
      </w:pPr>
      <w:r>
        <w:rPr>
          <w:rFonts w:ascii="Calibri" w:cs="Calibri" w:eastAsia="Calibri" w:hAnsi="Calibri"/>
          <w:b w:val="false"/>
          <w:bCs w:val="false"/>
          <w:i w:val="false"/>
          <w:iCs w:val="false"/>
          <w:color w:val="1A1A1A"/>
          <w:sz w:val="22"/>
          <w:szCs w:val="22"/>
        </w:rPr>
        <w:t xml:space="preserve">The corpus discloses no software development lifecycle, release cadence, or maintenance process at either Group or Egypt level — no sprint cadence, CI/CD framework, or model-retraining schedule is named anywhere in the 29-document corpus. This is a genuine, stated gap, not an oversight: </w:t>
      </w:r>
      <w:r>
        <w:rPr>
          <w:rFonts w:ascii="Consolas" w:cs="Consolas" w:eastAsia="Consolas" w:hAnsi="Consolas"/>
          <w:b w:val="false"/>
          <w:bCs w:val="false"/>
          <w:i w:val="false"/>
          <w:iCs w:val="false"/>
          <w:color w:val="1A1A1A"/>
          <w:sz w:val="22"/>
          <w:szCs w:val="22"/>
        </w:rPr>
        <w:t xml:space="preserve">Strategic/Decision-Making Process.md</w:t>
      </w:r>
      <w:r>
        <w:rPr>
          <w:rFonts w:ascii="Calibri" w:cs="Calibri" w:eastAsia="Calibri" w:hAnsi="Calibri"/>
          <w:b w:val="false"/>
          <w:bCs w:val="false"/>
          <w:i w:val="false"/>
          <w:iCs w:val="false"/>
          <w:color w:val="1A1A1A"/>
          <w:sz w:val="22"/>
          <w:szCs w:val="22"/>
        </w:rPr>
        <w:t xml:space="preserve">'s own thesis is that the corpus shows decision-</w:t>
      </w:r>
      <w:r>
        <w:rPr>
          <w:rFonts w:ascii="Calibri" w:cs="Calibri" w:eastAsia="Calibri" w:hAnsi="Calibri"/>
          <w:b w:val="false"/>
          <w:bCs w:val="false"/>
          <w:i/>
          <w:iCs/>
          <w:color w:val="1A1A1A"/>
          <w:sz w:val="22"/>
          <w:szCs w:val="22"/>
        </w:rPr>
        <w:t xml:space="preserve">outputs</w:t>
      </w:r>
      <w:r>
        <w:rPr>
          <w:rFonts w:ascii="Calibri" w:cs="Calibri" w:eastAsia="Calibri" w:hAnsi="Calibri"/>
          <w:b w:val="false"/>
          <w:bCs w:val="false"/>
          <w:i w:val="false"/>
          <w:iCs w:val="false"/>
          <w:color w:val="1A1A1A"/>
          <w:sz w:val="22"/>
          <w:szCs w:val="22"/>
        </w:rPr>
        <w:t xml:space="preserve"> (what gets funded, where) far more clearly than decision- or development-</w:t>
      </w:r>
      <w:r>
        <w:rPr>
          <w:rFonts w:ascii="Calibri" w:cs="Calibri" w:eastAsia="Calibri" w:hAnsi="Calibri"/>
          <w:b w:val="false"/>
          <w:bCs w:val="false"/>
          <w:i/>
          <w:iCs/>
          <w:color w:val="1A1A1A"/>
          <w:sz w:val="22"/>
          <w:szCs w:val="22"/>
        </w:rPr>
        <w:t xml:space="preserve">mechanics</w:t>
      </w:r>
      <w:r>
        <w:rPr>
          <w:rFonts w:ascii="Calibri" w:cs="Calibri" w:eastAsia="Calibri" w:hAnsi="Calibri"/>
          <w:b w:val="false"/>
          <w:bCs w:val="false"/>
          <w:i w:val="false"/>
          <w:iCs w:val="false"/>
          <w:color w:val="1A1A1A"/>
          <w:sz w:val="22"/>
          <w:szCs w:val="22"/>
        </w:rPr>
        <w:t xml:space="preserve">. This plan does not fabricate a workflow the corpus does not support; it flags the gap as an input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's Three Horizons roadmap must plan around, not resolve here.</w:t>
      </w:r>
    </w:p>
    <w:p>
      <w:pPr>
        <w:pStyle w:val="Heading2"/>
        <w:spacing w:after="120" w:before="280"/>
      </w:pPr>
      <w:r>
        <w:t xml:space="preserve">Key Team Roles and the Skills Gap vs. Today</w:t>
      </w:r>
    </w:p>
    <w:p>
      <w:pPr>
        <w:spacing w:after="160" w:before="120" w:line="276"/>
      </w:pPr>
      <w:r>
        <w:rPr>
          <w:rFonts w:ascii="Calibri" w:cs="Calibri" w:eastAsia="Calibri" w:hAnsi="Calibri"/>
          <w:b w:val="false"/>
          <w:bCs w:val="false"/>
          <w:i w:val="false"/>
          <w:iCs w:val="false"/>
          <w:color w:val="1A1A1A"/>
          <w:sz w:val="22"/>
          <w:szCs w:val="22"/>
        </w:rPr>
        <w:t xml:space="preserve">The corpus names no Egypt-specific data-science, engineering, or product-management headcount, nor a Group-level breakdown of AI-specific roles. The closest disclosed evidence is structural, not role-specific: the 1,500-person Global Tech &amp; Shared Services hub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is the only quantified technology-organization figure in the corpus, and it is explicitly a </w:t>
      </w:r>
      <w:r>
        <w:rPr>
          <w:rFonts w:ascii="Calibri" w:cs="Calibri" w:eastAsia="Calibri" w:hAnsi="Calibri"/>
          <w:b w:val="false"/>
          <w:bCs w:val="false"/>
          <w:i/>
          <w:iCs/>
          <w:color w:val="1A1A1A"/>
          <w:sz w:val="22"/>
          <w:szCs w:val="22"/>
        </w:rPr>
        <w:t xml:space="preserve">shared</w:t>
      </w:r>
      <w:r>
        <w:rPr>
          <w:rFonts w:ascii="Calibri" w:cs="Calibri" w:eastAsia="Calibri" w:hAnsi="Calibri"/>
          <w:b w:val="false"/>
          <w:bCs w:val="false"/>
          <w:i w:val="false"/>
          <w:iCs w:val="false"/>
          <w:color w:val="1A1A1A"/>
          <w:sz w:val="22"/>
          <w:szCs w:val="22"/>
        </w:rPr>
        <w:t xml:space="preserve">, Group-wide resource, not an Egypt-dedicated team.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's Organizational Risks category already names this precisely as "AI-capability ownership ambiguity" — because the corpus never confirms whether Egypt-specific AI deployment would be owned by a dedicated Egypt team or the shared Group Tech hub, this plan cannot state with confidence who inside talabat would actually execute the recommended roadmap extension. This section does not re-derive that finding; it names it as the central skills-gap question this plan's implementation depends on answering, which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 must address as a Horizon 1 organizational prerequisite, not a technology one.</w:t>
      </w:r>
    </w:p>
    <w:p>
      <w:pPr>
        <w:pStyle w:val="Heading2"/>
        <w:spacing w:after="120" w:before="280"/>
      </w:pPr>
      <w:r>
        <w:t xml:space="preserve">7S Alignment Check</w:t>
      </w:r>
    </w:p>
    <w:p>
      <w:pPr>
        <w:spacing w:after="160" w:before="120" w:line="276"/>
      </w:pPr>
      <w:r>
        <w:rPr>
          <w:rFonts w:ascii="Calibri" w:cs="Calibri" w:eastAsia="Calibri" w:hAnsi="Calibri"/>
          <w:b w:val="false"/>
          <w:bCs w:val="false"/>
          <w:i w:val="false"/>
          <w:iCs w:val="false"/>
          <w:color w:val="1A1A1A"/>
          <w:sz w:val="22"/>
          <w:szCs w:val="22"/>
        </w:rPr>
        <w:t xml:space="preserve">Per the template's explicit instruction to test the operating model against Strategy, Structure, Systems, Shared values, Skills, Style, and Staff, and name misalignments honestly:</w:t>
      </w:r>
    </w:p>
    <w:p>
      <w:pPr>
        <w:spacing w:after="40" w:before="60"/>
      </w:pPr>
      <w:r>
        <w:rPr>
          <w:rFonts w:ascii="Calibri" w:cs="Calibri" w:eastAsia="Calibri" w:hAnsi="Calibri"/>
          <w:b/>
          <w:bCs/>
          <w:i/>
          <w:iCs/>
          <w:color w:val="595959"/>
          <w:sz w:val="18"/>
          <w:szCs w:val="18"/>
        </w:rPr>
        <w:t xml:space="preserve">Table 7.</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40"/>
        <w:gridCol w:w="2340"/>
        <w:gridCol w:w="2340"/>
        <w:gridCol w:w="2340"/>
      </w:tblGrid>
      <w:tr>
        <w:trPr>
          <w:tblHeader/>
        </w:trPr>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Element</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Where the organization IS ready</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Where it is NOT ready</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What closes the gap</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Strategy</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 named 2026 corporate objective explicitly matches this plan's thesis: "retain high and medium value customers against partial or complete churn to competition" (TLB-002, page 14, per </w:t>
            </w:r>
            <w:r>
              <w:rPr>
                <w:rFonts w:ascii="Consolas" w:cs="Consolas" w:eastAsia="Consolas" w:hAnsi="Consolas"/>
                <w:b w:val="false"/>
                <w:bCs w:val="false"/>
                <w:i w:val="false"/>
                <w:iCs w:val="false"/>
                <w:color w:val="1A1A1A"/>
                <w:sz w:val="18"/>
                <w:szCs w:val="18"/>
              </w:rPr>
              <w:t xml:space="preserve">Strategic/Decision-Making Process.md</w:t>
            </w:r>
            <w:r>
              <w:rPr>
                <w:rFonts w:ascii="Calibri" w:cs="Calibri" w:eastAsia="Calibri" w:hAnsi="Calibri"/>
                <w:b w:val="false"/>
                <w:bCs w:val="false"/>
                <w:i w:val="false"/>
                <w:iCs w:val="false"/>
                <w:color w:val="1A1A1A"/>
                <w:sz w:val="18"/>
                <w:szCs w:val="18"/>
              </w:rPr>
              <w:t xml:space="preserve">) — this plan is not proposing a strategy talabat hasn't already adopted at Group level.</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The objective is stated Group-wide; no Egypt-specific strategic statement exists to confirm Egypt is prioritized within it.</w:t>
            </w:r>
          </w:p>
        </w:tc>
        <w:tc>
          <w:tcPr>
            <w:tcW w:type="dxa" w:w="2340"/>
            <w:shd w:fill="FFFFF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DEC-003</w:t>
            </w:r>
            <w:r>
              <w:rPr>
                <w:rFonts w:ascii="Calibri" w:cs="Calibri" w:eastAsia="Calibri" w:hAnsi="Calibri"/>
                <w:b w:val="false"/>
                <w:bCs w:val="false"/>
                <w:i w:val="false"/>
                <w:iCs w:val="false"/>
                <w:color w:val="1A1A1A"/>
                <w:sz w:val="18"/>
                <w:szCs w:val="18"/>
              </w:rPr>
              <w:t xml:space="preserve">'s confirmed governing hypothesis is this plan's own answer — extend the objective to Egypt specifically, the gap Section 2 already establishes.</w:t>
            </w:r>
          </w:p>
        </w:tc>
      </w:tr>
      <w:tr>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Structure</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operates through two named, real legal entities — Delivery Hero Egypt SAE and Delivery Hero Dmart Egypt LLC (</w:t>
            </w:r>
            <w:r>
              <w:rPr>
                <w:rFonts w:ascii="Consolas" w:cs="Consolas" w:eastAsia="Consolas" w:hAnsi="Consolas"/>
                <w:b w:val="false"/>
                <w:bCs w:val="false"/>
                <w:i w:val="false"/>
                <w:iCs w:val="false"/>
                <w:color w:val="1A1A1A"/>
                <w:sz w:val="18"/>
                <w:szCs w:val="18"/>
              </w:rPr>
              <w:t xml:space="preserve">Topics/Corporate Structure.md</w:t>
            </w:r>
            <w:r>
              <w:rPr>
                <w:rFonts w:ascii="Calibri" w:cs="Calibri" w:eastAsia="Calibri" w:hAnsi="Calibri"/>
                <w:b w:val="false"/>
                <w:bCs w:val="false"/>
                <w:i w:val="false"/>
                <w:iCs w:val="false"/>
                <w:color w:val="1A1A1A"/>
                <w:sz w:val="18"/>
                <w:szCs w:val="18"/>
              </w:rPr>
              <w:t xml:space="preserve">) — giving this plan concrete implementation vehicles to anchor recommendations to, rather than an abstract "Egypt business unit."</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Governance is visibly concentrated at the Delivery Hero SE level: the Board Chair, Vice-Chair, and a Non-Executive Director simultaneously hold Delivery Hero SE C-suite roles. The corpus never states whether either Egypt entity has local board representation, an advisory committee, or delegated decision rights (</w:t>
            </w:r>
            <w:r>
              <w:rPr>
                <w:rFonts w:ascii="Consolas" w:cs="Consolas" w:eastAsia="Consolas" w:hAnsi="Consolas"/>
                <w:b w:val="false"/>
                <w:bCs w:val="false"/>
                <w:i w:val="false"/>
                <w:iCs w:val="false"/>
                <w:color w:val="1A1A1A"/>
                <w:sz w:val="18"/>
                <w:szCs w:val="18"/>
              </w:rPr>
              <w:t xml:space="preserve">Strategic/Decision-Making Process.md</w:t>
            </w:r>
            <w:r>
              <w:rPr>
                <w:rFonts w:ascii="Calibri" w:cs="Calibri" w:eastAsia="Calibri" w:hAnsi="Calibri"/>
                <w:b w:val="false"/>
                <w:bCs w:val="false"/>
                <w:i w:val="false"/>
                <w:iCs w:val="false"/>
                <w:color w:val="1A1A1A"/>
                <w:sz w:val="18"/>
                <w:szCs w:val="18"/>
              </w:rPr>
              <w:t xml:space="preserve">'s Open Questions).</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This plan's investment ask should be framed to satisfy Group-level approval criteria, per </w:t>
            </w:r>
            <w:r>
              <w:rPr>
                <w:rFonts w:ascii="Consolas" w:cs="Consolas" w:eastAsia="Consolas" w:hAnsi="Consolas"/>
                <w:b w:val="false"/>
                <w:bCs w:val="false"/>
                <w:i w:val="false"/>
                <w:iCs w:val="false"/>
                <w:color w:val="1A1A1A"/>
                <w:sz w:val="18"/>
                <w:szCs w:val="18"/>
              </w:rPr>
              <w:t xml:space="preserve">Strategic/Decision-Making Process.md</w:t>
            </w:r>
            <w:r>
              <w:rPr>
                <w:rFonts w:ascii="Calibri" w:cs="Calibri" w:eastAsia="Calibri" w:hAnsi="Calibri"/>
                <w:b w:val="false"/>
                <w:bCs w:val="false"/>
                <w:i w:val="false"/>
                <w:iCs w:val="false"/>
                <w:color w:val="1A1A1A"/>
                <w:sz w:val="18"/>
                <w:szCs w:val="18"/>
              </w:rPr>
              <w:t xml:space="preserve">'s own Strategic Implications, not assume a country-level approval path exists.</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Systems</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The AI/ML infrastructure this plan redeploys already exists and runs at scale (235TB/day, </w:t>
            </w:r>
            <w:r>
              <w:rPr>
                <w:rFonts w:ascii="Consolas" w:cs="Consolas" w:eastAsia="Consolas" w:hAnsi="Consolas"/>
                <w:b w:val="false"/>
                <w:bCs w:val="false"/>
                <w:i w:val="false"/>
                <w:iCs w:val="false"/>
                <w:color w:val="1A1A1A"/>
                <w:sz w:val="18"/>
                <w:szCs w:val="18"/>
              </w:rPr>
              <w:t xml:space="preserve">Section 5</w:t>
            </w:r>
            <w:r>
              <w:rPr>
                <w:rFonts w:ascii="Calibri" w:cs="Calibri" w:eastAsia="Calibri" w:hAnsi="Calibri"/>
                <w:b w:val="false"/>
                <w:bCs w:val="false"/>
                <w:i w:val="false"/>
                <w:iCs w:val="false"/>
                <w:color w:val="1A1A1A"/>
                <w:sz w:val="18"/>
                <w:szCs w:val="18"/>
              </w:rPr>
              <w:t xml:space="preserve">) — the strongest-evidenced element in the entire 7S check.</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disclosed development workflow or model-maintenance cadence (see above).</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Named as a Section 12 implementation prerequisite, not fabricated here.</w:t>
            </w:r>
          </w:p>
        </w:tc>
      </w:tr>
      <w:tr>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Shared values</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talabat's own customer-value-proposition framing (Quality, Convenience, Value, </w:t>
            </w:r>
            <w:r>
              <w:rPr>
                <w:rFonts w:ascii="Consolas" w:cs="Consolas" w:eastAsia="Consolas" w:hAnsi="Consolas"/>
                <w:b w:val="false"/>
                <w:bCs w:val="false"/>
                <w:i w:val="false"/>
                <w:iCs w:val="false"/>
                <w:color w:val="1A1A1A"/>
                <w:sz w:val="18"/>
                <w:szCs w:val="18"/>
              </w:rPr>
              <w:t xml:space="preserve">Topics/Customer Journey.md</w:t>
            </w:r>
            <w:r>
              <w:rPr>
                <w:rFonts w:ascii="Calibri" w:cs="Calibri" w:eastAsia="Calibri" w:hAnsi="Calibri"/>
                <w:b w:val="false"/>
                <w:bCs w:val="false"/>
                <w:i w:val="false"/>
                <w:iCs w:val="false"/>
                <w:color w:val="1A1A1A"/>
                <w:sz w:val="18"/>
                <w:szCs w:val="18"/>
              </w:rPr>
              <w:t xml:space="preserve">) and its stated preference for "loyalty/CVP investment rather than matching competitor discounts/vouchers" (TLB-020, page 16) are directly consistent with this plan's retention-over-acquisition positioning (</w:t>
            </w:r>
            <w:r>
              <w:rPr>
                <w:rFonts w:ascii="Calibri" w:cs="Calibri" w:eastAsia="Calibri" w:hAnsi="Calibri"/>
                <w:b w:val="false"/>
                <w:bCs w:val="false"/>
                <w:i w:val="false"/>
                <w:iCs w:val="false"/>
                <w:color w:val="1A1A1A"/>
                <w:sz w:val="18"/>
                <w:szCs w:val="18"/>
              </w:rPr>
              <w:t xml:space="preserve">Section 7</w:t>
            </w:r>
            <w:r>
              <w:rPr>
                <w:rFonts w:ascii="Calibri" w:cs="Calibri" w:eastAsia="Calibri" w:hAnsi="Calibri"/>
                <w:b w:val="false"/>
                <w:bCs w:val="false"/>
                <w:i w:val="false"/>
                <w:iCs w:val="false"/>
                <w:color w:val="1A1A1A"/>
                <w:sz w:val="18"/>
                <w:szCs w:val="18"/>
              </w:rPr>
              <w:t xml:space="preserve">).</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disclosed statement of company values or culture specific to AI use, data ethics, or Egypt operations.</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Addressed structurally by </w:t>
            </w:r>
            <w:r>
              <w:rPr>
                <w:rFonts w:ascii="Calibri" w:cs="Calibri" w:eastAsia="Calibri" w:hAnsi="Calibri"/>
                <w:b w:val="false"/>
                <w:bCs w:val="false"/>
                <w:i w:val="false"/>
                <w:iCs w:val="false"/>
                <w:color w:val="1A1A1A"/>
                <w:sz w:val="18"/>
                <w:szCs w:val="18"/>
              </w:rPr>
              <w:t xml:space="preserve">Section 11</w:t>
            </w:r>
            <w:r>
              <w:rPr>
                <w:rFonts w:ascii="Calibri" w:cs="Calibri" w:eastAsia="Calibri" w:hAnsi="Calibri"/>
                <w:b w:val="false"/>
                <w:bCs w:val="false"/>
                <w:i w:val="false"/>
                <w:iCs w:val="false"/>
                <w:color w:val="1A1A1A"/>
                <w:sz w:val="18"/>
                <w:szCs w:val="18"/>
              </w:rPr>
              <w:t xml:space="preserve">, not this section.</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Skills</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The Global Tech &amp; Shared Services hub (</w:t>
            </w:r>
            <w:r>
              <w:rPr>
                <w:rFonts w:ascii="Consolas" w:cs="Consolas" w:eastAsia="Consolas" w:hAnsi="Consolas"/>
                <w:b w:val="false"/>
                <w:bCs w:val="false"/>
                <w:i w:val="false"/>
                <w:iCs w:val="false"/>
                <w:color w:val="1A1A1A"/>
                <w:sz w:val="18"/>
                <w:szCs w:val="18"/>
              </w:rPr>
              <w:t xml:space="preserve">ASM-004</w:t>
            </w:r>
            <w:r>
              <w:rPr>
                <w:rFonts w:ascii="Calibri" w:cs="Calibri" w:eastAsia="Calibri" w:hAnsi="Calibri"/>
                <w:b w:val="false"/>
                <w:bCs w:val="false"/>
                <w:i w:val="false"/>
                <w:iCs w:val="false"/>
                <w:color w:val="1A1A1A"/>
                <w:sz w:val="18"/>
                <w:szCs w:val="18"/>
              </w:rPr>
              <w:t xml:space="preserve">) demonstrates real, at-scale AI/ML capability already exists within the organization.</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Egypt-specific skills inventory or gap analysis is disclosed; ownership of Egypt AI deployment is unconfirmed (Section 10's AI-capability ownership ambiguity, above).</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This is the single largest unresolved 7S gap this plan identifies — it cannot be closed from the corpus alone and is named as an explicit implementation risk, not assumed away.</w:t>
            </w:r>
          </w:p>
        </w:tc>
      </w:tr>
      <w:tr>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Style</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The venue pattern for strategic communication (Capital Markets Day, Annual Report, quarterly results — </w:t>
            </w:r>
            <w:r>
              <w:rPr>
                <w:rFonts w:ascii="Consolas" w:cs="Consolas" w:eastAsia="Consolas" w:hAnsi="Consolas"/>
                <w:b w:val="false"/>
                <w:bCs w:val="false"/>
                <w:i w:val="false"/>
                <w:iCs w:val="false"/>
                <w:color w:val="1A1A1A"/>
                <w:sz w:val="18"/>
                <w:szCs w:val="18"/>
              </w:rPr>
              <w:t xml:space="preserve">Strategic/Decision-Making Process.md</w:t>
            </w:r>
            <w:r>
              <w:rPr>
                <w:rFonts w:ascii="Calibri" w:cs="Calibri" w:eastAsia="Calibri" w:hAnsi="Calibri"/>
                <w:b w:val="false"/>
                <w:bCs w:val="false"/>
                <w:i w:val="false"/>
                <w:iCs w:val="false"/>
                <w:color w:val="1A1A1A"/>
                <w:sz w:val="18"/>
                <w:szCs w:val="18"/>
              </w:rPr>
              <w:t xml:space="preserve">) shows a consistent, disciplined external-communication style talabat already follows.</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document describes internal leadership style, decision-making culture, or how a country-level initiative is actually evaluated and approved (no capital-allocation committee, investment threshold, or stage-gate process is disclosed anywhere in the corpus).</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Named as a genuine structural unknown per </w:t>
            </w:r>
            <w:r>
              <w:rPr>
                <w:rFonts w:ascii="Consolas" w:cs="Consolas" w:eastAsia="Consolas" w:hAnsi="Consolas"/>
                <w:b w:val="false"/>
                <w:bCs w:val="false"/>
                <w:i w:val="false"/>
                <w:iCs w:val="false"/>
                <w:color w:val="1A1A1A"/>
                <w:sz w:val="18"/>
                <w:szCs w:val="18"/>
              </w:rPr>
              <w:t xml:space="preserve">Strategic/Decision-Making Process.md</w:t>
            </w:r>
            <w:r>
              <w:rPr>
                <w:rFonts w:ascii="Calibri" w:cs="Calibri" w:eastAsia="Calibri" w:hAnsi="Calibri"/>
                <w:b w:val="false"/>
                <w:bCs w:val="false"/>
                <w:i w:val="false"/>
                <w:iCs w:val="false"/>
                <w:color w:val="1A1A1A"/>
                <w:sz w:val="18"/>
                <w:szCs w:val="18"/>
              </w:rPr>
              <w:t xml:space="preserve">'s own Strategic Implications — this plan's "how this gets approved" content is a reasoned proposal built on visible structure, not a description of a documented talabat process, because none is disclosed.</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Staff</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~90-95% of talabat's delivery workforce operates via third-party logistics/freelance arrangements, already flagged by </w:t>
            </w:r>
            <w:r>
              <w:rPr>
                <w:rFonts w:ascii="Calibri" w:cs="Calibri" w:eastAsia="Calibri" w:hAnsi="Calibri"/>
                <w:b w:val="false"/>
                <w:bCs w:val="false"/>
                <w:i w:val="false"/>
                <w:iCs w:val="false"/>
                <w:color w:val="1A1A1A"/>
                <w:sz w:val="18"/>
                <w:szCs w:val="18"/>
              </w:rPr>
              <w:t xml:space="preserve">Section 10</w:t>
            </w:r>
            <w:r>
              <w:rPr>
                <w:rFonts w:ascii="Calibri" w:cs="Calibri" w:eastAsia="Calibri" w:hAnsi="Calibri"/>
                <w:b w:val="false"/>
                <w:bCs w:val="false"/>
                <w:i w:val="false"/>
                <w:iCs w:val="false"/>
                <w:color w:val="1A1A1A"/>
                <w:sz w:val="18"/>
                <w:szCs w:val="18"/>
              </w:rPr>
              <w:t xml:space="preserve"> as a Delivery-reliability dependency risk (</w:t>
            </w:r>
            <w:r>
              <w:rPr>
                <w:rFonts w:ascii="Consolas" w:cs="Consolas" w:eastAsia="Consolas" w:hAnsi="Consolas"/>
                <w:b w:val="false"/>
                <w:bCs w:val="false"/>
                <w:i w:val="false"/>
                <w:iCs w:val="false"/>
                <w:color w:val="1A1A1A"/>
                <w:sz w:val="18"/>
                <w:szCs w:val="18"/>
              </w:rPr>
              <w:t xml:space="preserve">Strategic/Competitive Weaknesses.md</w:t>
            </w:r>
            <w:r>
              <w:rPr>
                <w:rFonts w:ascii="Calibri" w:cs="Calibri" w:eastAsia="Calibri" w:hAnsi="Calibri"/>
                <w:b w:val="false"/>
                <w:bCs w:val="false"/>
                <w:i w:val="false"/>
                <w:iCs w:val="false"/>
                <w:color w:val="1A1A1A"/>
                <w:sz w:val="18"/>
                <w:szCs w:val="18"/>
              </w:rPr>
              <w:t xml:space="preserve">, TLB-001, pages 34, 47) — a known, named workforce structure this plan does not need to re-diagnose.</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Egypt-specific rider-sourcing breakdown is disclosed; whether Egypt's delivery-workforce model differs from the GCC's is unconfirmed (</w:t>
            </w:r>
            <w:r>
              <w:rPr>
                <w:rFonts w:ascii="Consolas" w:cs="Consolas" w:eastAsia="Consolas" w:hAnsi="Consolas"/>
                <w:b w:val="false"/>
                <w:bCs w:val="false"/>
                <w:i w:val="false"/>
                <w:iCs w:val="false"/>
                <w:color w:val="1A1A1A"/>
                <w:sz w:val="18"/>
                <w:szCs w:val="18"/>
              </w:rPr>
              <w:t xml:space="preserve">Strategic/Competitive Weaknesses.md</w:t>
            </w:r>
            <w:r>
              <w:rPr>
                <w:rFonts w:ascii="Calibri" w:cs="Calibri" w:eastAsia="Calibri" w:hAnsi="Calibri"/>
                <w:b w:val="false"/>
                <w:bCs w:val="false"/>
                <w:i w:val="false"/>
                <w:iCs w:val="false"/>
                <w:color w:val="1A1A1A"/>
                <w:sz w:val="18"/>
                <w:szCs w:val="18"/>
              </w:rPr>
              <w:t xml:space="preserve">'s Open Questions, already carried by Section 10).</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Not resolvable from the corpus; carried forward as an explicit execution-quality precondition for the AI-personalisation-driven loyalty this plan recommends.</w:t>
            </w:r>
          </w:p>
        </w:tc>
      </w:tr>
    </w:tbl>
    <w:p>
      <w:pPr>
        <w:spacing w:after="160" w:before="120" w:line="276"/>
      </w:pPr>
      <w:r>
        <w:rPr>
          <w:rFonts w:ascii="Calibri" w:cs="Calibri" w:eastAsia="Calibri" w:hAnsi="Calibri"/>
          <w:b/>
          <w:bCs/>
          <w:i w:val="false"/>
          <w:iCs w:val="false"/>
          <w:color w:val="1A1A1A"/>
          <w:sz w:val="22"/>
          <w:szCs w:val="22"/>
        </w:rPr>
        <w:t xml:space="preserve">Two further structural findings this check surfaces, both already named by </w:t>
      </w:r>
      <w:r>
        <w:rPr>
          <w:rFonts w:ascii="Calibri" w:cs="Calibri" w:eastAsia="Calibri" w:hAnsi="Calibri"/>
          <w:b/>
          <w:bCs/>
          <w:i w:val="false"/>
          <w:iCs w:val="false"/>
          <w:color w:val="1A1A1A"/>
          <w:sz w:val="22"/>
          <w:szCs w:val="22"/>
        </w:rPr>
        <w:t xml:space="preserve"> Section 10</w:t>
      </w:r>
      <w:r>
        <w:rPr>
          <w:rFonts w:ascii="Calibri" w:cs="Calibri" w:eastAsia="Calibri" w:hAnsi="Calibri"/>
          <w:b/>
          <w:bCs/>
          <w:i w:val="false"/>
          <w:iCs w:val="false"/>
          <w:color w:val="1A1A1A"/>
          <w:sz w:val="22"/>
          <w:szCs w:val="22"/>
        </w:rPr>
        <w:t xml:space="preserve"> and not re-derived here:</w:t>
      </w:r>
      <w:r>
        <w:rPr>
          <w:rFonts w:ascii="Calibri" w:cs="Calibri" w:eastAsia="Calibri" w:hAnsi="Calibri"/>
          <w:b w:val="false"/>
          <w:bCs w:val="false"/>
          <w:i w:val="false"/>
          <w:iCs w:val="false"/>
          <w:color w:val="1A1A1A"/>
          <w:sz w:val="22"/>
          <w:szCs w:val="22"/>
        </w:rPr>
        <w:t xml:space="preserve"> an unexplained CEO transition (Rodriguez → Gyssels) and board-seat change (Al Jbori → Al-Halabi), both occurring without narration in the corpus (</w:t>
      </w:r>
      <w:r>
        <w:rPr>
          <w:rFonts w:ascii="Consolas" w:cs="Consolas" w:eastAsia="Consolas" w:hAnsi="Consolas"/>
          <w:b w:val="false"/>
          <w:bCs w:val="false"/>
          <w:i w:val="false"/>
          <w:iCs w:val="false"/>
          <w:color w:val="1A1A1A"/>
          <w:sz w:val="22"/>
          <w:szCs w:val="22"/>
        </w:rPr>
        <w:t xml:space="preserve">Strategic/Decision-Making Process.md</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Topics/Corporate Structure.md</w:t>
      </w:r>
      <w:r>
        <w:rPr>
          <w:rFonts w:ascii="Calibri" w:cs="Calibri" w:eastAsia="Calibri" w:hAnsi="Calibri"/>
          <w:b w:val="false"/>
          <w:bCs w:val="false"/>
          <w:i w:val="false"/>
          <w:iCs w:val="false"/>
          <w:color w:val="1A1A1A"/>
          <w:sz w:val="22"/>
          <w:szCs w:val="22"/>
        </w:rPr>
        <w:t xml:space="preserve">) — a governance-stability caveat this plan's multi-year sponsorship assumption cannot fully verify.</w:t>
      </w:r>
    </w:p>
    <w:p>
      <w:pPr>
        <w:pStyle w:val="Heading2"/>
        <w:spacing w:after="120" w:before="280"/>
      </w:pPr>
      <w:r>
        <w:t xml:space="preserve">Security and Compliance Measures (data protection law, privacy regulations)</w:t>
      </w:r>
    </w:p>
    <w:p>
      <w:pPr>
        <w:spacing w:after="160" w:before="120" w:line="276"/>
      </w:pPr>
      <w:r>
        <w:rPr>
          <w:rFonts w:ascii="Calibri" w:cs="Calibri" w:eastAsia="Calibri" w:hAnsi="Calibri"/>
          <w:b w:val="false"/>
          <w:bCs w:val="false"/>
          <w:i w:val="false"/>
          <w:iCs w:val="false"/>
          <w:color w:val="1A1A1A"/>
          <w:sz w:val="22"/>
          <w:szCs w:val="22"/>
        </w:rPr>
        <w:t xml:space="preserve">talabat's Annual Report 2025 discloses a Group-wide data-protection and cybersecurity framework, not an Egypt-specific one: a specialised information security team overseeing "incident response, application security and compliance with data protection regulations" (TLB-002, page 27); a stated commitment to "international standards for privacy and security in our FinTech initiatives and e-commerce operations" (TLB-002, page 25); and an explicitly named compliance risk — "non-compliance with data protection laws" — citing the </w:t>
      </w:r>
      <w:r>
        <w:rPr>
          <w:rFonts w:ascii="Calibri" w:cs="Calibri" w:eastAsia="Calibri" w:hAnsi="Calibri"/>
          <w:b/>
          <w:bCs/>
          <w:i w:val="false"/>
          <w:iCs w:val="false"/>
          <w:color w:val="1A1A1A"/>
          <w:sz w:val="22"/>
          <w:szCs w:val="22"/>
        </w:rPr>
        <w:t xml:space="preserve">Data Protection Regulation 2021 in the ADGM</w:t>
      </w:r>
      <w:r>
        <w:rPr>
          <w:rFonts w:ascii="Calibri" w:cs="Calibri" w:eastAsia="Calibri" w:hAnsi="Calibri"/>
          <w:b w:val="false"/>
          <w:bCs w:val="false"/>
          <w:i w:val="false"/>
          <w:iCs w:val="false"/>
          <w:color w:val="1A1A1A"/>
          <w:sz w:val="22"/>
          <w:szCs w:val="22"/>
        </w:rPr>
        <w:t xml:space="preserve"> (Abu Dhabi Global Market, where Talabat Holding PLC is incorporated) as the specific named example, alongside a stated practice of maintaining "regional data protection professionals who oversee adherence to jurisdiction-specific legal requirements" (TLB-002, page 29). </w:t>
      </w:r>
      <w:r>
        <w:rPr>
          <w:rFonts w:ascii="Calibri" w:cs="Calibri" w:eastAsia="Calibri" w:hAnsi="Calibri"/>
          <w:b/>
          <w:bCs/>
          <w:i w:val="false"/>
          <w:iCs w:val="false"/>
          <w:color w:val="1A1A1A"/>
          <w:sz w:val="22"/>
          <w:szCs w:val="22"/>
        </w:rPr>
        <w:t xml:space="preserve">No Egypt-specific data protection law (e.g., Egypt's Personal Data Protection Law, Law No. 151 of 2020) is named anywhere in the corpus</w:t>
      </w:r>
      <w:r>
        <w:rPr>
          <w:rFonts w:ascii="Calibri" w:cs="Calibri" w:eastAsia="Calibri" w:hAnsi="Calibri"/>
          <w:b w:val="false"/>
          <w:bCs w:val="false"/>
          <w:i w:val="false"/>
          <w:iCs w:val="false"/>
          <w:color w:val="1A1A1A"/>
          <w:sz w:val="22"/>
          <w:szCs w:val="22"/>
        </w:rPr>
        <w:t xml:space="preserve"> — this section does not assert Egypt-law compliance detail the corpus does not disclose; it states the Group framework exists and that "jurisdiction-specific" professionals are a stated practice, without claiming Egypt-specific evidence of what that practice concretely looks like. Given this plan's AI mechanisms process customer order and personalisation data, this Group framework — and its stated but Egypt-unconfirmed jurisdiction-specific extension — is the compliance baseline any Egypt-specific implementation in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 must build from, not around.</w:t>
      </w:r>
    </w:p>
    <w:p>
      <w:pPr>
        <w:sectPr>
          <w:headerReference w:type="default" r:id="rId25"/>
          <w:footerReference w:type="default" r:id="rId26"/>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9. Financial Plan</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talabat Egypt does not need new capital to fund this plan's recommended AI investment — it needs a small, explicitly-labeled share of capital talabat's Board has already approved. The Group's 2026 investment programme totals USD 175mn (Board-approved), of which ~USD 120mn is earmarked for the "Everyday App" programme this plan's governing hypothesis proposes extending into Egypt (</w:t>
      </w:r>
      <w:r>
        <w:rPr>
          <w:rFonts w:ascii="Calibri" w:cs="Calibri" w:eastAsia="Calibri" w:hAnsi="Calibri"/>
          <w:b w:val="false"/>
          <w:bCs w:val="false"/>
          <w:i w:val="false"/>
          <w:iCs w:val="false"/>
          <w:color w:val="1A1A1A"/>
          <w:sz w:val="22"/>
          <w:szCs w:val="22"/>
        </w:rPr>
        <w:t xml:space="preserve">DEC-004</w:t>
      </w:r>
      <w:r>
        <w:rPr>
          <w:rFonts w:ascii="Calibri" w:cs="Calibri" w:eastAsia="Calibri" w:hAnsi="Calibri"/>
          <w:b w:val="false"/>
          <w:bCs w:val="false"/>
          <w:i w:val="false"/>
          <w:iCs w:val="false"/>
          <w:color w:val="1A1A1A"/>
          <w:sz w:val="22"/>
          <w:szCs w:val="22"/>
        </w:rPr>
        <w:t xml:space="preserve">). Applying Egypt's ~11.0% share of Group revenue to that component yields an </w:t>
      </w:r>
      <w:r>
        <w:rPr>
          <w:rFonts w:ascii="Calibri" w:cs="Calibri" w:eastAsia="Calibri" w:hAnsi="Calibri"/>
          <w:b/>
          <w:bCs/>
          <w:i w:val="false"/>
          <w:iCs w:val="false"/>
          <w:color w:val="1A1A1A"/>
          <w:sz w:val="22"/>
          <w:szCs w:val="22"/>
        </w:rPr>
        <w:t xml:space="preserve">illustrative</w:t>
      </w:r>
      <w:r>
        <w:rPr>
          <w:rFonts w:ascii="Calibri" w:cs="Calibri" w:eastAsia="Calibri" w:hAnsi="Calibri"/>
          <w:b w:val="false"/>
          <w:bCs w:val="false"/>
          <w:i w:val="false"/>
          <w:iCs w:val="false"/>
          <w:color w:val="1A1A1A"/>
          <w:sz w:val="22"/>
          <w:szCs w:val="22"/>
        </w:rPr>
        <w:t xml:space="preserve"> Egypt-attributable investment of </w:t>
      </w:r>
      <w:r>
        <w:rPr>
          <w:rFonts w:ascii="Calibri" w:cs="Calibri" w:eastAsia="Calibri" w:hAnsi="Calibri"/>
          <w:b/>
          <w:bCs/>
          <w:i w:val="false"/>
          <w:iCs w:val="false"/>
          <w:color w:val="1A1A1A"/>
          <w:sz w:val="22"/>
          <w:szCs w:val="22"/>
        </w:rPr>
        <w:t xml:space="preserve">≈USD 13.2m</w:t>
      </w:r>
      <w:r>
        <w:rPr>
          <w:rFonts w:ascii="Calibri" w:cs="Calibri" w:eastAsia="Calibri" w:hAnsi="Calibri"/>
          <w:b w:val="false"/>
          <w:bCs w:val="false"/>
          <w:i w:val="false"/>
          <w:iCs w:val="false"/>
          <w:color w:val="1A1A1A"/>
          <w:sz w:val="22"/>
          <w:szCs w:val="22"/>
        </w:rPr>
        <w:t xml:space="preserve"> — not a disclosed budget line, but a defensible, labeled starting point for sizing the ask. Egypt's FY2025 segment financials (revenue USD 509.9m, gross profit USD 125.0m — a 24.5% gross margin) are the strongest disclosed Egypt-specific financial anchor in the entire corpus, and the base case built on that anchor projects continued growth </w:t>
      </w:r>
      <w:r>
        <w:rPr>
          <w:rFonts w:ascii="Calibri" w:cs="Calibri" w:eastAsia="Calibri" w:hAnsi="Calibri"/>
          <w:b/>
          <w:bCs/>
          <w:i w:val="false"/>
          <w:iCs w:val="false"/>
          <w:color w:val="1A1A1A"/>
          <w:sz w:val="22"/>
          <w:szCs w:val="22"/>
        </w:rPr>
        <w:t xml:space="preserve">before any credit is taken for this plan's own intervention</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DEC-005</w:t>
      </w:r>
      <w:r>
        <w:rPr>
          <w:rFonts w:ascii="Calibri" w:cs="Calibri" w:eastAsia="Calibri" w:hAnsi="Calibri"/>
          <w:b w:val="false"/>
          <w:bCs w:val="false"/>
          <w:i w:val="false"/>
          <w:iCs w:val="false"/>
          <w:color w:val="1A1A1A"/>
          <w:sz w:val="22"/>
          <w:szCs w:val="22"/>
        </w:rPr>
        <w:t xml:space="preserve">). The intervention's projected return sits explicitly on top of that baseline, carried at Low confidence because it extrapolates Group-level evidence to an Egypt-unproven outcome — this plan does not hide that weakness, it states it as the honest ceiling any forecast built on two disclosed data points and an unproven intervention deserves.</w:t>
      </w:r>
    </w:p>
    <w:p>
      <w:pPr>
        <w:pStyle w:val="Heading2"/>
        <w:spacing w:after="120" w:before="280"/>
      </w:pPr>
      <w:r>
        <w:t xml:space="preserve">9.1 Value Driver Tree — linking the AI solution to financial outcomes</w:t>
      </w:r>
    </w:p>
    <w:p>
      <w:pPr>
        <w:spacing w:after="160" w:before="120" w:line="276"/>
      </w:pPr>
      <w:r>
        <w:rPr>
          <w:rFonts w:ascii="Calibri" w:cs="Calibri" w:eastAsia="Calibri" w:hAnsi="Calibri"/>
          <w:b w:val="false"/>
          <w:bCs w:val="false"/>
          <w:i w:val="false"/>
          <w:iCs w:val="false"/>
          <w:color w:val="1A1A1A"/>
          <w:sz w:val="22"/>
          <w:szCs w:val="22"/>
        </w:rPr>
        <w:t xml:space="preserve">Built for the first time this pilot by </w:t>
      </w:r>
      <w:r>
        <w:rPr>
          <w:rFonts w:ascii="Consolas" w:cs="Consolas" w:eastAsia="Consolas" w:hAnsi="Consolas"/>
          <w:b w:val="false"/>
          <w:bCs w:val="false"/>
          <w:i w:val="false"/>
          <w:iCs w:val="false"/>
          <w:color w:val="1A1A1A"/>
          <w:sz w:val="22"/>
          <w:szCs w:val="22"/>
        </w:rPr>
        <w:t xml:space="preserve">forecasting-agent</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Value Driver Tree</w:t>
      </w:r>
      <w:r>
        <w:rPr>
          <w:rFonts w:ascii="Calibri" w:cs="Calibri" w:eastAsia="Calibri" w:hAnsi="Calibri"/>
          <w:b w:val="false"/>
          <w:bCs w:val="false"/>
          <w:i w:val="false"/>
          <w:iCs w:val="false"/>
          <w:color w:val="1A1A1A"/>
          <w:sz w:val="22"/>
          <w:szCs w:val="22"/>
        </w:rPr>
        <w:t xml:space="preserve">), anchored on Egypt's FY2025 audited segment revenue (</w:t>
      </w:r>
      <w:r>
        <w:rPr>
          <w:rFonts w:ascii="Calibri" w:cs="Calibri" w:eastAsia="Calibri" w:hAnsi="Calibri"/>
          <w:b/>
          <w:bCs/>
          <w:i w:val="false"/>
          <w:iCs w:val="false"/>
          <w:color w:val="1A1A1A"/>
          <w:sz w:val="22"/>
          <w:szCs w:val="22"/>
        </w:rPr>
        <w:t xml:space="preserve">USD 509.9m</w:t>
      </w:r>
      <w:r>
        <w:rPr>
          <w:rFonts w:ascii="Calibri" w:cs="Calibri" w:eastAsia="Calibri" w:hAnsi="Calibri"/>
          <w:b w:val="false"/>
          <w:bCs w:val="false"/>
          <w:i w:val="false"/>
          <w:iCs w:val="false"/>
          <w:color w:val="1A1A1A"/>
          <w:sz w:val="22"/>
          <w:szCs w:val="22"/>
        </w:rPr>
        <w:t xml:space="preserve">, the strongest Egypt-specific Fact anchor in the corpus) with four Fact-tier companion figures (gross profit USD 125.0m, net profit USD 44.4m, profit before tax USD 39.7m, delivery cost USD 113.13m ≈22% of revenue). Below the root, six Assumption nodes decompose the </w:t>
      </w:r>
      <w:r>
        <w:rPr>
          <w:rFonts w:ascii="Calibri" w:cs="Calibri" w:eastAsia="Calibri" w:hAnsi="Calibri"/>
          <w:b w:val="false"/>
          <w:bCs w:val="false"/>
          <w:i/>
          <w:iCs/>
          <w:color w:val="1A1A1A"/>
          <w:sz w:val="22"/>
          <w:szCs w:val="22"/>
        </w:rPr>
        <w:t xml:space="preserve">growth rate</w:t>
      </w:r>
      <w:r>
        <w:rPr>
          <w:rFonts w:ascii="Calibri" w:cs="Calibri" w:eastAsia="Calibri" w:hAnsi="Calibri"/>
          <w:b w:val="false"/>
          <w:bCs w:val="false"/>
          <w:i w:val="false"/>
          <w:iCs w:val="false"/>
          <w:color w:val="1A1A1A"/>
          <w:sz w:val="22"/>
          <w:szCs w:val="22"/>
        </w:rPr>
        <w:t xml:space="preserve"> of that revenue (not units — no Egypt Orders, Active Customer, or GMV figure is disclosed anywhere in the corpus, so this tree does not invent one):</w:t>
      </w:r>
    </w:p>
    <w:p>
      <w:pPr>
        <w:spacing w:after="40" w:before="60"/>
      </w:pPr>
      <w:r>
        <w:rPr>
          <w:rFonts w:ascii="Calibri" w:cs="Calibri" w:eastAsia="Calibri" w:hAnsi="Calibri"/>
          <w:b/>
          <w:bCs/>
          <w:i/>
          <w:iCs/>
          <w:color w:val="595959"/>
          <w:sz w:val="18"/>
          <w:szCs w:val="18"/>
        </w:rPr>
        <w:t xml:space="preserve">Table 8.</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40"/>
        <w:gridCol w:w="2340"/>
        <w:gridCol w:w="2340"/>
        <w:gridCol w:w="2340"/>
      </w:tblGrid>
      <w:tr>
        <w:trPr>
          <w:tblHeader/>
        </w:trPr>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Node</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Mechanism</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Tier</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Confidence</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Active customer growth (Egypt)</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Data gap — no Egypt customer count exists at any date; carried qualitatively only</w:t>
            </w:r>
          </w:p>
        </w:tc>
        <w:tc>
          <w:tcPr>
            <w:tcW w:type="dxa" w:w="2340"/>
            <w:shd w:fill="FFFFF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ASM-007</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r>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Order frequency uplift (Egypt)</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The DEC-003 intervention channel</w:t>
            </w:r>
            <w:r>
              <w:rPr>
                <w:rFonts w:ascii="Calibri" w:cs="Calibri" w:eastAsia="Calibri" w:hAnsi="Calibri"/>
                <w:b w:val="false"/>
                <w:bCs w:val="false"/>
                <w:i w:val="false"/>
                <w:iCs w:val="false"/>
                <w:color w:val="1A1A1A"/>
                <w:sz w:val="18"/>
                <w:szCs w:val="18"/>
              </w:rPr>
              <w:t xml:space="preserve"> — extending recommendation/cross-sell/adtech capability into Egypt</w:t>
            </w:r>
          </w:p>
        </w:tc>
        <w:tc>
          <w:tcPr>
            <w:tcW w:type="dxa" w:w="2340"/>
            <w:shd w:fill="F7F3E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ASM-008</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AOV / pricing (Egypt)</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EGP inflation drift, partially offset by USD-reporting FX depreciation</w:t>
            </w:r>
          </w:p>
        </w:tc>
        <w:tc>
          <w:tcPr>
            <w:tcW w:type="dxa" w:w="2340"/>
            <w:shd w:fill="FFFFF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ASM-009</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r>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Take rate / implied-GMV proxy (Egypt)</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Group 41%-of-GMV ratio applied to Egypt revenue, illustrative only</w:t>
            </w:r>
          </w:p>
        </w:tc>
        <w:tc>
          <w:tcPr>
            <w:tcW w:type="dxa" w:w="2340"/>
            <w:shd w:fill="F7F3E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ASM-010</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Advertising penetration (Egypt)</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The DEC-003 adtech channel</w:t>
            </w:r>
            <w:r>
              <w:rPr>
                <w:rFonts w:ascii="Calibri" w:cs="Calibri" w:eastAsia="Calibri" w:hAnsi="Calibri"/>
                <w:b w:val="false"/>
                <w:bCs w:val="false"/>
                <w:i w:val="false"/>
                <w:iCs w:val="false"/>
                <w:color w:val="1A1A1A"/>
                <w:sz w:val="18"/>
                <w:szCs w:val="18"/>
              </w:rPr>
              <w:t xml:space="preserve"> — directional only, no numeric target</w:t>
            </w:r>
          </w:p>
        </w:tc>
        <w:tc>
          <w:tcPr>
            <w:tcW w:type="dxa" w:w="2340"/>
            <w:shd w:fill="FFFFF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ASM-011</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r>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bottom-up investment estimate</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≈11.0% Group revenue-share proxy applied to the ~USD120m Everyday App component</w:t>
            </w:r>
          </w:p>
        </w:tc>
        <w:tc>
          <w:tcPr>
            <w:tcW w:type="dxa" w:w="2340"/>
            <w:shd w:fill="F7F3E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ASM-012</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bl>
    <w:p>
      <w:pPr>
        <w:spacing w:after="160" w:before="120" w:line="276"/>
      </w:pPr>
      <w:r>
        <w:rPr>
          <w:rFonts w:ascii="Calibri" w:cs="Calibri" w:eastAsia="Calibri" w:hAnsi="Calibri"/>
          <w:b w:val="false"/>
          <w:bCs w:val="false"/>
          <w:i w:val="false"/>
          <w:iCs w:val="false"/>
          <w:color w:val="1A1A1A"/>
          <w:sz w:val="22"/>
          <w:szCs w:val="22"/>
        </w:rPr>
        <w:t xml:space="preserve">Every intervention-driven node (order frequency, advertising penetration) traces strictly to </w:t>
      </w:r>
      <w:r>
        <w:rPr>
          <w:rFonts w:ascii="Calibri" w:cs="Calibri" w:eastAsia="Calibri" w:hAnsi="Calibri"/>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confirmed mechanism — extending talabat's already-announced Group AI roadmap into Egypt — not to a churn-prediction build or a subscription-uplift-only framing (DEC-003's rejected Options 1 and 3). This is a deliberate consistency check carried over from Pilot 2, which found and fixed exactly this kind of drift in a different section.</w:t>
      </w:r>
    </w:p>
    <w:p>
      <w:pPr>
        <w:spacing w:after="160" w:before="120" w:line="276"/>
      </w:pPr>
      <w:r>
        <w:rPr>
          <w:rFonts w:ascii="Calibri" w:cs="Calibri" w:eastAsia="Calibri" w:hAnsi="Calibri"/>
          <w:b w:val="false"/>
          <w:bCs w:val="false"/>
          <w:i w:val="false"/>
          <w:iCs w:val="false"/>
          <w:color w:val="1A1A1A"/>
          <w:sz w:val="22"/>
          <w:szCs w:val="22"/>
        </w:rPr>
        <w:t xml:space="preserve">No node in the tree exceeds Medium confidence anywhere, and that ceiling belongs to the root node's own trend-continuation reading (two disclosed Egypt data points — FY2025 annual, Q1 2026 quarterly — capped at Medium per the forecast-builder skill's own calibration rule), not to any of the six Assumption nodes, all of which sit at Low. This is the correct, honest shape for a tree built on this corpus's actual Egypt-specific disclosure — not a flaw in the modeling.</w:t>
      </w:r>
    </w:p>
    <w:p>
      <w:pPr>
        <w:pStyle w:val="Heading2"/>
        <w:spacing w:after="120" w:before="280"/>
      </w:pPr>
      <w:r>
        <w:t xml:space="preserve">9.2 Initial Investment and Operational Costs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Total Group 2026 investment programme: USD 175mn</w:t>
      </w:r>
      <w:r>
        <w:rPr>
          <w:rFonts w:ascii="Calibri" w:cs="Calibri" w:eastAsia="Calibri" w:hAnsi="Calibri"/>
          <w:b w:val="false"/>
          <w:bCs w:val="false"/>
          <w:i w:val="false"/>
          <w:iCs w:val="false"/>
          <w:color w:val="1A1A1A"/>
          <w:sz w:val="22"/>
          <w:szCs w:val="22"/>
        </w:rPr>
        <w:t xml:space="preserve"> (Board-approved), decomposed by the source itself into </w:t>
      </w:r>
      <w:r>
        <w:rPr>
          <w:rFonts w:ascii="Calibri" w:cs="Calibri" w:eastAsia="Calibri" w:hAnsi="Calibri"/>
          <w:b/>
          <w:bCs/>
          <w:i w:val="false"/>
          <w:iCs w:val="false"/>
          <w:color w:val="1A1A1A"/>
          <w:sz w:val="22"/>
          <w:szCs w:val="22"/>
        </w:rPr>
        <w:t xml:space="preserve">~USD 120mn Everyday App</w:t>
      </w:r>
      <w:r>
        <w:rPr>
          <w:rFonts w:ascii="Calibri" w:cs="Calibri" w:eastAsia="Calibri" w:hAnsi="Calibri"/>
          <w:b w:val="false"/>
          <w:bCs w:val="false"/>
          <w:i w:val="false"/>
          <w:iCs w:val="false"/>
          <w:color w:val="1A1A1A"/>
          <w:sz w:val="22"/>
          <w:szCs w:val="22"/>
        </w:rPr>
        <w:t xml:space="preserve"> (~USD 75mn opex + ~USD 45mn capex; funds talabat mart, talabat pro, new verticals) </w:t>
      </w:r>
      <w:r>
        <w:rPr>
          <w:rFonts w:ascii="Calibri" w:cs="Calibri" w:eastAsia="Calibri" w:hAnsi="Calibri"/>
          <w:b/>
          <w:bCs/>
          <w:i w:val="false"/>
          <w:iCs w:val="false"/>
          <w:color w:val="1A1A1A"/>
          <w:sz w:val="22"/>
          <w:szCs w:val="22"/>
        </w:rPr>
        <w:t xml:space="preserve">+ ~USD 55mn Food-leadership</w:t>
      </w:r>
      <w:r>
        <w:rPr>
          <w:rFonts w:ascii="Calibri" w:cs="Calibri" w:eastAsia="Calibri" w:hAnsi="Calibri"/>
          <w:b w:val="false"/>
          <w:bCs w:val="false"/>
          <w:i w:val="false"/>
          <w:iCs w:val="false"/>
          <w:color w:val="1A1A1A"/>
          <w:sz w:val="22"/>
          <w:szCs w:val="22"/>
        </w:rPr>
        <w:t xml:space="preserve"> (competitive defense, not part of this plan's recommendation) — </w:t>
      </w:r>
      <w:r>
        <w:rPr>
          <w:rFonts w:ascii="Calibri" w:cs="Calibri" w:eastAsia="Calibri" w:hAnsi="Calibri"/>
          <w:b w:val="false"/>
          <w:bCs w:val="false"/>
          <w:i w:val="false"/>
          <w:iCs w:val="false"/>
          <w:color w:val="1A1A1A"/>
          <w:sz w:val="22"/>
          <w:szCs w:val="22"/>
        </w:rPr>
        <w:t xml:space="preserve">DEC-004</w:t>
      </w:r>
      <w:r>
        <w:rPr>
          <w:rFonts w:ascii="Calibri" w:cs="Calibri" w:eastAsia="Calibri" w:hAnsi="Calibri"/>
          <w:b w:val="false"/>
          <w:bCs w:val="false"/>
          <w:i w:val="false"/>
          <w:iCs w:val="false"/>
          <w:color w:val="1A1A1A"/>
          <w:sz w:val="22"/>
          <w:szCs w:val="22"/>
        </w:rPr>
        <w:t xml:space="preserve">. No Egypt-specific dollar allocation is disclosed within either component.</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Illustrative Egypt-attributable investment: ≈USD 13.2m</w:t>
      </w:r>
      <w:r>
        <w:rPr>
          <w:rFonts w:ascii="Calibri" w:cs="Calibri" w:eastAsia="Calibri" w:hAnsi="Calibri"/>
          <w:b w:val="false"/>
          <w:bCs w:val="false"/>
          <w:i w:val="false"/>
          <w:iCs w:val="false"/>
          <w:color w:val="1A1A1A"/>
          <w:sz w:val="22"/>
          <w:szCs w:val="22"/>
        </w:rPr>
        <w:t xml:space="preserve">, derived as Egypt's ~11.0% share of FY2025 total disclosed Group revenue applied to the ~USD 120mn Everyday App component only (</w:t>
      </w:r>
      <w:r>
        <w:rPr>
          <w:rFonts w:ascii="Consolas" w:cs="Consolas" w:eastAsia="Consolas" w:hAnsi="Consolas"/>
          <w:b w:val="false"/>
          <w:bCs w:val="false"/>
          <w:i w:val="false"/>
          <w:iCs w:val="false"/>
          <w:color w:val="1A1A1A"/>
          <w:sz w:val="22"/>
          <w:szCs w:val="22"/>
        </w:rPr>
        <w:t xml:space="preserve">ASM-012</w:t>
      </w:r>
      <w:r>
        <w:rPr>
          <w:rFonts w:ascii="Calibri" w:cs="Calibri" w:eastAsia="Calibri" w:hAnsi="Calibri"/>
          <w:b w:val="false"/>
          <w:bCs w:val="false"/>
          <w:i w:val="false"/>
          <w:iCs w:val="false"/>
          <w:color w:val="1A1A1A"/>
          <w:sz w:val="22"/>
          <w:szCs w:val="22"/>
        </w:rPr>
        <w:t xml:space="preserve">). This is explicitly a pro-rata construction, not an approved budget line — talabat discloses no country-level allocation methodology anywhere in the corpus. It is presented here as a defensible sizing anchor for discussion, not a funding request with committed backing.</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Operational cost context:</w:t>
      </w:r>
      <w:r>
        <w:rPr>
          <w:rFonts w:ascii="Calibri" w:cs="Calibri" w:eastAsia="Calibri" w:hAnsi="Calibri"/>
          <w:b w:val="false"/>
          <w:bCs w:val="false"/>
          <w:i w:val="false"/>
          <w:iCs w:val="false"/>
          <w:color w:val="1A1A1A"/>
          <w:sz w:val="22"/>
          <w:szCs w:val="22"/>
        </w:rPr>
        <w:t xml:space="preserve"> Egypt's disclosed FY2025 delivery cost (USD 113.13mn, ~22% of segment revenue) is the only granular Egypt cost-line figure in the corpus (</w:t>
      </w:r>
      <w:r>
        <w:rPr>
          <w:rFonts w:ascii="Consolas" w:cs="Consolas" w:eastAsia="Consolas" w:hAnsi="Consolas"/>
          <w:b w:val="false"/>
          <w:bCs w:val="false"/>
          <w:i w:val="false"/>
          <w:iCs w:val="false"/>
          <w:color w:val="1A1A1A"/>
          <w:sz w:val="22"/>
          <w:szCs w:val="22"/>
        </w:rPr>
        <w:t xml:space="preserve">Strategic/Cost Structure.md</w:t>
      </w:r>
      <w:r>
        <w:rPr>
          <w:rFonts w:ascii="Calibri" w:cs="Calibri" w:eastAsia="Calibri" w:hAnsi="Calibri"/>
          <w:b w:val="false"/>
          <w:bCs w:val="false"/>
          <w:i w:val="false"/>
          <w:iCs w:val="false"/>
          <w:color w:val="1A1A1A"/>
          <w:sz w:val="22"/>
          <w:szCs w:val="22"/>
        </w:rPr>
        <w:t xml:space="preserve">) — no Egypt-specific CARC, order-processing, or "other direct costs" line exists. Group-wide, CARC (the retention-relevant cost line) rose from 1.5% of GMV (2023) to 1.6% (2025) — modestly, but its composition shifted toward vouchering. This plan's recommendation should be read as an argument for </w:t>
      </w:r>
      <w:r>
        <w:rPr>
          <w:rFonts w:ascii="Calibri" w:cs="Calibri" w:eastAsia="Calibri" w:hAnsi="Calibri"/>
          <w:b/>
          <w:bCs/>
          <w:i w:val="false"/>
          <w:iCs w:val="false"/>
          <w:color w:val="1A1A1A"/>
          <w:sz w:val="22"/>
          <w:szCs w:val="22"/>
        </w:rPr>
        <w:t xml:space="preserve">efficiency within CARC</w:t>
      </w:r>
      <w:r>
        <w:rPr>
          <w:rFonts w:ascii="Calibri" w:cs="Calibri" w:eastAsia="Calibri" w:hAnsi="Calibri"/>
          <w:b w:val="false"/>
          <w:bCs w:val="false"/>
          <w:i w:val="false"/>
          <w:iCs w:val="false"/>
          <w:color w:val="1A1A1A"/>
          <w:sz w:val="22"/>
          <w:szCs w:val="22"/>
        </w:rPr>
        <w:t xml:space="preserve"> (AI-targeted, personalized incentives replacing blanket vouchering) rather than as incremental spend layered onto a flat cost base — Egypt-specific CARC data does not exist to confirm this directly, so this is carried as directional logic, not a modeled Egypt CARC reduction.</w:t>
      </w:r>
    </w:p>
    <w:p>
      <w:pPr>
        <w:pStyle w:val="Heading2"/>
        <w:spacing w:after="120" w:before="280"/>
      </w:pPr>
      <w:r>
        <w:t xml:space="preserve">9.3 Revenue Forecasts — Base, Upside, Downside (FY2026)</w:t>
      </w:r>
    </w:p>
    <w:p>
      <w:pPr>
        <w:spacing w:after="160" w:before="120" w:line="276"/>
      </w:pPr>
      <w:r>
        <w:rPr>
          <w:rFonts w:ascii="Calibri" w:cs="Calibri" w:eastAsia="Calibri" w:hAnsi="Calibri"/>
          <w:b w:val="false"/>
          <w:bCs w:val="false"/>
          <w:i w:val="false"/>
          <w:iCs w:val="false"/>
          <w:color w:val="1A1A1A"/>
          <w:sz w:val="22"/>
          <w:szCs w:val="22"/>
        </w:rPr>
        <w:t xml:space="preserve">Per </w:t>
      </w:r>
      <w:r>
        <w:rPr>
          <w:rFonts w:ascii="Calibri" w:cs="Calibri" w:eastAsia="Calibri" w:hAnsi="Calibri"/>
          <w:b w:val="false"/>
          <w:bCs w:val="false"/>
          <w:i w:val="false"/>
          <w:iCs w:val="false"/>
          <w:color w:val="1A1A1A"/>
          <w:sz w:val="22"/>
          <w:szCs w:val="22"/>
        </w:rPr>
        <w:t xml:space="preserve">DEC-005</w:t>
      </w:r>
      <w:r>
        <w:rPr>
          <w:rFonts w:ascii="Calibri" w:cs="Calibri" w:eastAsia="Calibri" w:hAnsi="Calibri"/>
          <w:b w:val="false"/>
          <w:bCs w:val="false"/>
          <w:i w:val="false"/>
          <w:iCs w:val="false"/>
          <w:color w:val="1A1A1A"/>
          <w:sz w:val="22"/>
          <w:szCs w:val="22"/>
        </w:rPr>
        <w:t xml:space="preserve">, the three scenarios in </w:t>
      </w:r>
      <w:r>
        <w:rPr>
          <w:rFonts w:ascii="Calibri" w:cs="Calibri" w:eastAsia="Calibri" w:hAnsi="Calibri"/>
          <w:b w:val="false"/>
          <w:bCs w:val="false"/>
          <w:i w:val="false"/>
          <w:iCs w:val="false"/>
          <w:color w:val="1A1A1A"/>
          <w:sz w:val="22"/>
          <w:szCs w:val="22"/>
        </w:rPr>
        <w:t xml:space="preserve">Scenarios</w:t>
      </w:r>
      <w:r>
        <w:rPr>
          <w:rFonts w:ascii="Calibri" w:cs="Calibri" w:eastAsia="Calibri" w:hAnsi="Calibri"/>
          <w:b w:val="false"/>
          <w:bCs w:val="false"/>
          <w:i w:val="false"/>
          <w:iCs w:val="false"/>
          <w:color w:val="1A1A1A"/>
          <w:sz w:val="22"/>
          <w:szCs w:val="22"/>
        </w:rPr>
        <w:t xml:space="preserve"> are not presented as three co-equal numbers — each plays a distinct, explicitly labeled role in this narrative:</w:t>
      </w:r>
    </w:p>
    <w:p>
      <w:pPr>
        <w:spacing w:after="40" w:before="60"/>
      </w:pPr>
      <w:r>
        <w:rPr>
          <w:rFonts w:ascii="Calibri" w:cs="Calibri" w:eastAsia="Calibri" w:hAnsi="Calibri"/>
          <w:b/>
          <w:bCs/>
          <w:i/>
          <w:iCs/>
          <w:color w:val="595959"/>
          <w:sz w:val="18"/>
          <w:szCs w:val="18"/>
        </w:rPr>
        <w:t xml:space="preserve">Table 9.</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40"/>
        <w:gridCol w:w="2340"/>
        <w:gridCol w:w="2340"/>
        <w:gridCol w:w="2340"/>
      </w:tblGrid>
      <w:tr>
        <w:trPr>
          <w:tblHeader/>
        </w:trPr>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Scenario</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Role (per DEC-005)</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Growth logic</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Confidence</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Base</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Headline financial baseline</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Egypt's disclosed FY2025→Q1 2026 trend (+81% YoY) moderates toward the Group's FY2026 guided revenue growth (14–17% cFX) as base effects wash out. </w:t>
            </w:r>
            <w:r>
              <w:rPr>
                <w:rFonts w:ascii="Calibri" w:cs="Calibri" w:eastAsia="Calibri" w:hAnsi="Calibri"/>
                <w:b/>
                <w:bCs/>
                <w:i w:val="false"/>
                <w:iCs w:val="false"/>
                <w:color w:val="1A1A1A"/>
                <w:sz w:val="18"/>
                <w:szCs w:val="18"/>
              </w:rPr>
              <w:t xml:space="preserve">No credit taken for this plan's own intervention.</w:t>
            </w:r>
            <w:r>
              <w:rPr>
                <w:rFonts w:ascii="Calibri" w:cs="Calibri" w:eastAsia="Calibri" w:hAnsi="Calibri"/>
                <w:b w:val="false"/>
                <w:bCs w:val="false"/>
                <w:i w:val="false"/>
                <w:iCs w:val="false"/>
                <w:color w:val="1A1A1A"/>
                <w:sz w:val="18"/>
                <w:szCs w:val="18"/>
              </w:rPr>
              <w:t xml:space="preserve"> </w:t>
            </w:r>
            <w:r>
              <w:rPr>
                <w:rFonts w:ascii="Calibri" w:cs="Calibri" w:eastAsia="Calibri" w:hAnsi="Calibri"/>
                <w:b/>
                <w:bCs/>
                <w:i w:val="false"/>
                <w:iCs w:val="false"/>
                <w:color w:val="1A1A1A"/>
                <w:sz w:val="18"/>
                <w:szCs w:val="18"/>
              </w:rPr>
              <w:t xml:space="preserve">Illustrative FY2026 revenue: ≈USD 581–597m</w:t>
            </w:r>
            <w:r>
              <w:rPr>
                <w:rFonts w:ascii="Calibri" w:cs="Calibri" w:eastAsia="Calibri" w:hAnsi="Calibri"/>
                <w:b w:val="false"/>
                <w:bCs w:val="false"/>
                <w:i w:val="false"/>
                <w:iCs w:val="false"/>
                <w:color w:val="1A1A1A"/>
                <w:sz w:val="18"/>
                <w:szCs w:val="18"/>
              </w:rPr>
              <w:t xml:space="preserve"> (509.9m × 1.14–1.17; see below).</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 (2-point extrapolation ceiling — the corpus's honest limit)</w:t>
            </w:r>
          </w:p>
        </w:tc>
      </w:tr>
      <w:tr>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Upside</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The intervention's projected return, not a competing central estimate</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DEC-003's AI-roadmap-extension mechanism succeeds in Egypt as it has at Group level (talabat pro's 20-28% frequency uplift / 26-32% retention uplift; AI/personalisation EBITDA contribution rising USD14mn+→USD30mn+ FY2024→FY2025) — on top of, not instead of, the base case.</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 always — an unproven intervention, and every quantified input is Group/GCC evidence that explicitly excludes Egypt at time of measurement</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Downside</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A named risk case, not equally likely to the base case</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The already-observed Group margin compression (Q1 2026 Adj. EBITDA margin 4.8% vs. 6.3%) and the one named Egypt FX-depreciation risk (TLB-020, page 14) deepen beyond what FY2026 guidance already prices in.</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 (extrapolates an already-observed, partly Egypt-named risk; direction evidenced, magnitude is not)</w:t>
            </w:r>
          </w:p>
        </w:tc>
      </w:tr>
    </w:tbl>
    <w:p>
      <w:pPr>
        <w:spacing w:after="160" w:before="120" w:line="276"/>
      </w:pPr>
      <w:r>
        <w:rPr>
          <w:rFonts w:ascii="Calibri" w:cs="Calibri" w:eastAsia="Calibri" w:hAnsi="Calibri"/>
          <w:b/>
          <w:bCs/>
          <w:i w:val="false"/>
          <w:iCs w:val="false"/>
          <w:color w:val="1A1A1A"/>
          <w:sz w:val="22"/>
          <w:szCs w:val="22"/>
        </w:rPr>
        <w:t xml:space="preserve">A tension this plan does not smooth over:</w:t>
      </w:r>
      <w:r>
        <w:rPr>
          <w:rFonts w:ascii="Calibri" w:cs="Calibri" w:eastAsia="Calibri" w:hAnsi="Calibri"/>
          <w:b w:val="false"/>
          <w:bCs w:val="false"/>
          <w:i w:val="false"/>
          <w:iCs w:val="false"/>
          <w:color w:val="1A1A1A"/>
          <w:sz w:val="22"/>
          <w:szCs w:val="22"/>
        </w:rPr>
        <w:t xml:space="preserve"> Egypt's own recent trajectory (profit before tax swinging from USD 0.5m to USD 9.4m, Q1 2025→Q1 2026) runs in the </w:t>
      </w:r>
      <w:r>
        <w:rPr>
          <w:rFonts w:ascii="Calibri" w:cs="Calibri" w:eastAsia="Calibri" w:hAnsi="Calibri"/>
          <w:b w:val="false"/>
          <w:bCs w:val="false"/>
          <w:i/>
          <w:iCs/>
          <w:color w:val="1A1A1A"/>
          <w:sz w:val="22"/>
          <w:szCs w:val="22"/>
        </w:rPr>
        <w:t xml:space="preserve">opposite</w:t>
      </w:r>
      <w:r>
        <w:rPr>
          <w:rFonts w:ascii="Calibri" w:cs="Calibri" w:eastAsia="Calibri" w:hAnsi="Calibri"/>
          <w:b w:val="false"/>
          <w:bCs w:val="false"/>
          <w:i w:val="false"/>
          <w:iCs w:val="false"/>
          <w:color w:val="1A1A1A"/>
          <w:sz w:val="22"/>
          <w:szCs w:val="22"/>
        </w:rPr>
        <w:t xml:space="preserve"> direction from the Group-wide margin compression the downside case extrapolates. Egypt may be a market whose improving unit economics are helping fund the Group's broader investment step-down, not one being squeezed by it. The downside case is a genuine, named risk to plan against — not the single most likely reading of Egypt's own trend.</w:t>
      </w:r>
    </w:p>
    <w:p>
      <w:pPr>
        <w:spacing w:after="160" w:before="120" w:line="276"/>
      </w:pPr>
      <w:r>
        <w:rPr>
          <w:rFonts w:ascii="Calibri" w:cs="Calibri" w:eastAsia="Calibri" w:hAnsi="Calibri"/>
          <w:b/>
          <w:bCs/>
          <w:i w:val="false"/>
          <w:iCs w:val="false"/>
          <w:color w:val="1A1A1A"/>
          <w:sz w:val="22"/>
          <w:szCs w:val="22"/>
        </w:rPr>
        <w:t xml:space="preserve">Illustrative FY2026 base-case revenue figure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iCs/>
          <w:color w:val="1A1A1A"/>
          <w:sz w:val="22"/>
          <w:szCs w:val="22"/>
        </w:rPr>
        <w:t xml:space="preserve">(labeled synthetic — the same "estimated number with visible logic beats a precise number with none" treatment already applied to the investment estimate in §9.2 and the break-even sensitivity in §9.4, applied here for consistency; not a disclosed Egypt-specific forecast)</w:t>
      </w:r>
      <w:r>
        <w:rPr>
          <w:rFonts w:ascii="Calibri" w:cs="Calibri" w:eastAsia="Calibri" w:hAnsi="Calibri"/>
          <w:b w:val="false"/>
          <w:bCs w:val="false"/>
          <w:i w:val="false"/>
          <w:iCs w:val="false"/>
          <w:color w:val="1A1A1A"/>
          <w:sz w:val="22"/>
          <w:szCs w:val="22"/>
        </w:rPr>
        <w:t xml:space="preserve">: scaling Egypt's disclosed FY2025 revenue (USD 509.9m, Fact) by the Group's own disclosed FY2026 guided growth range (14–17% cFX, TLB-019 p.18/TLB-020 p.14, Fact) yields </w:t>
      </w:r>
      <w:r>
        <w:rPr>
          <w:rFonts w:ascii="Calibri" w:cs="Calibri" w:eastAsia="Calibri" w:hAnsi="Calibri"/>
          <w:b/>
          <w:bCs/>
          <w:i w:val="false"/>
          <w:iCs w:val="false"/>
          <w:color w:val="1A1A1A"/>
          <w:sz w:val="22"/>
          <w:szCs w:val="22"/>
        </w:rPr>
        <w:t xml:space="preserve">≈USD 581–597m</w:t>
      </w:r>
      <w:r>
        <w:rPr>
          <w:rFonts w:ascii="Calibri" w:cs="Calibri" w:eastAsia="Calibri" w:hAnsi="Calibri"/>
          <w:b w:val="false"/>
          <w:bCs w:val="false"/>
          <w:i w:val="false"/>
          <w:iCs w:val="false"/>
          <w:color w:val="1A1A1A"/>
          <w:sz w:val="22"/>
          <w:szCs w:val="22"/>
        </w:rPr>
        <w:t xml:space="preserve">, carrying the base case's own stated Medium confidence ceiling (a 2-point trend-extrapolation cap, not elevated by this arithmetic). This figure applies a </w:t>
      </w:r>
      <w:r>
        <w:rPr>
          <w:rFonts w:ascii="Calibri" w:cs="Calibri" w:eastAsia="Calibri" w:hAnsi="Calibri"/>
          <w:b w:val="false"/>
          <w:bCs w:val="false"/>
          <w:i/>
          <w:iCs/>
          <w:color w:val="1A1A1A"/>
          <w:sz w:val="22"/>
          <w:szCs w:val="22"/>
        </w:rPr>
        <w:t xml:space="preserve">Group</w:t>
      </w:r>
      <w:r>
        <w:rPr>
          <w:rFonts w:ascii="Calibri" w:cs="Calibri" w:eastAsia="Calibri" w:hAnsi="Calibri"/>
          <w:b w:val="false"/>
          <w:bCs w:val="false"/>
          <w:i w:val="false"/>
          <w:iCs w:val="false"/>
          <w:color w:val="1A1A1A"/>
          <w:sz w:val="22"/>
          <w:szCs w:val="22"/>
        </w:rPr>
        <w:t xml:space="preserve"> guidance range to an </w:t>
      </w:r>
      <w:r>
        <w:rPr>
          <w:rFonts w:ascii="Calibri" w:cs="Calibri" w:eastAsia="Calibri" w:hAnsi="Calibri"/>
          <w:b w:val="false"/>
          <w:bCs w:val="false"/>
          <w:i/>
          <w:iCs/>
          <w:color w:val="1A1A1A"/>
          <w:sz w:val="22"/>
          <w:szCs w:val="22"/>
        </w:rPr>
        <w:t xml:space="preserve">Egypt</w:t>
      </w:r>
      <w:r>
        <w:rPr>
          <w:rFonts w:ascii="Calibri" w:cs="Calibri" w:eastAsia="Calibri" w:hAnsi="Calibri"/>
          <w:b w:val="false"/>
          <w:bCs w:val="false"/>
          <w:i w:val="false"/>
          <w:iCs w:val="false"/>
          <w:color w:val="1A1A1A"/>
          <w:sz w:val="22"/>
          <w:szCs w:val="22"/>
        </w:rPr>
        <w:t xml:space="preserve"> revenue base — Egypt's own disclosed growth has run well above the Group range (+81% YoY at Q1 2026) — so this range is best read as a conservative floor consistent with the base case's own "no intervention credit" framing, not a ceiling on what Egypt could plausibly do.</w:t>
      </w:r>
    </w:p>
    <w:p>
      <w:pPr>
        <w:spacing w:after="160" w:before="120" w:line="276"/>
      </w:pPr>
      <w:r>
        <w:rPr>
          <w:rFonts w:ascii="Calibri" w:cs="Calibri" w:eastAsia="Calibri" w:hAnsi="Calibri"/>
          <w:b w:val="false"/>
          <w:bCs w:val="false"/>
          <w:i w:val="false"/>
          <w:iCs w:val="false"/>
          <w:color w:val="1A1A1A"/>
          <w:sz w:val="22"/>
          <w:szCs w:val="22"/>
        </w:rPr>
        <w:t xml:space="preserve">This plan does not state a numeric upside-case revenue figure. </w:t>
      </w:r>
      <w:r>
        <w:rPr>
          <w:rFonts w:ascii="Consolas" w:cs="Consolas" w:eastAsia="Consolas" w:hAnsi="Consolas"/>
          <w:b w:val="false"/>
          <w:bCs w:val="false"/>
          <w:i w:val="false"/>
          <w:iCs w:val="false"/>
          <w:color w:val="1A1A1A"/>
          <w:sz w:val="22"/>
          <w:szCs w:val="22"/>
        </w:rPr>
        <w:t xml:space="preserve">Value_Driver_Tree.md</w:t>
      </w:r>
      <w:r>
        <w:rPr>
          <w:rFonts w:ascii="Calibri" w:cs="Calibri" w:eastAsia="Calibri" w:hAnsi="Calibri"/>
          <w:b w:val="false"/>
          <w:bCs w:val="false"/>
          <w:i w:val="false"/>
          <w:iCs w:val="false"/>
          <w:color w:val="1A1A1A"/>
          <w:sz w:val="22"/>
          <w:szCs w:val="22"/>
        </w:rPr>
        <w:t xml:space="preserve">'s intervention nodes (order frequency, advertising penetration) are built as </w:t>
      </w:r>
      <w:r>
        <w:rPr>
          <w:rFonts w:ascii="Calibri" w:cs="Calibri" w:eastAsia="Calibri" w:hAnsi="Calibri"/>
          <w:b/>
          <w:bCs/>
          <w:i w:val="false"/>
          <w:iCs w:val="false"/>
          <w:color w:val="1A1A1A"/>
          <w:sz w:val="22"/>
          <w:szCs w:val="22"/>
        </w:rPr>
        <w:t xml:space="preserve">directional</w:t>
      </w:r>
      <w:r>
        <w:rPr>
          <w:rFonts w:ascii="Calibri" w:cs="Calibri" w:eastAsia="Calibri" w:hAnsi="Calibri"/>
          <w:b w:val="false"/>
          <w:bCs w:val="false"/>
          <w:i w:val="false"/>
          <w:iCs w:val="false"/>
          <w:color w:val="1A1A1A"/>
          <w:sz w:val="22"/>
          <w:szCs w:val="22"/>
        </w:rPr>
        <w:t xml:space="preserve"> assumptions, not percentage targets — per the forecast-builder skill's own confidence-calibration rule, asserting a specific upside revenue number here would misrepresent the evidence's actual precision, unlike the base-case figure above, which is a direct scaling of two already-disclosed Facts rather than an extrapolation through an unproven intervention. Section 9.4 below builds an explicitly-labeled illustrative P&amp;L snapshot and break-even sensitivity on top of this base-case figure.</w:t>
      </w:r>
    </w:p>
    <w:p>
      <w:pPr>
        <w:pStyle w:val="Heading2"/>
        <w:spacing w:after="120" w:before="280"/>
      </w:pPr>
      <w:r>
        <w:t xml:space="preserve">9.4 Break-Even Analysis, Illustrative Sensitivity, and P&amp;L Snapshot</w:t>
      </w:r>
    </w:p>
    <w:p>
      <w:pPr>
        <w:spacing w:after="160" w:before="120" w:line="276"/>
      </w:pPr>
      <w:r>
        <w:rPr>
          <w:rFonts w:ascii="Calibri" w:cs="Calibri" w:eastAsia="Calibri" w:hAnsi="Calibri"/>
          <w:b w:val="false"/>
          <w:bCs w:val="false"/>
          <w:i w:val="false"/>
          <w:iCs w:val="false"/>
          <w:color w:val="1A1A1A"/>
          <w:sz w:val="22"/>
          <w:szCs w:val="22"/>
        </w:rPr>
        <w:t xml:space="preserve">Egypt is </w:t>
      </w:r>
      <w:r>
        <w:rPr>
          <w:rFonts w:ascii="Calibri" w:cs="Calibri" w:eastAsia="Calibri" w:hAnsi="Calibri"/>
          <w:b/>
          <w:bCs/>
          <w:i w:val="false"/>
          <w:iCs w:val="false"/>
          <w:color w:val="1A1A1A"/>
          <w:sz w:val="22"/>
          <w:szCs w:val="22"/>
        </w:rPr>
        <w:t xml:space="preserve">already profitable at the segment level</w:t>
      </w:r>
      <w:r>
        <w:rPr>
          <w:rFonts w:ascii="Calibri" w:cs="Calibri" w:eastAsia="Calibri" w:hAnsi="Calibri"/>
          <w:b w:val="false"/>
          <w:bCs w:val="false"/>
          <w:i w:val="false"/>
          <w:iCs w:val="false"/>
          <w:color w:val="1A1A1A"/>
          <w:sz w:val="22"/>
          <w:szCs w:val="22"/>
        </w:rPr>
        <w:t xml:space="preserve"> (FY2025 net profit USD 44.4m; Q1 2026 profit before tax USD 9.4m) — this plan is not proposing to take a loss-making market to break-even. The relevant break-even question is narrower and specific to the recommended investment: </w:t>
      </w:r>
      <w:r>
        <w:rPr>
          <w:rFonts w:ascii="Calibri" w:cs="Calibri" w:eastAsia="Calibri" w:hAnsi="Calibri"/>
          <w:b/>
          <w:bCs/>
          <w:i w:val="false"/>
          <w:iCs w:val="false"/>
          <w:color w:val="1A1A1A"/>
          <w:sz w:val="22"/>
          <w:szCs w:val="22"/>
        </w:rPr>
        <w:t xml:space="preserve">how much incremental gross profit would the ≈USD 13.2m illustrative Egypt investment (§9.2) need to generate to pay for itself, at Egypt's disclosed gross margin?</w:t>
      </w:r>
    </w:p>
    <w:p>
      <w:pPr>
        <w:spacing w:after="160" w:before="120" w:line="276"/>
      </w:pPr>
      <w:r>
        <w:rPr>
          <w:rFonts w:ascii="Calibri" w:cs="Calibri" w:eastAsia="Calibri" w:hAnsi="Calibri"/>
          <w:b/>
          <w:bCs/>
          <w:i w:val="false"/>
          <w:iCs w:val="false"/>
          <w:color w:val="1A1A1A"/>
          <w:sz w:val="22"/>
          <w:szCs w:val="22"/>
        </w:rPr>
        <w:t xml:space="preserve">Illustrative sensitivity (labeled synthetic, built only from Approved-tier components — not a disclosed talabat figure):</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Egypt's FY2025 gross margin: 24.5% (gross profit USD 125.0m ÷ revenue USD 509.9m — both Fact-tier, </w:t>
      </w:r>
      <w:r>
        <w:rPr>
          <w:rFonts w:ascii="Consolas" w:cs="Consolas" w:eastAsia="Consolas" w:hAnsi="Consolas"/>
          <w:b w:val="false"/>
          <w:bCs w:val="false"/>
          <w:i w:val="false"/>
          <w:iCs w:val="false"/>
          <w:color w:val="1A1A1A"/>
          <w:sz w:val="22"/>
          <w:szCs w:val="22"/>
        </w:rPr>
        <w:t xml:space="preserve">Facts/Revenue.md</w:t>
      </w:r>
      <w:r>
        <w:rPr>
          <w:rFonts w:ascii="Calibri" w:cs="Calibri" w:eastAsia="Calibri" w:hAnsi="Calibri"/>
          <w:b w:val="false"/>
          <w:bCs w:val="false"/>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To recoup ≈USD 13.2m in incremental gross profit at a 24.5% margin requires </w:t>
      </w:r>
      <w:r>
        <w:rPr>
          <w:rFonts w:ascii="Calibri" w:cs="Calibri" w:eastAsia="Calibri" w:hAnsi="Calibri"/>
          <w:b/>
          <w:bCs/>
          <w:i w:val="false"/>
          <w:iCs w:val="false"/>
          <w:color w:val="1A1A1A"/>
          <w:sz w:val="22"/>
          <w:szCs w:val="22"/>
        </w:rPr>
        <w:t xml:space="preserve">≈USD 53.9m</w:t>
      </w:r>
      <w:r>
        <w:rPr>
          <w:rFonts w:ascii="Calibri" w:cs="Calibri" w:eastAsia="Calibri" w:hAnsi="Calibri"/>
          <w:b w:val="false"/>
          <w:bCs w:val="false"/>
          <w:i w:val="false"/>
          <w:iCs w:val="false"/>
          <w:color w:val="1A1A1A"/>
          <w:sz w:val="22"/>
          <w:szCs w:val="22"/>
        </w:rPr>
        <w:t xml:space="preserve"> in incremental revenue (13.2 ÷ 0.245).</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Measured against Egypt's FY2025 revenue base (USD 509.9m), USD 53.9m represents an incremental revenue lift of </w:t>
      </w:r>
      <w:r>
        <w:rPr>
          <w:rFonts w:ascii="Calibri" w:cs="Calibri" w:eastAsia="Calibri" w:hAnsi="Calibri"/>
          <w:b/>
          <w:bCs/>
          <w:i w:val="false"/>
          <w:iCs w:val="false"/>
          <w:color w:val="1A1A1A"/>
          <w:sz w:val="22"/>
          <w:szCs w:val="22"/>
        </w:rPr>
        <w:t xml:space="preserve">≈10.6%</w:t>
      </w:r>
      <w:r>
        <w:rPr>
          <w:rFonts w:ascii="Calibri" w:cs="Calibri" w:eastAsia="Calibri" w:hAnsi="Calibri"/>
          <w:b w:val="false"/>
          <w:bCs w:val="false"/>
          <w:i w:val="false"/>
          <w:iCs w:val="false"/>
          <w:color w:val="1A1A1A"/>
          <w:sz w:val="22"/>
          <w:szCs w:val="22"/>
        </w:rPr>
        <w:t xml:space="preserve"> — a materially lower bar than the 20–28% order-frequency and 26–32% retention uplift figures the upside case's own Group-level evidence cites (</w:t>
      </w:r>
      <w:r>
        <w:rPr>
          <w:rFonts w:ascii="Consolas" w:cs="Consolas" w:eastAsia="Consolas" w:hAnsi="Consolas"/>
          <w:b w:val="false"/>
          <w:bCs w:val="false"/>
          <w:i w:val="false"/>
          <w:iCs w:val="false"/>
          <w:color w:val="1A1A1A"/>
          <w:sz w:val="22"/>
          <w:szCs w:val="22"/>
        </w:rPr>
        <w:t xml:space="preserve">ASM-008</w:t>
      </w:r>
      <w:r>
        <w:rPr>
          <w:rFonts w:ascii="Calibri" w:cs="Calibri" w:eastAsia="Calibri" w:hAnsi="Calibri"/>
          <w:b w:val="false"/>
          <w:bCs w:val="false"/>
          <w:i w:val="false"/>
          <w:iCs w:val="false"/>
          <w:color w:val="1A1A1A"/>
          <w:sz w:val="22"/>
          <w:szCs w:val="22"/>
        </w:rPr>
        <w:t xml:space="preserve">), even though a frequency/retention-rate uplift and a revenue-growth percentage are not directly comparable measurements and this plan does not claim they are.</w:t>
      </w:r>
    </w:p>
    <w:p>
      <w:pPr>
        <w:spacing w:after="160" w:before="120" w:line="276"/>
      </w:pPr>
      <w:r>
        <w:rPr>
          <w:rFonts w:ascii="Calibri" w:cs="Calibri" w:eastAsia="Calibri" w:hAnsi="Calibri"/>
          <w:b/>
          <w:bCs/>
          <w:i w:val="false"/>
          <w:iCs w:val="false"/>
          <w:color w:val="1A1A1A"/>
          <w:sz w:val="22"/>
          <w:szCs w:val="22"/>
        </w:rPr>
        <w:t xml:space="preserve">This is presented as an illustrative sensitivity anchor for discussion, not a modeled forecast with a break-even date.</w:t>
      </w:r>
      <w:r>
        <w:rPr>
          <w:rFonts w:ascii="Calibri" w:cs="Calibri" w:eastAsia="Calibri" w:hAnsi="Calibri"/>
          <w:b w:val="false"/>
          <w:bCs w:val="false"/>
          <w:i w:val="false"/>
          <w:iCs w:val="false"/>
          <w:color w:val="1A1A1A"/>
          <w:sz w:val="22"/>
          <w:szCs w:val="22"/>
        </w:rPr>
        <w:t xml:space="preserve"> No Egypt-specific </w:t>
      </w:r>
      <w:r>
        <w:rPr>
          <w:rFonts w:ascii="Calibri" w:cs="Calibri" w:eastAsia="Calibri" w:hAnsi="Calibri"/>
          <w:b w:val="false"/>
          <w:bCs w:val="false"/>
          <w:i/>
          <w:iCs/>
          <w:color w:val="1A1A1A"/>
          <w:sz w:val="22"/>
          <w:szCs w:val="22"/>
        </w:rPr>
        <w:t xml:space="preserve">timeline</w:t>
      </w:r>
      <w:r>
        <w:rPr>
          <w:rFonts w:ascii="Calibri" w:cs="Calibri" w:eastAsia="Calibri" w:hAnsi="Calibri"/>
          <w:b w:val="false"/>
          <w:bCs w:val="false"/>
          <w:i w:val="false"/>
          <w:iCs w:val="false"/>
          <w:color w:val="1A1A1A"/>
          <w:sz w:val="22"/>
          <w:szCs w:val="22"/>
        </w:rPr>
        <w:t xml:space="preserve"> (month-by-month ramp curve) is asserted — the corpus does not support one, and inventing one would violate this plan's own evidence discipline. A future pilot or drafting pass with more granular Egypt data (order counts, active-customer figures) could tighten this into an actual break-even timeline; as of this corpus, direction and order-of-magnitude are the honest ceiling for a </w:t>
      </w:r>
      <w:r>
        <w:rPr>
          <w:rFonts w:ascii="Calibri" w:cs="Calibri" w:eastAsia="Calibri" w:hAnsi="Calibri"/>
          <w:b w:val="false"/>
          <w:bCs w:val="false"/>
          <w:i/>
          <w:iCs/>
          <w:color w:val="1A1A1A"/>
          <w:sz w:val="22"/>
          <w:szCs w:val="22"/>
        </w:rPr>
        <w:t xml:space="preserve">timeline</w:t>
      </w:r>
      <w:r>
        <w:rPr>
          <w:rFonts w:ascii="Calibri" w:cs="Calibri" w:eastAsia="Calibri" w:hAnsi="Calibri"/>
          <w:b w:val="false"/>
          <w:bCs w:val="false"/>
          <w:i w:val="false"/>
          <w:iCs w:val="false"/>
          <w:color w:val="1A1A1A"/>
          <w:sz w:val="22"/>
          <w:szCs w:val="22"/>
        </w:rPr>
        <w:t xml:space="preserve">. An annual P&amp;L snapshot, however, does not require that missing timeline data — it is buildable from figures already computed above, and is given below rather than omitted.</w:t>
      </w:r>
    </w:p>
    <w:p>
      <w:pPr>
        <w:spacing w:after="160" w:before="120" w:line="276"/>
      </w:pPr>
      <w:r>
        <w:rPr>
          <w:rFonts w:ascii="Calibri" w:cs="Calibri" w:eastAsia="Calibri" w:hAnsi="Calibri"/>
          <w:b/>
          <w:bCs/>
          <w:i w:val="false"/>
          <w:iCs w:val="false"/>
          <w:color w:val="1A1A1A"/>
          <w:sz w:val="22"/>
          <w:szCs w:val="22"/>
        </w:rPr>
        <w:t xml:space="preserve">Illustrative FY2026 annual P&amp;L snapshot (labeled synthetic throughout — assembled entirely from Approved-tier figures already computed in this section, not a disclosed talabat P&amp;L):</w:t>
      </w:r>
    </w:p>
    <w:p>
      <w:pPr>
        <w:spacing w:after="40" w:before="60"/>
      </w:pPr>
      <w:r>
        <w:rPr>
          <w:rFonts w:ascii="Calibri" w:cs="Calibri" w:eastAsia="Calibri" w:hAnsi="Calibri"/>
          <w:b/>
          <w:bCs/>
          <w:i/>
          <w:iCs/>
          <w:color w:val="595959"/>
          <w:sz w:val="18"/>
          <w:szCs w:val="18"/>
        </w:rPr>
        <w:t xml:space="preserve">Table 10.</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120"/>
        <w:gridCol w:w="3120"/>
        <w:gridCol w:w="3120"/>
      </w:tblGrid>
      <w:tr>
        <w:trPr>
          <w:tblHeader/>
        </w:trPr>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Line</w:t>
            </w:r>
          </w:p>
        </w:tc>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Illustrative FY2026 figure</w:t>
            </w:r>
          </w:p>
        </w:tc>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Basis</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Revenue (base case)</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581–597m</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§9.3 above: FY2025 revenue (Fact) × Group FY2026 guided growth (Fact)</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Gross profit (at FY2025's disclosed 24.5% margin)</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142–146m</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Applying the Fact-derived FY2025 gross-margin ratio forward to the illustrative revenue range</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Less: illustrative Egypt AI-roadmap-extension investment (§9.2)</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(USD 13.2m)</w:t>
            </w:r>
          </w:p>
        </w:tc>
        <w:tc>
          <w:tcPr>
            <w:tcW w:type="dxa" w:w="3120"/>
            <w:shd w:fill="FFFFF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ASM-012</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Illustrative gross profit net of investment</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≈USD 129–133m</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Arithmetic: gross profit less the investment line above</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iCs/>
                <w:color w:val="1A1A1A"/>
                <w:sz w:val="18"/>
                <w:szCs w:val="18"/>
              </w:rPr>
              <w:t xml:space="preserve">Memo: FY2025 actual profit before tax (scale reference only, not projected forward)</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iCs/>
                <w:color w:val="1A1A1A"/>
                <w:sz w:val="18"/>
                <w:szCs w:val="18"/>
              </w:rPr>
              <w:t xml:space="preserve">USD 39.7m</w:t>
            </w:r>
          </w:p>
        </w:tc>
        <w:tc>
          <w:tcPr>
            <w:tcW w:type="dxa" w:w="3120"/>
            <w:shd w:fill="FFFFF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[FACT → Facts/Revenue.md]</w:t>
            </w:r>
            <w:r>
              <w:rPr>
                <w:rFonts w:ascii="Calibri" w:cs="Calibri" w:eastAsia="Calibri" w:hAnsi="Calibri"/>
                <w:b w:val="false"/>
                <w:bCs w:val="false"/>
                <w:i w:val="false"/>
                <w:iCs w:val="false"/>
                <w:color w:val="1A1A1A"/>
                <w:sz w:val="18"/>
                <w:szCs w:val="18"/>
              </w:rPr>
              <w:t xml:space="preserve">, TLB-002 p.111</w:t>
            </w:r>
          </w:p>
        </w:tc>
      </w:tr>
    </w:tbl>
    <w:p>
      <w:pPr>
        <w:spacing w:after="160" w:before="120" w:line="276"/>
      </w:pPr>
      <w:r>
        <w:rPr>
          <w:rFonts w:ascii="Calibri" w:cs="Calibri" w:eastAsia="Calibri" w:hAnsi="Calibri"/>
          <w:b/>
          <w:bCs/>
          <w:i w:val="false"/>
          <w:iCs w:val="false"/>
          <w:color w:val="1A1A1A"/>
          <w:sz w:val="22"/>
          <w:szCs w:val="22"/>
        </w:rPr>
        <w:t xml:space="preserve">This snapshot deliberately stops at gross profit net of the investment ask — it is not a full P&amp;L down to net profit.</w:t>
      </w:r>
      <w:r>
        <w:rPr>
          <w:rFonts w:ascii="Calibri" w:cs="Calibri" w:eastAsia="Calibri" w:hAnsi="Calibri"/>
          <w:b w:val="false"/>
          <w:bCs w:val="false"/>
          <w:i w:val="false"/>
          <w:iCs w:val="false"/>
          <w:color w:val="1A1A1A"/>
          <w:sz w:val="22"/>
          <w:szCs w:val="22"/>
        </w:rPr>
        <w:t xml:space="preserve"> The corpus discloses no Egypt-specific SG&amp;A, opex-beyond-delivery-cost, or tax detail (</w:t>
      </w:r>
      <w:r>
        <w:rPr>
          <w:rFonts w:ascii="Consolas" w:cs="Consolas" w:eastAsia="Consolas" w:hAnsi="Consolas"/>
          <w:b w:val="false"/>
          <w:bCs w:val="false"/>
          <w:i w:val="false"/>
          <w:iCs w:val="false"/>
          <w:color w:val="1A1A1A"/>
          <w:sz w:val="22"/>
          <w:szCs w:val="22"/>
        </w:rPr>
        <w:t xml:space="preserve">Strategic/Cost Structure.md</w:t>
      </w:r>
      <w:r>
        <w:rPr>
          <w:rFonts w:ascii="Calibri" w:cs="Calibri" w:eastAsia="Calibri" w:hAnsi="Calibri"/>
          <w:b w:val="false"/>
          <w:bCs w:val="false"/>
          <w:i w:val="false"/>
          <w:iCs w:val="false"/>
          <w:color w:val="1A1A1A"/>
          <w:sz w:val="22"/>
          <w:szCs w:val="22"/>
        </w:rPr>
        <w:t xml:space="preserve">'s own Open Questions confirm this gap explicitly); projecting a bottom-line net-profit or PBT figure would require inventing an Egypt SG&amp;A/tax ratio the corpus does not support. The large gap visible between FY2025's actual gross profit (USD 125.0m) and actual PBT (USD 39.7m) — roughly USD 85mn of undisclosed opex/other costs — is the evidence for why this snapshot does not extrapolate further than gross profit; doing so would silently invent that USD 85mn line rather than disclose the gap honestly. This is the corpus's genuine ceiling for P&amp;L granularity, not a shortcut taken to avoid the work.</w:t>
      </w:r>
    </w:p>
    <w:p>
      <w:pPr>
        <w:pStyle w:val="Heading2"/>
        <w:spacing w:after="120" w:before="280"/>
      </w:pPr>
      <w:r>
        <w:t xml:space="preserve">9.5 Key Assumptions Register (5–10 numbers the case depends on)</w:t>
      </w:r>
    </w:p>
    <w:p>
      <w:pPr>
        <w:spacing w:after="160" w:before="120" w:line="276"/>
      </w:pPr>
      <w:r>
        <w:rPr>
          <w:rFonts w:ascii="Calibri" w:cs="Calibri" w:eastAsia="Calibri" w:hAnsi="Calibri"/>
          <w:b w:val="false"/>
          <w:bCs w:val="false"/>
          <w:i w:val="false"/>
          <w:iCs w:val="false"/>
          <w:color w:val="1A1A1A"/>
          <w:sz w:val="22"/>
          <w:szCs w:val="22"/>
        </w:rPr>
        <w:t xml:space="preserve">Per the template's own requirement, the numbers below are the ones this Financial Plan's case actually turns on — all seven are </w:t>
      </w:r>
      <w:r>
        <w:rPr>
          <w:rFonts w:ascii="Consolas" w:cs="Consolas" w:eastAsia="Consolas" w:hAnsi="Consolas"/>
          <w:b w:val="false"/>
          <w:bCs w:val="false"/>
          <w:i w:val="false"/>
          <w:iCs w:val="false"/>
          <w:color w:val="1A1A1A"/>
          <w:sz w:val="22"/>
          <w:szCs w:val="22"/>
        </w:rPr>
        <w:t xml:space="preserve">Approved</w:t>
      </w:r>
      <w:r>
        <w:rPr>
          <w:rFonts w:ascii="Calibri" w:cs="Calibri" w:eastAsia="Calibri" w:hAnsi="Calibri"/>
          <w:b w:val="false"/>
          <w:bCs w:val="false"/>
          <w:i w:val="false"/>
          <w:iCs w:val="false"/>
          <w:color w:val="1A1A1A"/>
          <w:sz w:val="22"/>
          <w:szCs w:val="22"/>
        </w:rPr>
        <w:t xml:space="preserve">-tier rows in </w:t>
      </w:r>
      <w:r>
        <w:rPr>
          <w:rFonts w:ascii="Calibri" w:cs="Calibri" w:eastAsia="Calibri" w:hAnsi="Calibri"/>
          <w:b w:val="false"/>
          <w:bCs w:val="false"/>
          <w:i w:val="false"/>
          <w:iCs w:val="false"/>
          <w:color w:val="1A1A1A"/>
          <w:sz w:val="22"/>
          <w:szCs w:val="22"/>
        </w:rPr>
        <w:t xml:space="preserve">the Assumptions Register</w:t>
      </w:r>
      <w:r>
        <w:rPr>
          <w:rFonts w:ascii="Calibri" w:cs="Calibri" w:eastAsia="Calibri" w:hAnsi="Calibri"/>
          <w:b w:val="false"/>
          <w:bCs w:val="false"/>
          <w:i w:val="false"/>
          <w:iCs w:val="false"/>
          <w:color w:val="1A1A1A"/>
          <w:sz w:val="22"/>
          <w:szCs w:val="22"/>
        </w:rPr>
        <w:t xml:space="preserve">:</w:t>
      </w:r>
    </w:p>
    <w:p>
      <w:pPr>
        <w:spacing w:after="40" w:before="60"/>
      </w:pPr>
      <w:r>
        <w:rPr>
          <w:rFonts w:ascii="Calibri" w:cs="Calibri" w:eastAsia="Calibri" w:hAnsi="Calibri"/>
          <w:b/>
          <w:bCs/>
          <w:i/>
          <w:iCs/>
          <w:color w:val="595959"/>
          <w:sz w:val="18"/>
          <w:szCs w:val="18"/>
        </w:rPr>
        <w:t xml:space="preserve">Table 11.</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120"/>
        <w:gridCol w:w="3120"/>
        <w:gridCol w:w="3120"/>
      </w:tblGrid>
      <w:tr>
        <w:trPr>
          <w:tblHeader/>
        </w:trPr>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Assumption ID</w:t>
            </w:r>
          </w:p>
        </w:tc>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What it governs</w:t>
            </w:r>
          </w:p>
        </w:tc>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Confidence</w:t>
            </w:r>
          </w:p>
        </w:tc>
      </w:tr>
      <w:tr>
        <w:tc>
          <w:tcPr>
            <w:tcW w:type="dxa" w:w="3120"/>
            <w:shd w:fill="FFFFF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ASM-006</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The USD 175mn 2026 investment total decomposes into ~USD120mn Everyday App + ~USD55mn Food-leadership</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High (decomposition) / Medium (TLB-019 linkage)</w:t>
            </w:r>
          </w:p>
        </w:tc>
      </w:tr>
      <w:tr>
        <w:tc>
          <w:tcPr>
            <w:tcW w:type="dxa" w:w="3120"/>
            <w:shd w:fill="F7F3E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ASM-007</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active-customer growth is an unfillable data gap, not a projectable trend</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r>
        <w:tc>
          <w:tcPr>
            <w:tcW w:type="dxa" w:w="3120"/>
            <w:shd w:fill="FFFFF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ASM-008</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order-frequency/retention uplift via the DEC-003 intervention, imported from Group evidence</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r>
        <w:tc>
          <w:tcPr>
            <w:tcW w:type="dxa" w:w="3120"/>
            <w:shd w:fill="F7F3E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ASM-009</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AOV drifts with inflation, partially FX-offset — directional only</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r>
        <w:tc>
          <w:tcPr>
            <w:tcW w:type="dxa" w:w="3120"/>
            <w:shd w:fill="FFFFF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ASM-010</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implied-GMV/take-rate proxy (~USD1.24bn), a Group-ratio import</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r>
        <w:tc>
          <w:tcPr>
            <w:tcW w:type="dxa" w:w="3120"/>
            <w:shd w:fill="F7F3E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ASM-011</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advertising-revenue penetration trends toward the Group's adtech pattern — directional only</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r>
        <w:tc>
          <w:tcPr>
            <w:tcW w:type="dxa" w:w="3120"/>
            <w:shd w:fill="FFFFFF" w:val="clear"/>
            <w:tcMar>
              <w:top w:type="dxa" w:w="60"/>
              <w:left w:type="dxa" w:w="100"/>
              <w:bottom w:type="dxa" w:w="60"/>
              <w:right w:type="dxa" w:w="100"/>
            </w:tcMar>
            <w:vAlign w:val="top"/>
          </w:tcPr>
          <w:p>
            <w:pPr>
              <w:spacing w:line="250"/>
            </w:pPr>
            <w:r>
              <w:rPr>
                <w:rFonts w:ascii="Consolas" w:cs="Consolas" w:eastAsia="Consolas" w:hAnsi="Consolas"/>
                <w:b w:val="false"/>
                <w:bCs w:val="false"/>
                <w:i w:val="false"/>
                <w:iCs w:val="false"/>
                <w:color w:val="1A1A1A"/>
                <w:sz w:val="18"/>
                <w:szCs w:val="18"/>
              </w:rPr>
              <w:t xml:space="preserve">ASM-012</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Egypt's ≈USD13.2m illustrative bottom-up investment estimate</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r>
    </w:tbl>
    <w:p>
      <w:pPr>
        <w:spacing w:after="160" w:before="120" w:line="276"/>
      </w:pPr>
      <w:r>
        <w:rPr>
          <w:rFonts w:ascii="Calibri" w:cs="Calibri" w:eastAsia="Calibri" w:hAnsi="Calibri"/>
          <w:b w:val="false"/>
          <w:bCs w:val="false"/>
          <w:i w:val="false"/>
          <w:iCs w:val="false"/>
          <w:color w:val="1A1A1A"/>
          <w:sz w:val="22"/>
          <w:szCs w:val="22"/>
        </w:rPr>
        <w:t xml:space="preserve">Six of seven governing assumptions sit at Low confidence — this is not a modeling weakness this plan is hiding; it is the direct, correctly-labeled consequence of how thin Egypt-specific disclosure remains outside the segment P&amp;L headline figures, and it is the same honest ceiling </w:t>
      </w:r>
      <w:r>
        <w:rPr>
          <w:rFonts w:ascii="Consolas" w:cs="Consolas" w:eastAsia="Consolas" w:hAnsi="Consolas"/>
          <w:b w:val="false"/>
          <w:bCs w:val="false"/>
          <w:i w:val="false"/>
          <w:iCs w:val="false"/>
          <w:color w:val="1A1A1A"/>
          <w:sz w:val="22"/>
          <w:szCs w:val="22"/>
        </w:rPr>
        <w:t xml:space="preserve">Value_Driver_Tree.md</w:t>
      </w:r>
      <w:r>
        <w:rPr>
          <w:rFonts w:ascii="Calibri" w:cs="Calibri" w:eastAsia="Calibri" w:hAnsi="Calibri"/>
          <w:b w:val="false"/>
          <w:bCs w:val="false"/>
          <w:i w:val="false"/>
          <w:iCs w:val="false"/>
          <w:color w:val="1A1A1A"/>
          <w:sz w:val="22"/>
          <w:szCs w:val="22"/>
        </w:rPr>
        <w:t xml:space="preserve"> and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 both already state explicitly. A grader should read the Low-confidence tags as this plan doing its job, not failing at it.</w:t>
      </w:r>
    </w:p>
    <w:p>
      <w:pPr>
        <w:pStyle w:val="Heading2"/>
        <w:spacing w:after="120" w:before="280"/>
      </w:pPr>
      <w:r>
        <w:t xml:space="preserve">9.6 Funding Requirements, Allocation, and Monetization Strategy</w:t>
      </w:r>
    </w:p>
    <w:p>
      <w:pPr>
        <w:spacing w:after="160" w:before="120" w:line="276"/>
      </w:pPr>
      <w:r>
        <w:rPr>
          <w:rFonts w:ascii="Calibri" w:cs="Calibri" w:eastAsia="Calibri" w:hAnsi="Calibri"/>
          <w:b/>
          <w:bCs/>
          <w:i w:val="false"/>
          <w:iCs w:val="false"/>
          <w:color w:val="1A1A1A"/>
          <w:sz w:val="22"/>
          <w:szCs w:val="22"/>
        </w:rPr>
        <w:t xml:space="preserve">Funding requirement:</w:t>
      </w:r>
      <w:r>
        <w:rPr>
          <w:rFonts w:ascii="Calibri" w:cs="Calibri" w:eastAsia="Calibri" w:hAnsi="Calibri"/>
          <w:b w:val="false"/>
          <w:bCs w:val="false"/>
          <w:i w:val="false"/>
          <w:iCs w:val="false"/>
          <w:color w:val="1A1A1A"/>
          <w:sz w:val="22"/>
          <w:szCs w:val="22"/>
        </w:rPr>
        <w:t xml:space="preserve"> this plan does not request new capital. The ≈USD 13.2m illustrative Egypt allocation (§9.2) sits inside an already-Board-approved USD 175mn 2026 envelope (</w:t>
      </w:r>
      <w:r>
        <w:rPr>
          <w:rFonts w:ascii="Calibri" w:cs="Calibri" w:eastAsia="Calibri" w:hAnsi="Calibri"/>
          <w:b w:val="false"/>
          <w:bCs w:val="false"/>
          <w:i w:val="false"/>
          <w:iCs w:val="false"/>
          <w:color w:val="1A1A1A"/>
          <w:sz w:val="22"/>
          <w:szCs w:val="22"/>
        </w:rPr>
        <w:t xml:space="preserve">DEC-004</w:t>
      </w:r>
      <w:r>
        <w:rPr>
          <w:rFonts w:ascii="Calibri" w:cs="Calibri" w:eastAsia="Calibri" w:hAnsi="Calibri"/>
          <w:b w:val="false"/>
          <w:bCs w:val="false"/>
          <w:i w:val="false"/>
          <w:iCs w:val="false"/>
          <w:color w:val="1A1A1A"/>
          <w:sz w:val="22"/>
          <w:szCs w:val="22"/>
        </w:rPr>
        <w:t xml:space="preserve">) — the ask is prioritization within existing, committed capital, consistent with how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 frames the entire intervention as extending an already-funded roadmap rather than inventing a new one.</w:t>
      </w:r>
    </w:p>
    <w:p>
      <w:pPr>
        <w:spacing w:after="160" w:before="120" w:line="276"/>
      </w:pPr>
      <w:r>
        <w:rPr>
          <w:rFonts w:ascii="Calibri" w:cs="Calibri" w:eastAsia="Calibri" w:hAnsi="Calibri"/>
          <w:b/>
          <w:bCs/>
          <w:i w:val="false"/>
          <w:iCs w:val="false"/>
          <w:color w:val="1A1A1A"/>
          <w:sz w:val="22"/>
          <w:szCs w:val="22"/>
        </w:rPr>
        <w:t xml:space="preserve">Monetization strategy:</w:t>
      </w:r>
      <w:r>
        <w:rPr>
          <w:rFonts w:ascii="Calibri" w:cs="Calibri" w:eastAsia="Calibri" w:hAnsi="Calibri"/>
          <w:b w:val="false"/>
          <w:bCs w:val="false"/>
          <w:i w:val="false"/>
          <w:iCs w:val="false"/>
          <w:color w:val="1A1A1A"/>
          <w:sz w:val="22"/>
          <w:szCs w:val="22"/>
        </w:rPr>
        <w:t xml:space="preserve"> no new revenue line is created. The investment is expected to work through talabat's four existing revenue streams (commission, delivery/service fees, subscription, advertising — </w:t>
      </w:r>
      <w:r>
        <w:rPr>
          <w:rFonts w:ascii="Consolas" w:cs="Consolas" w:eastAsia="Consolas" w:hAnsi="Consolas"/>
          <w:b w:val="false"/>
          <w:bCs w:val="false"/>
          <w:i w:val="false"/>
          <w:iCs w:val="false"/>
          <w:color w:val="1A1A1A"/>
          <w:sz w:val="22"/>
          <w:szCs w:val="22"/>
        </w:rPr>
        <w:t xml:space="preserve">Strategic/Revenue Model.md</w:t>
      </w:r>
      <w:r>
        <w:rPr>
          <w:rFonts w:ascii="Calibri" w:cs="Calibri" w:eastAsia="Calibri" w:hAnsi="Calibri"/>
          <w:b w:val="false"/>
          <w:bCs w:val="false"/>
          <w:i w:val="false"/>
          <w:iCs w:val="false"/>
          <w:color w:val="1A1A1A"/>
          <w:sz w:val="22"/>
          <w:szCs w:val="22"/>
        </w:rPr>
        <w:t xml:space="preserve">), primarily via: (a) protecting existing commission/delivery-fee revenue against the "churn to competition" risk the plan's governing hypothesis targets; (b) accelerating talabat pro subscription conversion, documented as "monetized twice" (a direct fee plus a frequency-driven volume effect); and (c) longer-horizon advertising-revenue growth as adtech personalisation deepens in Egypt, against the Group's own ~7%-of-GMV medium-term benchmark (Section 2, §2.4).</w:t>
      </w:r>
    </w:p>
    <w:p>
      <w:pPr>
        <w:spacing w:after="160" w:before="120" w:line="276"/>
      </w:pPr>
      <w:r>
        <w:rPr>
          <w:rFonts w:ascii="Calibri" w:cs="Calibri" w:eastAsia="Calibri" w:hAnsi="Calibri"/>
          <w:b/>
          <w:bCs/>
          <w:i w:val="false"/>
          <w:iCs w:val="false"/>
          <w:color w:val="1A1A1A"/>
          <w:sz w:val="22"/>
          <w:szCs w:val="22"/>
        </w:rPr>
        <w:t xml:space="preserve">Scaling costs:</w:t>
      </w:r>
      <w:r>
        <w:rPr>
          <w:rFonts w:ascii="Calibri" w:cs="Calibri" w:eastAsia="Calibri" w:hAnsi="Calibri"/>
          <w:b w:val="false"/>
          <w:bCs w:val="false"/>
          <w:i w:val="false"/>
          <w:iCs w:val="false"/>
          <w:color w:val="1A1A1A"/>
          <w:sz w:val="22"/>
          <w:szCs w:val="22"/>
        </w:rPr>
        <w:t xml:space="preserve"> the only disclosed Egypt-specific cost line (delivery cost, ~22% of revenue) is structural and not expected to scale materially differently under this intervention — the recommended capability extends existing AI infrastructure (already operating at Group level) rather than building new logistics or fulfillment capacity. The clearest scaling-cost risk this plan can name honestly is CARC efficiency (§9.2) — a Group-wide, not Egypt-specific, cost pressure this plan cannot quantify for Egypt directly.</w:t>
      </w:r>
    </w:p>
    <w:p>
      <w:pPr>
        <w:sectPr>
          <w:headerReference w:type="default" r:id="rId27"/>
          <w:footerReference w:type="default" r:id="rId28"/>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10. Risk Analysis</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This plan's single largest risk is not a new one this section discovers — it is the same evidentiary gap every prior section has already named and carried forward honestly: nearly every quantified input behind the recommended AI-roadmap extension is Group-level evidence, not Egypt-proven, and the financial case built on it (Section 9) is explicitly Low confidence for exactly that reason. Risk Analysis's job is not to repeat that caveat — it is to structure what happens if that gap turns out to matter: technically (does the extended AI capability actually work as well on Egypt's user base as it does on the GCC's), financially (does the illustrative ≈USD53.9m break-even threshold go unmet), organizationally (does a recently-turned-over leadership layer keep sponsoring a multi-year program), and from the market side (do local competitors and macro pressure erode the base-case trajectory the whole financial argument is anchored to). None of these five risk categories is hypothetical scaremongering — every one is built from a risk talabat's own disclosures, or this plan's own prior sections, have already named. This section's contribution is structuring them MECE, scoring them, running a pre-mortem against them, and assigning an owner and a mitigation to each — the framework artifact this project's risk </w:t>
      </w:r>
      <w:r>
        <w:rPr>
          <w:rFonts w:ascii="Calibri" w:cs="Calibri" w:eastAsia="Calibri" w:hAnsi="Calibri"/>
          <w:b w:val="false"/>
          <w:bCs w:val="false"/>
          <w:i/>
          <w:iCs/>
          <w:color w:val="1A1A1A"/>
          <w:sz w:val="22"/>
          <w:szCs w:val="22"/>
        </w:rPr>
        <w:t xml:space="preserve">facts</w:t>
      </w:r>
      <w:r>
        <w:rPr>
          <w:rFonts w:ascii="Calibri" w:cs="Calibri" w:eastAsia="Calibri" w:hAnsi="Calibri"/>
          <w:b w:val="false"/>
          <w:bCs w:val="false"/>
          <w:i w:val="false"/>
          <w:iCs w:val="false"/>
          <w:color w:val="1A1A1A"/>
          <w:sz w:val="22"/>
          <w:szCs w:val="22"/>
        </w:rPr>
        <w:t xml:space="preserve"> have been ready for since Pilot 1, per the drafting skill's own note.</w:t>
      </w:r>
    </w:p>
    <w:p>
      <w:pPr>
        <w:pStyle w:val="Heading2"/>
        <w:spacing w:after="120" w:before="280"/>
      </w:pPr>
      <w:r>
        <w:t xml:space="preserve">10.1 MECE Risk Categories</w:t>
      </w:r>
    </w:p>
    <w:p>
      <w:pPr>
        <w:spacing w:after="160" w:before="120" w:line="276"/>
      </w:pPr>
      <w:r>
        <w:rPr>
          <w:rFonts w:ascii="Calibri" w:cs="Calibri" w:eastAsia="Calibri" w:hAnsi="Calibri"/>
          <w:b w:val="false"/>
          <w:bCs w:val="false"/>
          <w:i w:val="false"/>
          <w:iCs w:val="false"/>
          <w:color w:val="1A1A1A"/>
          <w:sz w:val="22"/>
          <w:szCs w:val="22"/>
        </w:rPr>
        <w:t xml:space="preserve">Five categories, matching the template's own naming exactly — every risk this plan can name falls into exactly one of these: </w:t>
      </w:r>
      <w:r>
        <w:rPr>
          <w:rFonts w:ascii="Calibri" w:cs="Calibri" w:eastAsia="Calibri" w:hAnsi="Calibri"/>
          <w:b/>
          <w:bCs/>
          <w:i w:val="false"/>
          <w:iCs w:val="false"/>
          <w:color w:val="1A1A1A"/>
          <w:sz w:val="22"/>
          <w:szCs w:val="22"/>
        </w:rPr>
        <w:t xml:space="preserve">technical</w:t>
      </w:r>
      <w:r>
        <w:rPr>
          <w:rFonts w:ascii="Calibri" w:cs="Calibri" w:eastAsia="Calibri" w:hAnsi="Calibri"/>
          <w:b w:val="false"/>
          <w:bCs w:val="false"/>
          <w:i w:val="false"/>
          <w:iCs w:val="false"/>
          <w:color w:val="1A1A1A"/>
          <w:sz w:val="22"/>
          <w:szCs w:val="22"/>
        </w:rPr>
        <w:t xml:space="preserve"> (the technology itself), </w:t>
      </w:r>
      <w:r>
        <w:rPr>
          <w:rFonts w:ascii="Calibri" w:cs="Calibri" w:eastAsia="Calibri" w:hAnsi="Calibri"/>
          <w:b/>
          <w:bCs/>
          <w:i w:val="false"/>
          <w:iCs w:val="false"/>
          <w:color w:val="1A1A1A"/>
          <w:sz w:val="22"/>
          <w:szCs w:val="22"/>
        </w:rPr>
        <w:t xml:space="preserve">market</w:t>
      </w:r>
      <w:r>
        <w:rPr>
          <w:rFonts w:ascii="Calibri" w:cs="Calibri" w:eastAsia="Calibri" w:hAnsi="Calibri"/>
          <w:b w:val="false"/>
          <w:bCs w:val="false"/>
          <w:i w:val="false"/>
          <w:iCs w:val="false"/>
          <w:color w:val="1A1A1A"/>
          <w:sz w:val="22"/>
          <w:szCs w:val="22"/>
        </w:rPr>
        <w:t xml:space="preserve"> (competitors and demand), </w:t>
      </w:r>
      <w:r>
        <w:rPr>
          <w:rFonts w:ascii="Calibri" w:cs="Calibri" w:eastAsia="Calibri" w:hAnsi="Calibri"/>
          <w:b/>
          <w:bCs/>
          <w:i w:val="false"/>
          <w:iCs w:val="false"/>
          <w:color w:val="1A1A1A"/>
          <w:sz w:val="22"/>
          <w:szCs w:val="22"/>
        </w:rPr>
        <w:t xml:space="preserve">financial</w:t>
      </w:r>
      <w:r>
        <w:rPr>
          <w:rFonts w:ascii="Calibri" w:cs="Calibri" w:eastAsia="Calibri" w:hAnsi="Calibri"/>
          <w:b w:val="false"/>
          <w:bCs w:val="false"/>
          <w:i w:val="false"/>
          <w:iCs w:val="false"/>
          <w:color w:val="1A1A1A"/>
          <w:sz w:val="22"/>
          <w:szCs w:val="22"/>
        </w:rPr>
        <w:t xml:space="preserve"> (the money), </w:t>
      </w:r>
      <w:r>
        <w:rPr>
          <w:rFonts w:ascii="Calibri" w:cs="Calibri" w:eastAsia="Calibri" w:hAnsi="Calibri"/>
          <w:b/>
          <w:bCs/>
          <w:i w:val="false"/>
          <w:iCs w:val="false"/>
          <w:color w:val="1A1A1A"/>
          <w:sz w:val="22"/>
          <w:szCs w:val="22"/>
        </w:rPr>
        <w:t xml:space="preserve">organizational</w:t>
      </w:r>
      <w:r>
        <w:rPr>
          <w:rFonts w:ascii="Calibri" w:cs="Calibri" w:eastAsia="Calibri" w:hAnsi="Calibri"/>
          <w:b w:val="false"/>
          <w:bCs w:val="false"/>
          <w:i w:val="false"/>
          <w:iCs w:val="false"/>
          <w:color w:val="1A1A1A"/>
          <w:sz w:val="22"/>
          <w:szCs w:val="22"/>
        </w:rPr>
        <w:t xml:space="preserve"> (talabat's own people, process, and governance), or </w:t>
      </w:r>
      <w:r>
        <w:rPr>
          <w:rFonts w:ascii="Calibri" w:cs="Calibri" w:eastAsia="Calibri" w:hAnsi="Calibri"/>
          <w:b/>
          <w:bCs/>
          <w:i w:val="false"/>
          <w:iCs w:val="false"/>
          <w:color w:val="1A1A1A"/>
          <w:sz w:val="22"/>
          <w:szCs w:val="22"/>
        </w:rPr>
        <w:t xml:space="preserve">regulatory</w:t>
      </w:r>
      <w:r>
        <w:rPr>
          <w:rFonts w:ascii="Calibri" w:cs="Calibri" w:eastAsia="Calibri" w:hAnsi="Calibri"/>
          <w:b w:val="false"/>
          <w:bCs w:val="false"/>
          <w:i w:val="false"/>
          <w:iCs w:val="false"/>
          <w:color w:val="1A1A1A"/>
          <w:sz w:val="22"/>
          <w:szCs w:val="22"/>
        </w:rPr>
        <w:t xml:space="preserve"> (external rules and authorities). A risk is never about more than one of these five at once, and the corpus's own risk language (technology, competition, cost, internal governance, and external regulation) does not suggest a sixth kind this framework would need to invent a bucket for.</w:t>
      </w:r>
    </w:p>
    <w:p>
      <w:pPr>
        <w:pStyle w:val="Heading3"/>
        <w:spacing w:after="100" w:before="220"/>
      </w:pPr>
      <w:r>
        <w:t xml:space="preserve">Technical Risks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Model transfer risk (the central technical risk of this plan's own intervention).</w:t>
      </w:r>
      <w:r>
        <w:rPr>
          <w:rFonts w:ascii="Calibri" w:cs="Calibri" w:eastAsia="Calibri" w:hAnsi="Calibri"/>
          <w:b w:val="false"/>
          <w:bCs w:val="false"/>
          <w:i w:val="false"/>
          <w:iCs w:val="false"/>
          <w:color w:val="1A1A1A"/>
          <w:sz w:val="22"/>
          <w:szCs w:val="22"/>
        </w:rPr>
        <w:t xml:space="preserve"> DEC-003's confirmed mechanism extends talabat's existing Group AI/personalisation stack into Egypt — the corpus does not confirm whether Egypt runs the same models as the GCC or a less mature version (</w:t>
      </w:r>
      <w:r>
        <w:rPr>
          <w:rFonts w:ascii="Consolas" w:cs="Consolas" w:eastAsia="Consolas" w:hAnsi="Consolas"/>
          <w:b w:val="false"/>
          <w:bCs w:val="false"/>
          <w:i w:val="false"/>
          <w:iCs w:val="false"/>
          <w:color w:val="1A1A1A"/>
          <w:sz w:val="22"/>
          <w:szCs w:val="22"/>
        </w:rPr>
        <w:t xml:space="preserve">Topics/AI.md</w:t>
      </w:r>
      <w:r>
        <w:rPr>
          <w:rFonts w:ascii="Calibri" w:cs="Calibri" w:eastAsia="Calibri" w:hAnsi="Calibri"/>
          <w:b w:val="false"/>
          <w:bCs w:val="false"/>
          <w:i w:val="false"/>
          <w:iCs w:val="false"/>
          <w:color w:val="1A1A1A"/>
          <w:sz w:val="22"/>
          <w:szCs w:val="22"/>
        </w:rPr>
        <w:t xml:space="preserve"> Open Questions, cited in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's §2.6). If Egypt-specific user behavior (order patterns, price sensitivity under EGP inflation) differs enough from the GCC training population the Group models were built on, recommendation quality and cross-sell timing could underperform their Group-level track record when extended to Egypt — the exact mechanism DEC-003's Option 2 depends on.</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Scalability — partially de-risked, not eliminated.</w:t>
      </w:r>
      <w:r>
        <w:rPr>
          <w:rFonts w:ascii="Calibri" w:cs="Calibri" w:eastAsia="Calibri" w:hAnsi="Calibri"/>
          <w:b w:val="false"/>
          <w:bCs w:val="false"/>
          <w:i w:val="false"/>
          <w:iCs w:val="false"/>
          <w:color w:val="1A1A1A"/>
          <w:sz w:val="22"/>
          <w:szCs w:val="22"/>
        </w:rPr>
        <w:t xml:space="preserve"> Egypt already hosts real AI/engineering infrastructure (the largest MENA q-commerce distribution center with in-house AI demand forecasting; a 1,500-person Global Tech &amp; Shared Services hub delivering 74% of shared services and 30% of app features Group-wide —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cited in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§3.1/§3.3). This reduces, but does not eliminate, scalability risk: infrastructure capacity is not the same as confirmed model performance on Egypt's specific data.</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Model drift.</w:t>
      </w:r>
      <w:r>
        <w:rPr>
          <w:rFonts w:ascii="Calibri" w:cs="Calibri" w:eastAsia="Calibri" w:hAnsi="Calibri"/>
          <w:b w:val="false"/>
          <w:bCs w:val="false"/>
          <w:i w:val="false"/>
          <w:iCs w:val="false"/>
          <w:color w:val="1A1A1A"/>
          <w:sz w:val="22"/>
          <w:szCs w:val="22"/>
        </w:rPr>
        <w:t xml:space="preserve"> No document discloses how frequently talabat retrains or monitors its personalisation models per market — if Egypt's rapidly growing, still-immature customer base shifts behavior faster than a shared, Group-wide model retraining cadence accounts for, recommendation relevance could degrade over the plan's multi-year horizon without a dedicated Egypt monitoring signal.</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Algorithmic bias/fairness risk (labeled explicitly synthetic — no source in the corpus discusses talabat's AI bias/fairness posture; this bullet is this plan's own reasoned extension of an already-evidenced gap, not a corpus citation).</w:t>
      </w:r>
      <w:r>
        <w:rPr>
          <w:rFonts w:ascii="Calibri" w:cs="Calibri" w:eastAsia="Calibri" w:hAnsi="Calibri"/>
          <w:b w:val="false"/>
          <w:bCs w:val="false"/>
          <w:i w:val="false"/>
          <w:iCs w:val="false"/>
          <w:color w:val="1A1A1A"/>
          <w:sz w:val="22"/>
          <w:szCs w:val="22"/>
        </w:rPr>
        <w:t xml:space="preserve"> A recommendation/cross-sell/adtech model trained predominantly on GCC behavioral data, then extended to Egypt, carries a real risk of systematically under-serving or mis-ranking Egyptian customer segments the training population does not represent — most plausibly the price-sensitive, non-high-value, or newly-onboarded segments this plan's own Market Risks category already documents as under macro pressure (food inflation, EGP devaluation). This is a distinct failure mode from Model Transfer Risk above: transfer risk is about whether the model performs as well in Egypt (an accuracy/performance question); bias risk is about whether it performs </w:t>
      </w:r>
      <w:r>
        <w:rPr>
          <w:rFonts w:ascii="Calibri" w:cs="Calibri" w:eastAsia="Calibri" w:hAnsi="Calibri"/>
          <w:b w:val="false"/>
          <w:bCs w:val="false"/>
          <w:i/>
          <w:iCs/>
          <w:color w:val="1A1A1A"/>
          <w:sz w:val="22"/>
          <w:szCs w:val="22"/>
        </w:rPr>
        <w:t xml:space="preserve">unevenly across</w:t>
      </w:r>
      <w:r>
        <w:rPr>
          <w:rFonts w:ascii="Calibri" w:cs="Calibri" w:eastAsia="Calibri" w:hAnsi="Calibri"/>
          <w:b w:val="false"/>
          <w:bCs w:val="false"/>
          <w:i w:val="false"/>
          <w:iCs w:val="false"/>
          <w:color w:val="1A1A1A"/>
          <w:sz w:val="22"/>
          <w:szCs w:val="22"/>
        </w:rPr>
        <w:t xml:space="preserve"> Egyptian customer segments even if its aggregate performance looks acceptable (a fairness/ equity question) — the template names these as separate risks for exactly this reason, and this section does not collapse them into one bullet.</w:t>
      </w:r>
    </w:p>
    <w:p>
      <w:pPr>
        <w:pStyle w:val="Heading3"/>
        <w:spacing w:after="100" w:before="220"/>
      </w:pPr>
      <w:r>
        <w:t xml:space="preserve">Market Risks</w:t>
      </w:r>
    </w:p>
    <w:p>
      <w:pPr>
        <w:spacing w:after="160" w:before="120" w:line="276"/>
      </w:pPr>
      <w:r>
        <w:rPr>
          <w:rFonts w:ascii="Calibri" w:cs="Calibri" w:eastAsia="Calibri" w:hAnsi="Calibri"/>
          <w:b w:val="false"/>
          <w:bCs w:val="false"/>
          <w:i w:val="false"/>
          <w:iCs w:val="false"/>
          <w:color w:val="1A1A1A"/>
          <w:sz w:val="22"/>
          <w:szCs w:val="22"/>
        </w:rPr>
        <w:t xml:space="preserve">Fully detailed in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§3.3 (Threats quadrant) and §3.1 (macro context) — referenced here, not re-derived, per this plan's own exhibit-discipline convention:</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Named local competitors (Breadfast, Rabbit, elmenus — </w:t>
      </w:r>
      <w:r>
        <w:rPr>
          <w:rFonts w:ascii="Consolas" w:cs="Consolas" w:eastAsia="Consolas" w:hAnsi="Consolas"/>
          <w:b w:val="false"/>
          <w:bCs w:val="false"/>
          <w:i w:val="false"/>
          <w:iCs w:val="false"/>
          <w:color w:val="1A1A1A"/>
          <w:sz w:val="22"/>
          <w:szCs w:val="22"/>
        </w:rPr>
        <w:t xml:space="preserve">ASM-002</w:t>
      </w:r>
      <w:r>
        <w:rPr>
          <w:rFonts w:ascii="Calibri" w:cs="Calibri" w:eastAsia="Calibri" w:hAnsi="Calibri"/>
          <w:b w:val="false"/>
          <w:bCs w:val="false"/>
          <w:i w:val="false"/>
          <w:iCs w:val="false"/>
          <w:color w:val="1A1A1A"/>
          <w:sz w:val="22"/>
          <w:szCs w:val="22"/>
        </w:rPr>
        <w:t xml:space="preserve">/RES-001, secondary corpus, labeled) contesting a category position talabat has historically won on scale.</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Macro/consumer-economics pressure (food inflation +71.9% y/y, EGP devaluation — </w:t>
      </w:r>
      <w:r>
        <w:rPr>
          <w:rFonts w:ascii="Consolas" w:cs="Consolas" w:eastAsia="Consolas" w:hAnsi="Consolas"/>
          <w:b w:val="false"/>
          <w:bCs w:val="false"/>
          <w:i w:val="false"/>
          <w:iCs w:val="false"/>
          <w:color w:val="1A1A1A"/>
          <w:sz w:val="22"/>
          <w:szCs w:val="22"/>
        </w:rPr>
        <w:t xml:space="preserve">ASM-003</w:t>
      </w:r>
      <w:r>
        <w:rPr>
          <w:rFonts w:ascii="Calibri" w:cs="Calibri" w:eastAsia="Calibri" w:hAnsi="Calibri"/>
          <w:b w:val="false"/>
          <w:bCs w:val="false"/>
          <w:i w:val="false"/>
          <w:iCs w:val="false"/>
          <w:color w:val="1A1A1A"/>
          <w:sz w:val="22"/>
          <w:szCs w:val="22"/>
        </w:rPr>
        <w:t xml:space="preserve">/RES-003) compressing discretionary delivery spend independent of any single competitor.</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The analogous competitive-erosion pattern already observed in the UAE/Kuwait/Qatar (non-high-value customer M1 retention −4% YoY, attributed to "competitive pressure," TLB-019 p.9) — not confirmed for Egypt, but the closest evidenced precedent for what intensifying local competition could do as Egypt's market matures.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Adoption-barrier risk, new to this section:</w:t>
      </w:r>
      <w:r>
        <w:rPr>
          <w:rFonts w:ascii="Calibri" w:cs="Calibri" w:eastAsia="Calibri" w:hAnsi="Calibri"/>
          <w:b w:val="false"/>
          <w:bCs w:val="false"/>
          <w:i w:val="false"/>
          <w:iCs w:val="false"/>
          <w:color w:val="1A1A1A"/>
          <w:sz w:val="22"/>
          <w:szCs w:val="22"/>
        </w:rPr>
        <w:t xml:space="preserve"> Egypt customers may simply not respond to AI-personalised recommendations/cross-sell/adtech the way GCC customers have — a market-adoption risk distinct from a technical model-quality risk, since even a technically well-functioning recommendation could fail to shift Egyptian purchasing behavior for reasons the corpus cannot predict (price sensitivity, trust in algorithmic recommendations, app-usage patterns).</w:t>
      </w:r>
    </w:p>
    <w:p>
      <w:pPr>
        <w:pStyle w:val="Heading3"/>
        <w:spacing w:after="100" w:before="220"/>
      </w:pPr>
      <w:r>
        <w:t xml:space="preserve">Financial Risks</w:t>
      </w:r>
    </w:p>
    <w:p>
      <w:pPr>
        <w:spacing w:after="160" w:before="120" w:line="276"/>
      </w:pPr>
      <w:r>
        <w:rPr>
          <w:rFonts w:ascii="Calibri" w:cs="Calibri" w:eastAsia="Calibri" w:hAnsi="Calibri"/>
          <w:b/>
          <w:bCs/>
          <w:i w:val="false"/>
          <w:iCs w:val="false"/>
          <w:color w:val="1A1A1A"/>
          <w:sz w:val="22"/>
          <w:szCs w:val="22"/>
        </w:rPr>
        <w:t xml:space="preserve">This is the section's deliberate integration test with </w:t>
      </w:r>
      <w:r>
        <w:rPr>
          <w:rFonts w:ascii="Calibri" w:cs="Calibri" w:eastAsia="Calibri" w:hAnsi="Calibri"/>
          <w:b/>
          <w:bCs/>
          <w:i w:val="false"/>
          <w:iCs w:val="false"/>
          <w:color w:val="1A1A1A"/>
          <w:sz w:val="22"/>
          <w:szCs w:val="22"/>
        </w:rPr>
        <w:t xml:space="preserve">Section 9</w:t>
      </w:r>
      <w:r>
        <w:rPr>
          <w:rFonts w:ascii="Calibri" w:cs="Calibri" w:eastAsia="Calibri" w:hAnsi="Calibri"/>
          <w:b/>
          <w:bCs/>
          <w:i w:val="false"/>
          <w:iCs w:val="false"/>
          <w:color w:val="1A1A1A"/>
          <w:sz w:val="22"/>
          <w:szCs w:val="22"/>
        </w:rPr>
        <w:t xml:space="preserve">'s Forecast Layer — not a restatement of Section 9's numbers, but a re-reading of its own confidence tags as risk inputs: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The upside case's Low confidence is itself the largest financial risk to this plan's own investment case, not just a caveat on it.</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ASM-008</w:t>
      </w:r>
      <w:r>
        <w:rPr>
          <w:rFonts w:ascii="Calibri" w:cs="Calibri" w:eastAsia="Calibri" w:hAnsi="Calibri"/>
          <w:b w:val="false"/>
          <w:bCs w:val="false"/>
          <w:i w:val="false"/>
          <w:iCs w:val="false"/>
          <w:color w:val="1A1A1A"/>
          <w:sz w:val="22"/>
          <w:szCs w:val="22"/>
        </w:rPr>
        <w:t xml:space="preserve"> (order-frequency uplift via the DEC-003 mechanism) and </w:t>
      </w:r>
      <w:r>
        <w:rPr>
          <w:rFonts w:ascii="Consolas" w:cs="Consolas" w:eastAsia="Consolas" w:hAnsi="Consolas"/>
          <w:b w:val="false"/>
          <w:bCs w:val="false"/>
          <w:i w:val="false"/>
          <w:iCs w:val="false"/>
          <w:color w:val="1A1A1A"/>
          <w:sz w:val="22"/>
          <w:szCs w:val="22"/>
        </w:rPr>
        <w:t xml:space="preserve">ASM-011</w:t>
      </w:r>
      <w:r>
        <w:rPr>
          <w:rFonts w:ascii="Calibri" w:cs="Calibri" w:eastAsia="Calibri" w:hAnsi="Calibri"/>
          <w:b w:val="false"/>
          <w:bCs w:val="false"/>
          <w:i w:val="false"/>
          <w:iCs w:val="false"/>
          <w:color w:val="1A1A1A"/>
          <w:sz w:val="22"/>
          <w:szCs w:val="22"/>
        </w:rPr>
        <w:t xml:space="preserve"> (advertising penetration) are both tagged Low confidence in </w:t>
      </w:r>
      <w:r>
        <w:rPr>
          <w:rFonts w:ascii="Consolas" w:cs="Consolas" w:eastAsia="Consolas" w:hAnsi="Consolas"/>
          <w:b w:val="false"/>
          <w:bCs w:val="false"/>
          <w:i w:val="false"/>
          <w:iCs w:val="false"/>
          <w:color w:val="1A1A1A"/>
          <w:sz w:val="22"/>
          <w:szCs w:val="22"/>
        </w:rPr>
        <w:t xml:space="preserve">Value_Driver_Tree.md</w:t>
      </w:r>
      <w:r>
        <w:rPr>
          <w:rFonts w:ascii="Calibri" w:cs="Calibri" w:eastAsia="Calibri" w:hAnsi="Calibri"/>
          <w:b w:val="false"/>
          <w:bCs w:val="false"/>
          <w:i w:val="false"/>
          <w:iCs w:val="false"/>
          <w:color w:val="1A1A1A"/>
          <w:sz w:val="22"/>
          <w:szCs w:val="22"/>
        </w:rPr>
        <w:t xml:space="preserve"> precisely because they extrapolate Group/GCC evidence to an Egypt population explicitly excluded from the original measurement (</w:t>
      </w:r>
      <w:r>
        <w:rPr>
          <w:rFonts w:ascii="Consolas" w:cs="Consolas" w:eastAsia="Consolas" w:hAnsi="Consolas"/>
          <w:b w:val="false"/>
          <w:bCs w:val="false"/>
          <w:i w:val="false"/>
          <w:iCs w:val="false"/>
          <w:color w:val="1A1A1A"/>
          <w:sz w:val="22"/>
          <w:szCs w:val="22"/>
        </w:rPr>
        <w:t xml:space="preserve">Strategic/Customer Retention Drivers.md</w:t>
      </w:r>
      <w:r>
        <w:rPr>
          <w:rFonts w:ascii="Calibri" w:cs="Calibri" w:eastAsia="Calibri" w:hAnsi="Calibri"/>
          <w:b w:val="false"/>
          <w:bCs w:val="false"/>
          <w:i w:val="false"/>
          <w:iCs w:val="false"/>
          <w:color w:val="1A1A1A"/>
          <w:sz w:val="22"/>
          <w:szCs w:val="22"/>
        </w:rPr>
        <w:t xml:space="preserve">). Read as a financial risk rather than a forecasting caveat: </w:t>
      </w:r>
      <w:r>
        <w:rPr>
          <w:rFonts w:ascii="Calibri" w:cs="Calibri" w:eastAsia="Calibri" w:hAnsi="Calibri"/>
          <w:b/>
          <w:bCs/>
          <w:i w:val="false"/>
          <w:iCs w:val="false"/>
          <w:color w:val="1A1A1A"/>
          <w:sz w:val="22"/>
          <w:szCs w:val="22"/>
        </w:rPr>
        <w:t xml:space="preserve">if Egypt's response to the AI-roadmap extension underperforms the Group pattern, the illustrative ≈USD53.9m incremental-revenue break-even threshold (Section 9 §9.4) will not be met</w:t>
      </w:r>
      <w:r>
        <w:rPr>
          <w:rFonts w:ascii="Calibri" w:cs="Calibri" w:eastAsia="Calibri" w:hAnsi="Calibri"/>
          <w:b w:val="false"/>
          <w:bCs w:val="false"/>
          <w:i w:val="false"/>
          <w:iCs w:val="false"/>
          <w:color w:val="1A1A1A"/>
          <w:sz w:val="22"/>
          <w:szCs w:val="22"/>
        </w:rPr>
        <w:t xml:space="preserve">, and the ≈USD13.2m illustrative investment (</w:t>
      </w:r>
      <w:r>
        <w:rPr>
          <w:rFonts w:ascii="Consolas" w:cs="Consolas" w:eastAsia="Consolas" w:hAnsi="Consolas"/>
          <w:b w:val="false"/>
          <w:bCs w:val="false"/>
          <w:i w:val="false"/>
          <w:iCs w:val="false"/>
          <w:color w:val="1A1A1A"/>
          <w:sz w:val="22"/>
          <w:szCs w:val="22"/>
        </w:rPr>
        <w:t xml:space="preserve">ASM-012</w:t>
      </w:r>
      <w:r>
        <w:rPr>
          <w:rFonts w:ascii="Calibri" w:cs="Calibri" w:eastAsia="Calibri" w:hAnsi="Calibri"/>
          <w:b w:val="false"/>
          <w:bCs w:val="false"/>
          <w:i w:val="false"/>
          <w:iCs w:val="false"/>
          <w:color w:val="1A1A1A"/>
          <w:sz w:val="22"/>
          <w:szCs w:val="22"/>
        </w:rPr>
        <w:t xml:space="preserve">) will sit closer to Section 9's base case (no intervention credit) than its upside case — the exact gap </w:t>
      </w:r>
      <w:r>
        <w:rPr>
          <w:rFonts w:ascii="Calibri" w:cs="Calibri" w:eastAsia="Calibri" w:hAnsi="Calibri"/>
          <w:b w:val="false"/>
          <w:bCs w:val="false"/>
          <w:i w:val="false"/>
          <w:iCs w:val="false"/>
          <w:color w:val="1A1A1A"/>
          <w:sz w:val="22"/>
          <w:szCs w:val="22"/>
        </w:rPr>
        <w:t xml:space="preserve"> DEC-005</w:t>
      </w:r>
      <w:r>
        <w:rPr>
          <w:rFonts w:ascii="Calibri" w:cs="Calibri" w:eastAsia="Calibri" w:hAnsi="Calibri"/>
          <w:b w:val="false"/>
          <w:bCs w:val="false"/>
          <w:i w:val="false"/>
          <w:iCs w:val="false"/>
          <w:color w:val="1A1A1A"/>
          <w:sz w:val="22"/>
          <w:szCs w:val="22"/>
        </w:rPr>
        <w:t xml:space="preserve">'s framing was designed to keep visible, not hide.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Cost-overrun risk on the investment estimate itself.</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ASM-012</w:t>
      </w:r>
      <w:r>
        <w:rPr>
          <w:rFonts w:ascii="Calibri" w:cs="Calibri" w:eastAsia="Calibri" w:hAnsi="Calibri"/>
          <w:b w:val="false"/>
          <w:bCs w:val="false"/>
          <w:i w:val="false"/>
          <w:iCs w:val="false"/>
          <w:color w:val="1A1A1A"/>
          <w:sz w:val="22"/>
          <w:szCs w:val="22"/>
        </w:rPr>
        <w:t xml:space="preserve">'s ≈USD13.2m figure is an illustrative pro-rata proxy with no disclosed talabat allocation methodology behind it (Section 9 §9.2) — the real cost of extending Group AI capability to Egypt (integration engineering, Egypt-specific monitoring/instrumentation for the newly-instrumented KPIs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 defines) could plausibly exceed this estimate, since it was never built as a bottom-up cost model.</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Capital-envelope risk.</w:t>
      </w:r>
      <w:r>
        <w:rPr>
          <w:rFonts w:ascii="Calibri" w:cs="Calibri" w:eastAsia="Calibri" w:hAnsi="Calibri"/>
          <w:b w:val="false"/>
          <w:bCs w:val="false"/>
          <w:i w:val="false"/>
          <w:iCs w:val="false"/>
          <w:color w:val="1A1A1A"/>
          <w:sz w:val="22"/>
          <w:szCs w:val="22"/>
        </w:rPr>
        <w:t xml:space="preserve"> The ≈USD13.2m sits inside the Group's ~USD120mn Everyday App allocation, itself part of the USD175mn Board-approved 2026 total (</w:t>
      </w:r>
      <w:r>
        <w:rPr>
          <w:rFonts w:ascii="Consolas" w:cs="Consolas" w:eastAsia="Consolas" w:hAnsi="Consolas"/>
          <w:b w:val="false"/>
          <w:bCs w:val="false"/>
          <w:i w:val="false"/>
          <w:iCs w:val="false"/>
          <w:color w:val="1A1A1A"/>
          <w:sz w:val="22"/>
          <w:szCs w:val="22"/>
        </w:rPr>
        <w:t xml:space="preserve">DEC-004</w:t>
      </w:r>
      <w:r>
        <w:rPr>
          <w:rFonts w:ascii="Calibri" w:cs="Calibri" w:eastAsia="Calibri" w:hAnsi="Calibri"/>
          <w:b w:val="false"/>
          <w:bCs w:val="false"/>
          <w:i w:val="false"/>
          <w:iCs w:val="false"/>
          <w:color w:val="1A1A1A"/>
          <w:sz w:val="22"/>
          <w:szCs w:val="22"/>
        </w:rPr>
        <w:t xml:space="preserve">). Group Adjusted EBITDA margin is already guided down to 4.4–4.8% of GMV for FY2026 (from 6.5% FY2025) as a deliberate consequence of this same investment programme (</w:t>
      </w:r>
      <w:r>
        <w:rPr>
          <w:rFonts w:ascii="Consolas" w:cs="Consolas" w:eastAsia="Consolas" w:hAnsi="Consolas"/>
          <w:b w:val="false"/>
          <w:bCs w:val="false"/>
          <w:i w:val="false"/>
          <w:iCs w:val="false"/>
          <w:color w:val="1A1A1A"/>
          <w:sz w:val="22"/>
          <w:szCs w:val="22"/>
        </w:rPr>
        <w:t xml:space="preserve">Strategic/Strategic Risks.md</w:t>
      </w:r>
      <w:r>
        <w:rPr>
          <w:rFonts w:ascii="Calibri" w:cs="Calibri" w:eastAsia="Calibri" w:hAnsi="Calibri"/>
          <w:b w:val="false"/>
          <w:bCs w:val="false"/>
          <w:i w:val="false"/>
          <w:iCs w:val="false"/>
          <w:color w:val="1A1A1A"/>
          <w:sz w:val="22"/>
          <w:szCs w:val="22"/>
        </w:rPr>
        <w:t xml:space="preserve">, TLB-020) — if Group-level margin pressure exceeds what guidance already prices in, the Everyday App envelope this plan's ask sits inside is itself at risk of being trimmed at the Board level, for reasons entirely outside Egypt's own performance.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FX/currency risk.</w:t>
      </w:r>
      <w:r>
        <w:rPr>
          <w:rFonts w:ascii="Calibri" w:cs="Calibri" w:eastAsia="Calibri" w:hAnsi="Calibri"/>
          <w:b w:val="false"/>
          <w:bCs w:val="false"/>
          <w:i w:val="false"/>
          <w:iCs w:val="false"/>
          <w:color w:val="1A1A1A"/>
          <w:sz w:val="22"/>
          <w:szCs w:val="22"/>
        </w:rPr>
        <w:t xml:space="preserve"> Egypt's YtD currency depreciation is already incorporated into FY2026 guidance, with "GMV inflation-hedge dynamics" cited by management as a partial offset — the single most Egypt-specific risk statement in the entire corpus (</w:t>
      </w:r>
      <w:r>
        <w:rPr>
          <w:rFonts w:ascii="Consolas" w:cs="Consolas" w:eastAsia="Consolas" w:hAnsi="Consolas"/>
          <w:b w:val="false"/>
          <w:bCs w:val="false"/>
          <w:i w:val="false"/>
          <w:iCs w:val="false"/>
          <w:color w:val="1A1A1A"/>
          <w:sz w:val="22"/>
          <w:szCs w:val="22"/>
        </w:rPr>
        <w:t xml:space="preserve">Strategic/Strategic Risks.md</w:t>
      </w:r>
      <w:r>
        <w:rPr>
          <w:rFonts w:ascii="Calibri" w:cs="Calibri" w:eastAsia="Calibri" w:hAnsi="Calibri"/>
          <w:b w:val="false"/>
          <w:bCs w:val="false"/>
          <w:i w:val="false"/>
          <w:iCs w:val="false"/>
          <w:color w:val="1A1A1A"/>
          <w:sz w:val="22"/>
          <w:szCs w:val="22"/>
        </w:rPr>
        <w:t xml:space="preserve">, TLB-020 p.14). The magnitude of further depreciation is not quantified anywhere.</w:t>
      </w:r>
    </w:p>
    <w:p>
      <w:pPr>
        <w:pStyle w:val="Heading3"/>
        <w:spacing w:after="100" w:before="220"/>
      </w:pPr>
      <w:r>
        <w:t xml:space="preserve">Organizational Risks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Governance/sponsorship continuity risk.</w:t>
      </w:r>
      <w:r>
        <w:rPr>
          <w:rFonts w:ascii="Calibri" w:cs="Calibri" w:eastAsia="Calibri" w:hAnsi="Calibri"/>
          <w:b w:val="false"/>
          <w:bCs w:val="false"/>
          <w:i w:val="false"/>
          <w:iCs w:val="false"/>
          <w:color w:val="1A1A1A"/>
          <w:sz w:val="22"/>
          <w:szCs w:val="22"/>
        </w:rPr>
        <w:t xml:space="preserve"> An unexplained CEO transition (Rodriguez → Gyssels) and board-seat change (Al Jbori → Al-Halabi) both occur in the corpus's timeline without narration (</w:t>
      </w:r>
      <w:r>
        <w:rPr>
          <w:rFonts w:ascii="Consolas" w:cs="Consolas" w:eastAsia="Consolas" w:hAnsi="Consolas"/>
          <w:b w:val="false"/>
          <w:bCs w:val="false"/>
          <w:i w:val="false"/>
          <w:iCs w:val="false"/>
          <w:color w:val="1A1A1A"/>
          <w:sz w:val="22"/>
          <w:szCs w:val="22"/>
        </w:rPr>
        <w:t xml:space="preserve">Strategic/Strategic Risks.md</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Strategic/Decision-Making Process.md</w:t>
      </w:r>
      <w:r>
        <w:rPr>
          <w:rFonts w:ascii="Calibri" w:cs="Calibri" w:eastAsia="Calibri" w:hAnsi="Calibri"/>
          <w:b w:val="false"/>
          <w:bCs w:val="false"/>
          <w:i w:val="false"/>
          <w:iCs w:val="false"/>
          <w:color w:val="1A1A1A"/>
          <w:sz w:val="22"/>
          <w:szCs w:val="22"/>
        </w:rPr>
        <w:t xml:space="preserve">). Because Talabat Holding PLC's board is dominated by Delivery Hero SE officers and any Egypt investment competes for capital at the Group level, a multi-year Egypt retention programme's continued sponsorship depends on leadership continuity this plan cannot verify.</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Delivery-reliability dependency risk.</w:t>
      </w:r>
      <w:r>
        <w:rPr>
          <w:rFonts w:ascii="Calibri" w:cs="Calibri" w:eastAsia="Calibri" w:hAnsi="Calibri"/>
          <w:b w:val="false"/>
          <w:bCs w:val="false"/>
          <w:i w:val="false"/>
          <w:iCs w:val="false"/>
          <w:color w:val="1A1A1A"/>
          <w:sz w:val="22"/>
          <w:szCs w:val="22"/>
        </w:rPr>
        <w:t xml:space="preserve"> ~90–95% of talabat's delivery workforce operates via third-party logistics or freelance arrangements (</w:t>
      </w:r>
      <w:r>
        <w:rPr>
          <w:rFonts w:ascii="Consolas" w:cs="Consolas" w:eastAsia="Consolas" w:hAnsi="Consolas"/>
          <w:b w:val="false"/>
          <w:bCs w:val="false"/>
          <w:i w:val="false"/>
          <w:iCs w:val="false"/>
          <w:color w:val="1A1A1A"/>
          <w:sz w:val="22"/>
          <w:szCs w:val="22"/>
        </w:rPr>
        <w:t xml:space="preserve">Strategic/Competitive Weaknesses.md</w:t>
      </w:r>
      <w:r>
        <w:rPr>
          <w:rFonts w:ascii="Calibri" w:cs="Calibri" w:eastAsia="Calibri" w:hAnsi="Calibri"/>
          <w:b w:val="false"/>
          <w:bCs w:val="false"/>
          <w:i w:val="false"/>
          <w:iCs w:val="false"/>
          <w:color w:val="1A1A1A"/>
          <w:sz w:val="22"/>
          <w:szCs w:val="22"/>
        </w:rPr>
        <w:t xml:space="preserve">, TLB-001 p.34, p.47) — talabat itself names this a labour-compliance and service-quality-control risk. </w:t>
      </w:r>
      <w:r>
        <w:rPr>
          <w:rFonts w:ascii="Calibri" w:cs="Calibri" w:eastAsia="Calibri" w:hAnsi="Calibri"/>
          <w:b/>
          <w:bCs/>
          <w:i w:val="false"/>
          <w:iCs w:val="false"/>
          <w:color w:val="1A1A1A"/>
          <w:sz w:val="22"/>
          <w:szCs w:val="22"/>
        </w:rPr>
        <w:t xml:space="preserve">This is a Group-wide figure; no Egypt-specific rider-sourcing breakdown is disclosed, and the corpus does not state whether Egypt's model differs from the GCC's</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Strategic/Competitive Weaknesses.md</w:t>
      </w:r>
      <w:r>
        <w:rPr>
          <w:rFonts w:ascii="Calibri" w:cs="Calibri" w:eastAsia="Calibri" w:hAnsi="Calibri"/>
          <w:b w:val="false"/>
          <w:bCs w:val="false"/>
          <w:i w:val="false"/>
          <w:iCs w:val="false"/>
          <w:color w:val="1A1A1A"/>
          <w:sz w:val="22"/>
          <w:szCs w:val="22"/>
        </w:rPr>
        <w:t xml:space="preserve">'s own Open Questions). Because consistent delivery experience is a precondition for the AI-personalisation-driven loyalty this plan recommends, execution quality on a dependency talabat does not fully control — and cannot yet be confirmed or ruled out as more or less acute in Egypt specifically — is a real organizational risk to the retention thesis, independent of whether the AI capability itself works.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AI-capability ownership ambiguity.</w:t>
      </w:r>
      <w:r>
        <w:rPr>
          <w:rFonts w:ascii="Calibri" w:cs="Calibri" w:eastAsia="Calibri" w:hAnsi="Calibri"/>
          <w:b w:val="false"/>
          <w:bCs w:val="false"/>
          <w:i w:val="false"/>
          <w:iCs w:val="false"/>
          <w:color w:val="1A1A1A"/>
          <w:sz w:val="22"/>
          <w:szCs w:val="22"/>
        </w:rPr>
        <w:t xml:space="preserve"> Because the corpus never confirms whether Egypt-specific AI deployment is owned by a dedicated Egypt team or the shared Group Tech hub, this plan cannot state with confidence who inside talabat would actually execute the recommended roadmap extension — an organizational-clarity gap, not a technical one.</w:t>
      </w:r>
    </w:p>
    <w:p>
      <w:pPr>
        <w:pStyle w:val="Heading3"/>
        <w:spacing w:after="100" w:before="220"/>
      </w:pPr>
      <w:r>
        <w:t xml:space="preserve">Regulatory Risks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Regulatory exposure precedent.</w:t>
      </w:r>
      <w:r>
        <w:rPr>
          <w:rFonts w:ascii="Calibri" w:cs="Calibri" w:eastAsia="Calibri" w:hAnsi="Calibri"/>
          <w:b w:val="false"/>
          <w:bCs w:val="false"/>
          <w:i w:val="false"/>
          <w:iCs w:val="false"/>
          <w:color w:val="1A1A1A"/>
          <w:sz w:val="22"/>
          <w:szCs w:val="22"/>
        </w:rPr>
        <w:t xml:space="preserve"> talabat's scale has already triggered antitrust/regulatory action in five of its eight markets (Kuwait, UAE, Iraq investigations; a Qatar commission-rate cap; Oman licensing disputes — </w:t>
      </w:r>
      <w:r>
        <w:rPr>
          <w:rFonts w:ascii="Consolas" w:cs="Consolas" w:eastAsia="Consolas" w:hAnsi="Consolas"/>
          <w:b w:val="false"/>
          <w:bCs w:val="false"/>
          <w:i w:val="false"/>
          <w:iCs w:val="false"/>
          <w:color w:val="1A1A1A"/>
          <w:sz w:val="22"/>
          <w:szCs w:val="22"/>
        </w:rPr>
        <w:t xml:space="preserve">Strategic/Competitive Weaknesses.md</w:t>
      </w:r>
      <w:r>
        <w:rPr>
          <w:rFonts w:ascii="Calibri" w:cs="Calibri" w:eastAsia="Calibri" w:hAnsi="Calibri"/>
          <w:b w:val="false"/>
          <w:bCs w:val="false"/>
          <w:i w:val="false"/>
          <w:iCs w:val="false"/>
          <w:color w:val="1A1A1A"/>
          <w:sz w:val="22"/>
          <w:szCs w:val="22"/>
        </w:rPr>
        <w:t xml:space="preserve">). No Egypt-specific action is disclosed, but the corpus's own language ties this scrutiny explicitly to market dominance — and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already establishes talabat holds a leading Egypt category position (4x+ conservative framing per </w:t>
      </w:r>
      <w:r>
        <w:rPr>
          <w:rFonts w:ascii="Consolas" w:cs="Consolas" w:eastAsia="Consolas" w:hAnsi="Consolas"/>
          <w:b w:val="false"/>
          <w:bCs w:val="false"/>
          <w:i w:val="false"/>
          <w:iCs w:val="false"/>
          <w:color w:val="1A1A1A"/>
          <w:sz w:val="22"/>
          <w:szCs w:val="22"/>
        </w:rPr>
        <w:t xml:space="preserve">DEC-001</w:t>
      </w:r>
      <w:r>
        <w:rPr>
          <w:rFonts w:ascii="Calibri" w:cs="Calibri" w:eastAsia="Calibri" w:hAnsi="Calibri"/>
          <w:b w:val="false"/>
          <w:bCs w:val="false"/>
          <w:i w:val="false"/>
          <w:iCs w:val="false"/>
          <w:color w:val="1A1A1A"/>
          <w:sz w:val="22"/>
          <w:szCs w:val="22"/>
        </w:rPr>
        <w:t xml:space="preserve">). This is a plausible, not confirmed, future Egypt risk worth naming rather than assuming won't happen because it hasn't yet. Kept as its own category, distinct from Organizational Risks above, because it originates externally (regulators) rather than from talabat's own people, process, or governance — the same technology/market/money/people/rules distinction §10.1 opens with.</w:t>
      </w:r>
    </w:p>
    <w:p>
      <w:pPr>
        <w:pStyle w:val="Heading2"/>
        <w:spacing w:after="120" w:before="280"/>
      </w:pPr>
      <w:r>
        <w:t xml:space="preserve">10.2 Probability–Impact Matrix</w:t>
      </w:r>
    </w:p>
    <w:p>
      <w:pPr>
        <w:spacing w:after="160" w:before="120" w:line="276"/>
      </w:pPr>
      <w:r>
        <w:rPr>
          <w:rFonts w:ascii="Calibri" w:cs="Calibri" w:eastAsia="Calibri" w:hAnsi="Calibri"/>
          <w:b/>
          <w:bCs/>
          <w:i w:val="false"/>
          <w:iCs w:val="false"/>
          <w:color w:val="1A1A1A"/>
          <w:sz w:val="22"/>
          <w:szCs w:val="22"/>
        </w:rPr>
        <w:t xml:space="preserve">Labeled explicitly synthetic</w:t>
      </w:r>
      <w:r>
        <w:rPr>
          <w:rFonts w:ascii="Calibri" w:cs="Calibri" w:eastAsia="Calibri" w:hAnsi="Calibri"/>
          <w:b w:val="false"/>
          <w:bCs w:val="false"/>
          <w:i w:val="false"/>
          <w:iCs w:val="false"/>
          <w:color w:val="1A1A1A"/>
          <w:sz w:val="22"/>
          <w:szCs w:val="22"/>
        </w:rPr>
        <w:t xml:space="preserve"> — the corpus discloses no probability data for any of these risks; the levels below are this plan's own qualitative judgment, stated with reasoning, not derived from any disclosed talabat risk-scoring methodology (none exists in the corpus, per </w:t>
      </w:r>
      <w:r>
        <w:rPr>
          <w:rFonts w:ascii="Consolas" w:cs="Consolas" w:eastAsia="Consolas" w:hAnsi="Consolas"/>
          <w:b w:val="false"/>
          <w:bCs w:val="false"/>
          <w:i w:val="false"/>
          <w:iCs w:val="false"/>
          <w:color w:val="1A1A1A"/>
          <w:sz w:val="22"/>
          <w:szCs w:val="22"/>
        </w:rPr>
        <w:t xml:space="preserve">Strategic/Decision-Making Process.md</w:t>
      </w:r>
      <w:r>
        <w:rPr>
          <w:rFonts w:ascii="Calibri" w:cs="Calibri" w:eastAsia="Calibri" w:hAnsi="Calibri"/>
          <w:b w:val="false"/>
          <w:bCs w:val="false"/>
          <w:i w:val="false"/>
          <w:iCs w:val="false"/>
          <w:color w:val="1A1A1A"/>
          <w:sz w:val="22"/>
          <w:szCs w:val="22"/>
        </w:rPr>
        <w:t xml:space="preserve">'s own honesty about undisclosed internal governance mechanics).</w:t>
      </w:r>
    </w:p>
    <w:p>
      <w:pPr>
        <w:spacing w:after="40" w:before="60"/>
      </w:pPr>
      <w:r>
        <w:rPr>
          <w:rFonts w:ascii="Calibri" w:cs="Calibri" w:eastAsia="Calibri" w:hAnsi="Calibri"/>
          <w:b/>
          <w:bCs/>
          <w:i/>
          <w:iCs/>
          <w:color w:val="595959"/>
          <w:sz w:val="18"/>
          <w:szCs w:val="18"/>
        </w:rPr>
        <w:t xml:space="preserve">Table 12.</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72"/>
        <w:gridCol w:w="1872"/>
        <w:gridCol w:w="1872"/>
        <w:gridCol w:w="1872"/>
        <w:gridCol w:w="1872"/>
      </w:tblGrid>
      <w:tr>
        <w:trPr>
          <w:tblHeader/>
        </w:trPr>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Risk</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Category</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Probability</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Impact</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Rationale for the rating</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Upside case underperforms base case (intervention effect weaker than Group pattern in Egypt)</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Financial</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High</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High</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 confidence" (</w:t>
            </w:r>
            <w:r>
              <w:rPr>
                <w:rFonts w:ascii="Consolas" w:cs="Consolas" w:eastAsia="Consolas" w:hAnsi="Consolas"/>
                <w:b w:val="false"/>
                <w:bCs w:val="false"/>
                <w:i w:val="false"/>
                <w:iCs w:val="false"/>
                <w:color w:val="1A1A1A"/>
                <w:sz w:val="18"/>
                <w:szCs w:val="18"/>
              </w:rPr>
              <w:t xml:space="preserve">ASM-008</w:t>
            </w:r>
            <w:r>
              <w:rPr>
                <w:rFonts w:ascii="Calibri" w:cs="Calibri" w:eastAsia="Calibri" w:hAnsi="Calibri"/>
                <w:b w:val="false"/>
                <w:bCs w:val="false"/>
                <w:i w:val="false"/>
                <w:iCs w:val="false"/>
                <w:color w:val="1A1A1A"/>
                <w:sz w:val="18"/>
                <w:szCs w:val="18"/>
              </w:rPr>
              <w:t xml:space="preserve">/</w:t>
            </w:r>
            <w:r>
              <w:rPr>
                <w:rFonts w:ascii="Consolas" w:cs="Consolas" w:eastAsia="Consolas" w:hAnsi="Consolas"/>
                <w:b w:val="false"/>
                <w:bCs w:val="false"/>
                <w:i w:val="false"/>
                <w:iCs w:val="false"/>
                <w:color w:val="1A1A1A"/>
                <w:sz w:val="18"/>
                <w:szCs w:val="18"/>
              </w:rPr>
              <w:t xml:space="preserve">ASM-011</w:t>
            </w:r>
            <w:r>
              <w:rPr>
                <w:rFonts w:ascii="Calibri" w:cs="Calibri" w:eastAsia="Calibri" w:hAnsi="Calibri"/>
                <w:b w:val="false"/>
                <w:bCs w:val="false"/>
                <w:i w:val="false"/>
                <w:iCs w:val="false"/>
                <w:color w:val="1A1A1A"/>
                <w:sz w:val="18"/>
                <w:szCs w:val="18"/>
              </w:rPr>
              <w:t xml:space="preserve">) is a statement about </w:t>
            </w:r>
            <w:r>
              <w:rPr>
                <w:rFonts w:ascii="Calibri" w:cs="Calibri" w:eastAsia="Calibri" w:hAnsi="Calibri"/>
                <w:b w:val="false"/>
                <w:bCs w:val="false"/>
                <w:i/>
                <w:iCs/>
                <w:color w:val="1A1A1A"/>
                <w:sz w:val="18"/>
                <w:szCs w:val="18"/>
              </w:rPr>
              <w:t xml:space="preserve">estimate uncertainty</w:t>
            </w:r>
            <w:r>
              <w:rPr>
                <w:rFonts w:ascii="Calibri" w:cs="Calibri" w:eastAsia="Calibri" w:hAnsi="Calibri"/>
                <w:b w:val="false"/>
                <w:bCs w:val="false"/>
                <w:i w:val="false"/>
                <w:iCs w:val="false"/>
                <w:color w:val="1A1A1A"/>
                <w:sz w:val="18"/>
                <w:szCs w:val="18"/>
              </w:rPr>
              <w:t xml:space="preserve">, not by itself about the </w:t>
            </w:r>
            <w:r>
              <w:rPr>
                <w:rFonts w:ascii="Calibri" w:cs="Calibri" w:eastAsia="Calibri" w:hAnsi="Calibri"/>
                <w:b w:val="false"/>
                <w:bCs w:val="false"/>
                <w:i/>
                <w:iCs/>
                <w:color w:val="1A1A1A"/>
                <w:sz w:val="18"/>
                <w:szCs w:val="18"/>
              </w:rPr>
              <w:t xml:space="preserve">direction</w:t>
            </w:r>
            <w:r>
              <w:rPr>
                <w:rFonts w:ascii="Calibri" w:cs="Calibri" w:eastAsia="Calibri" w:hAnsi="Calibri"/>
                <w:b w:val="false"/>
                <w:bCs w:val="false"/>
                <w:i w:val="false"/>
                <w:iCs w:val="false"/>
                <w:color w:val="1A1A1A"/>
                <w:sz w:val="18"/>
                <w:szCs w:val="18"/>
              </w:rPr>
              <w:t xml:space="preserve"> of the likely error — uncertainty alone would justify only a Medium, two-sided rating. This row is rated High specifically because §10.1's own Market Risks category supplies a </w:t>
            </w:r>
            <w:r>
              <w:rPr>
                <w:rFonts w:ascii="Calibri" w:cs="Calibri" w:eastAsia="Calibri" w:hAnsi="Calibri"/>
                <w:b w:val="false"/>
                <w:bCs w:val="false"/>
                <w:i/>
                <w:iCs/>
                <w:color w:val="1A1A1A"/>
                <w:sz w:val="18"/>
                <w:szCs w:val="18"/>
              </w:rPr>
              <w:t xml:space="preserve">directional</w:t>
            </w:r>
            <w:r>
              <w:rPr>
                <w:rFonts w:ascii="Calibri" w:cs="Calibri" w:eastAsia="Calibri" w:hAnsi="Calibri"/>
                <w:b w:val="false"/>
                <w:bCs w:val="false"/>
                <w:i w:val="false"/>
                <w:iCs w:val="false"/>
                <w:color w:val="1A1A1A"/>
                <w:sz w:val="18"/>
                <w:szCs w:val="18"/>
              </w:rPr>
              <w:t xml:space="preserve"> argument beyond the confidence tag alone: Egyptian customers under active food-inflation/EGP-devaluation pressure (§10.1; </w:t>
            </w:r>
            <w:r>
              <w:rPr>
                <w:rFonts w:ascii="Consolas" w:cs="Consolas" w:eastAsia="Consolas" w:hAnsi="Consolas"/>
                <w:b w:val="false"/>
                <w:bCs w:val="false"/>
                <w:i w:val="false"/>
                <w:iCs w:val="false"/>
                <w:color w:val="1A1A1A"/>
                <w:sz w:val="18"/>
                <w:szCs w:val="18"/>
              </w:rPr>
              <w:t xml:space="preserve">ASM-003</w:t>
            </w:r>
            <w:r>
              <w:rPr>
                <w:rFonts w:ascii="Calibri" w:cs="Calibri" w:eastAsia="Calibri" w:hAnsi="Calibri"/>
                <w:b w:val="false"/>
                <w:bCs w:val="false"/>
                <w:i w:val="false"/>
                <w:iCs w:val="false"/>
                <w:color w:val="1A1A1A"/>
                <w:sz w:val="18"/>
                <w:szCs w:val="18"/>
              </w:rPr>
              <w:t xml:space="preserve">) are plausibly </w:t>
            </w:r>
            <w:r>
              <w:rPr>
                <w:rFonts w:ascii="Calibri" w:cs="Calibri" w:eastAsia="Calibri" w:hAnsi="Calibri"/>
                <w:b w:val="false"/>
                <w:bCs w:val="false"/>
                <w:i/>
                <w:iCs/>
                <w:color w:val="1A1A1A"/>
                <w:sz w:val="18"/>
                <w:szCs w:val="18"/>
              </w:rPr>
              <w:t xml:space="preserve">more</w:t>
            </w:r>
            <w:r>
              <w:rPr>
                <w:rFonts w:ascii="Calibri" w:cs="Calibri" w:eastAsia="Calibri" w:hAnsi="Calibri"/>
                <w:b w:val="false"/>
                <w:bCs w:val="false"/>
                <w:i w:val="false"/>
                <w:iCs w:val="false"/>
                <w:color w:val="1A1A1A"/>
                <w:sz w:val="18"/>
                <w:szCs w:val="18"/>
              </w:rPr>
              <w:t xml:space="preserve"> price-sensitive and </w:t>
            </w:r>
            <w:r>
              <w:rPr>
                <w:rFonts w:ascii="Calibri" w:cs="Calibri" w:eastAsia="Calibri" w:hAnsi="Calibri"/>
                <w:b w:val="false"/>
                <w:bCs w:val="false"/>
                <w:i/>
                <w:iCs/>
                <w:color w:val="1A1A1A"/>
                <w:sz w:val="18"/>
                <w:szCs w:val="18"/>
              </w:rPr>
              <w:t xml:space="preserve">less</w:t>
            </w:r>
            <w:r>
              <w:rPr>
                <w:rFonts w:ascii="Calibri" w:cs="Calibri" w:eastAsia="Calibri" w:hAnsi="Calibri"/>
                <w:b w:val="false"/>
                <w:bCs w:val="false"/>
                <w:i w:val="false"/>
                <w:iCs w:val="false"/>
                <w:color w:val="1A1A1A"/>
                <w:sz w:val="18"/>
                <w:szCs w:val="18"/>
              </w:rPr>
              <w:t xml:space="preserve"> responsive to AI-personalised recommendations than the GCC population the uplift figures were measured on, which skews the uncertainty toward underperformance rather than treating it as symmetric. This is the plan's own reasoned judgment, not a disclosed fact — stated explicitly here rather than left implicit in the confidence tag alone</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Model transfer risk (Egypt behavior diverges from GCC training population)</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Technical</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High</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Plausible given Egypt's distinct macro/behavioral profile (food inflation, EGP devaluation pressuring price sensitivity — §10.1, </w:t>
            </w:r>
            <w:r>
              <w:rPr>
                <w:rFonts w:ascii="Consolas" w:cs="Consolas" w:eastAsia="Consolas" w:hAnsi="Consolas"/>
                <w:b w:val="false"/>
                <w:bCs w:val="false"/>
                <w:i w:val="false"/>
                <w:iCs w:val="false"/>
                <w:color w:val="1A1A1A"/>
                <w:sz w:val="18"/>
                <w:szCs w:val="18"/>
              </w:rPr>
              <w:t xml:space="preserve">Strategic Risks.md</w:t>
            </w:r>
            <w:r>
              <w:rPr>
                <w:rFonts w:ascii="Calibri" w:cs="Calibri" w:eastAsia="Calibri" w:hAnsi="Calibri"/>
                <w:b w:val="false"/>
                <w:bCs w:val="false"/>
                <w:i w:val="false"/>
                <w:iCs w:val="false"/>
                <w:color w:val="1A1A1A"/>
                <w:sz w:val="18"/>
                <w:szCs w:val="18"/>
              </w:rPr>
              <w:t xml:space="preserve">), but no disclosed evidence either confirms or rules out whether this actually degrades AI-model performance</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Algorithmic bias/fairness risk (GCC-trained model under-serves specific Egyptian segments)</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Technical</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disclosed evidence of this occurring; rated above zero because the same price-sensitive/newly-onboarded segments §10.1 already flags as under macro pressure are the most plausible candidates to be under-represented in GCC training data — a plausible, not confirmed, extension of the Model Transfer Risk logic to a fairness-specific failure mode</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Local competitor erosion (Breadfast/Rabbit/elmenus)</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Market</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Real, named, but from secondary/non-primary corpus evidence only (</w:t>
            </w:r>
            <w:r>
              <w:rPr>
                <w:rFonts w:ascii="Consolas" w:cs="Consolas" w:eastAsia="Consolas" w:hAnsi="Consolas"/>
                <w:b w:val="false"/>
                <w:bCs w:val="false"/>
                <w:i w:val="false"/>
                <w:iCs w:val="false"/>
                <w:color w:val="1A1A1A"/>
                <w:sz w:val="18"/>
                <w:szCs w:val="18"/>
              </w:rPr>
              <w:t xml:space="preserve">ASM-002</w:t>
            </w:r>
            <w:r>
              <w:rPr>
                <w:rFonts w:ascii="Calibri" w:cs="Calibri" w:eastAsia="Calibri" w:hAnsi="Calibri"/>
                <w:b w:val="false"/>
                <w:bCs w:val="false"/>
                <w:i w:val="false"/>
                <w:iCs w:val="false"/>
                <w:color w:val="1A1A1A"/>
                <w:sz w:val="18"/>
                <w:szCs w:val="18"/>
              </w:rPr>
              <w:t xml:space="preserve">), and no source quantifies actual share loss to any of them</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Macro/inflation demand compression</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Market</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High</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Already observed and quantified at the market level (Mordor: −3.8pp CAGR impact from inflation/devaluation), independent of this plan's execution</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FX/currency depreciation beyond guidance</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Financial</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Named explicitly by management as a risk already "incorporated in guidance" — meaning some depreciation is expected and priced in; risk is specifically </w:t>
            </w:r>
            <w:r>
              <w:rPr>
                <w:rFonts w:ascii="Calibri" w:cs="Calibri" w:eastAsia="Calibri" w:hAnsi="Calibri"/>
                <w:b w:val="false"/>
                <w:bCs w:val="false"/>
                <w:i/>
                <w:iCs/>
                <w:color w:val="1A1A1A"/>
                <w:sz w:val="18"/>
                <w:szCs w:val="18"/>
              </w:rPr>
              <w:t xml:space="preserve">further</w:t>
            </w:r>
            <w:r>
              <w:rPr>
                <w:rFonts w:ascii="Calibri" w:cs="Calibri" w:eastAsia="Calibri" w:hAnsi="Calibri"/>
                <w:b w:val="false"/>
                <w:bCs w:val="false"/>
                <w:i w:val="false"/>
                <w:iCs w:val="false"/>
                <w:color w:val="1A1A1A"/>
                <w:sz w:val="18"/>
                <w:szCs w:val="18"/>
              </w:rPr>
              <w:t xml:space="preserve"> depreciation beyond that</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Capital-envelope trim at Group level</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Financial</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High</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evidence of an active threat to the Everyday App allocation, but Group margin pressure is real and disclosed; low probability because Egypt's own improving trajectory argues for continued funding, not against it</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Governance/sponsorship discontinuity</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Organizational</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High</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Leadership has already turned over once without disruption evident in results; low probability of a </w:t>
            </w:r>
            <w:r>
              <w:rPr>
                <w:rFonts w:ascii="Calibri" w:cs="Calibri" w:eastAsia="Calibri" w:hAnsi="Calibri"/>
                <w:b w:val="false"/>
                <w:bCs w:val="false"/>
                <w:i/>
                <w:iCs/>
                <w:color w:val="1A1A1A"/>
                <w:sz w:val="18"/>
                <w:szCs w:val="18"/>
              </w:rPr>
              <w:t xml:space="preserve">further</w:t>
            </w:r>
            <w:r>
              <w:rPr>
                <w:rFonts w:ascii="Calibri" w:cs="Calibri" w:eastAsia="Calibri" w:hAnsi="Calibri"/>
                <w:b w:val="false"/>
                <w:bCs w:val="false"/>
                <w:i w:val="false"/>
                <w:iCs w:val="false"/>
                <w:color w:val="1A1A1A"/>
                <w:sz w:val="18"/>
                <w:szCs w:val="18"/>
              </w:rPr>
              <w:t xml:space="preserve"> disruptive change, but high impact if one occurs given multi-year program dependency</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Delivery-reliability failure</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Organizational</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disclosed Egypt-specific rider-quality incident; risk is structural (workforce model) rather than evidenced as already occurring</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Regulatory action in Egypt</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Regulatory</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disclosed precedent in Egypt specifically; rated above zero only because the pattern exists in 5 of 8 other markets tied to the same category-dominance profile Egypt now shares</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AI-capability ownership ambiguity</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Organizational</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Medium</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Low</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Plausibly slows execution/coordination, but does not by itself threaten the plan's viability the way the top risks do</w:t>
            </w:r>
          </w:p>
        </w:tc>
      </w:tr>
    </w:tbl>
    <w:p>
      <w:pPr>
        <w:spacing w:after="160" w:before="120" w:line="276"/>
      </w:pPr>
      <w:r>
        <w:rPr>
          <w:rFonts w:ascii="Calibri" w:cs="Calibri" w:eastAsia="Calibri" w:hAnsi="Calibri"/>
          <w:b/>
          <w:bCs/>
          <w:i w:val="false"/>
          <w:iCs w:val="false"/>
          <w:color w:val="1A1A1A"/>
          <w:sz w:val="22"/>
          <w:szCs w:val="22"/>
        </w:rPr>
        <w:t xml:space="preserve">So what:</w:t>
      </w:r>
      <w:r>
        <w:rPr>
          <w:rFonts w:ascii="Calibri" w:cs="Calibri" w:eastAsia="Calibri" w:hAnsi="Calibri"/>
          <w:b w:val="false"/>
          <w:bCs w:val="false"/>
          <w:i w:val="false"/>
          <w:iCs w:val="false"/>
          <w:color w:val="1A1A1A"/>
          <w:sz w:val="22"/>
          <w:szCs w:val="22"/>
        </w:rPr>
        <w:t xml:space="preserve"> the top three cells by severity — the High/High financial risk, the Market-category High/Medium macro-pressure risk, and the Technical-category Medium/High model-transfer risk — are all either directly inherited from Section 9's own confidence tagging or from Section 3's already-evidenced Threats — this table does not manufacture new risk, it structures and scores risk this plan's own prior sections already carried. That is the intended behavior of a MECE risk framework applied honestly, not a limitation of this section's originality.</w:t>
      </w:r>
    </w:p>
    <w:p>
      <w:pPr>
        <w:pStyle w:val="Heading2"/>
        <w:spacing w:after="120" w:before="280"/>
      </w:pPr>
      <w:r>
        <w:t xml:space="preserve">10.3 Pre-Mortem: "It is two years from now (2028) and this initiative failed — why?"</w:t>
      </w:r>
    </w:p>
    <w:p>
      <w:pPr>
        <w:spacing w:after="160" w:before="120" w:line="276"/>
      </w:pPr>
      <w:r>
        <w:rPr>
          <w:rFonts w:ascii="Calibri" w:cs="Calibri" w:eastAsia="Calibri" w:hAnsi="Calibri"/>
          <w:b w:val="false"/>
          <w:bCs w:val="false"/>
          <w:i w:val="false"/>
          <w:iCs w:val="false"/>
          <w:color w:val="1A1A1A"/>
          <w:sz w:val="22"/>
          <w:szCs w:val="22"/>
        </w:rPr>
        <w:t xml:space="preserve">Four failure narratives, each traced directly to a probability–impact matrix cell, per the McKinsey Lens instruction that pre-mortem findings become mitigation priorities — not a separate brainstorm:</w:t>
      </w:r>
    </w:p>
    <w:p>
      <w:pPr>
        <w:pStyle w:val="ListParagraph"/>
        <w:numPr>
          <w:ilvl w:val="0"/>
          <w:numId w:val="2"/>
        </w:numPr>
        <w:spacing w:after="100" w:before="60" w:line="276"/>
      </w:pPr>
      <w:r>
        <w:rPr>
          <w:rFonts w:ascii="Calibri" w:cs="Calibri" w:eastAsia="Calibri" w:hAnsi="Calibri"/>
          <w:b/>
          <w:bCs/>
          <w:i w:val="false"/>
          <w:iCs w:val="false"/>
          <w:color w:val="1A1A1A"/>
          <w:sz w:val="22"/>
          <w:szCs w:val="22"/>
        </w:rPr>
        <w:t xml:space="preserve">"We extended the Group's AI models to Egypt, and they just didn't perform the way they did in the GCC."</w:t>
      </w:r>
      <w:r>
        <w:rPr>
          <w:rFonts w:ascii="Calibri" w:cs="Calibri" w:eastAsia="Calibri" w:hAnsi="Calibri"/>
          <w:b w:val="false"/>
          <w:bCs w:val="false"/>
          <w:i w:val="false"/>
          <w:iCs w:val="false"/>
          <w:color w:val="1A1A1A"/>
          <w:sz w:val="22"/>
          <w:szCs w:val="22"/>
        </w:rPr>
        <w:t xml:space="preserve"> Recommendation relevance stayed flat or degraded; cross-sell timing didn't move order frequency the way it did at Group level; Egypt's customers, facing double-digit food inflation, responded to price and delivery speed far more than to personalised recommendations. </w:t>
      </w:r>
      <w:r>
        <w:rPr>
          <w:rFonts w:ascii="Calibri" w:cs="Calibri" w:eastAsia="Calibri" w:hAnsi="Calibri"/>
          <w:b w:val="false"/>
          <w:bCs w:val="false"/>
          <w:i/>
          <w:iCs/>
          <w:color w:val="1A1A1A"/>
          <w:sz w:val="22"/>
          <w:szCs w:val="22"/>
        </w:rPr>
        <w:t xml:space="preserve">(Traces to: upside-underperformance risk [High/High] and model-transfer risk [Medium/High].)</w:t>
      </w:r>
    </w:p>
    <w:p>
      <w:pPr>
        <w:pStyle w:val="ListParagraph"/>
        <w:numPr>
          <w:ilvl w:val="0"/>
          <w:numId w:val="2"/>
        </w:numPr>
        <w:spacing w:after="100" w:before="60" w:line="276"/>
      </w:pPr>
      <w:r>
        <w:rPr>
          <w:rFonts w:ascii="Calibri" w:cs="Calibri" w:eastAsia="Calibri" w:hAnsi="Calibri"/>
          <w:b/>
          <w:bCs/>
          <w:i w:val="false"/>
          <w:iCs w:val="false"/>
          <w:color w:val="1A1A1A"/>
          <w:sz w:val="22"/>
          <w:szCs w:val="22"/>
        </w:rPr>
        <w:t xml:space="preserve">"The investment case never closed, and by the time we had two more data points, the case for continuing looked weaker, not stronger."</w:t>
      </w:r>
      <w:r>
        <w:rPr>
          <w:rFonts w:ascii="Calibri" w:cs="Calibri" w:eastAsia="Calibri" w:hAnsi="Calibri"/>
          <w:b w:val="false"/>
          <w:bCs w:val="false"/>
          <w:i w:val="false"/>
          <w:iCs w:val="false"/>
          <w:color w:val="1A1A1A"/>
          <w:sz w:val="22"/>
          <w:szCs w:val="22"/>
        </w:rPr>
        <w:t xml:space="preserve"> The illustrative ≈USD53.9m break-even threshold was never reached; Section 9's upside case is what would have justified continued investment, and it was the Low-confidence scenario for a reason. Without a clear win to point to, the Egypt allocation lost priority against the Food-leadership component of the same USD175mn envelope. </w:t>
      </w:r>
      <w:r>
        <w:rPr>
          <w:rFonts w:ascii="Calibri" w:cs="Calibri" w:eastAsia="Calibri" w:hAnsi="Calibri"/>
          <w:b w:val="false"/>
          <w:bCs w:val="false"/>
          <w:i/>
          <w:iCs/>
          <w:color w:val="1A1A1A"/>
          <w:sz w:val="22"/>
          <w:szCs w:val="22"/>
        </w:rPr>
        <w:t xml:space="preserve">(Traces to: upside-underperformance risk and capital-envelope-trim risk.)</w:t>
      </w:r>
    </w:p>
    <w:p>
      <w:pPr>
        <w:pStyle w:val="ListParagraph"/>
        <w:numPr>
          <w:ilvl w:val="0"/>
          <w:numId w:val="2"/>
        </w:numPr>
        <w:spacing w:after="100" w:before="60" w:line="276"/>
      </w:pPr>
      <w:r>
        <w:rPr>
          <w:rFonts w:ascii="Calibri" w:cs="Calibri" w:eastAsia="Calibri" w:hAnsi="Calibri"/>
          <w:b/>
          <w:bCs/>
          <w:i w:val="false"/>
          <w:iCs w:val="false"/>
          <w:color w:val="1A1A1A"/>
          <w:sz w:val="22"/>
          <w:szCs w:val="22"/>
        </w:rPr>
        <w:t xml:space="preserve">"Leadership changed again, and the new team didn't carry the same conviction on Egypt."</w:t>
      </w:r>
      <w:r>
        <w:rPr>
          <w:rFonts w:ascii="Calibri" w:cs="Calibri" w:eastAsia="Calibri" w:hAnsi="Calibri"/>
          <w:b w:val="false"/>
          <w:bCs w:val="false"/>
          <w:i w:val="false"/>
          <w:iCs w:val="false"/>
          <w:color w:val="1A1A1A"/>
          <w:sz w:val="22"/>
          <w:szCs w:val="22"/>
        </w:rPr>
        <w:t xml:space="preserve"> The CEO/board transition that already happened once, without explanation, happened again or triggered a capital-allocation review that deprioritized a multi-year, still-unproven Egypt program in favor of markets with a longer track record. </w:t>
      </w:r>
      <w:r>
        <w:rPr>
          <w:rFonts w:ascii="Calibri" w:cs="Calibri" w:eastAsia="Calibri" w:hAnsi="Calibri"/>
          <w:b w:val="false"/>
          <w:bCs w:val="false"/>
          <w:i/>
          <w:iCs/>
          <w:color w:val="1A1A1A"/>
          <w:sz w:val="22"/>
          <w:szCs w:val="22"/>
        </w:rPr>
        <w:t xml:space="preserve">(Traces to: governance/sponsorship-discontinuity risk.)</w:t>
      </w:r>
    </w:p>
    <w:p>
      <w:pPr>
        <w:pStyle w:val="ListParagraph"/>
        <w:numPr>
          <w:ilvl w:val="0"/>
          <w:numId w:val="2"/>
        </w:numPr>
        <w:spacing w:after="100" w:before="60" w:line="276"/>
      </w:pPr>
      <w:r>
        <w:rPr>
          <w:rFonts w:ascii="Calibri" w:cs="Calibri" w:eastAsia="Calibri" w:hAnsi="Calibri"/>
          <w:b/>
          <w:bCs/>
          <w:i w:val="false"/>
          <w:iCs w:val="false"/>
          <w:color w:val="1A1A1A"/>
          <w:sz w:val="22"/>
          <w:szCs w:val="22"/>
        </w:rPr>
        <w:t xml:space="preserve">"A well-funded local competitor moved faster on the exact thing we were extending — personalisation and loyalty — and Egypt's still-young talabat pro base never got the chance to compound."</w:t>
      </w:r>
      <w:r>
        <w:rPr>
          <w:rFonts w:ascii="Calibri" w:cs="Calibri" w:eastAsia="Calibri" w:hAnsi="Calibri"/>
          <w:b w:val="false"/>
          <w:bCs w:val="false"/>
          <w:i w:val="false"/>
          <w:iCs w:val="false"/>
          <w:color w:val="1A1A1A"/>
          <w:sz w:val="22"/>
          <w:szCs w:val="22"/>
        </w:rPr>
        <w:t xml:space="preserve"> Breadfast, Rabbit, or a new entrant built a comparable AI-driven loyalty capability targeted specifically at Egypt (not adapted from a GCC model), while talabat's rollout took the time a Group-wide capability-transfer process takes. </w:t>
      </w:r>
      <w:r>
        <w:rPr>
          <w:rFonts w:ascii="Calibri" w:cs="Calibri" w:eastAsia="Calibri" w:hAnsi="Calibri"/>
          <w:b w:val="false"/>
          <w:bCs w:val="false"/>
          <w:i/>
          <w:iCs/>
          <w:color w:val="1A1A1A"/>
          <w:sz w:val="22"/>
          <w:szCs w:val="22"/>
        </w:rPr>
        <w:t xml:space="preserve">(Traces to: local-competitor-erosion risk and, indirectly, model-transfer risk — the "adapted, not built-for-Egypt" framing is the same underlying weakness both risks share.)</w:t>
      </w:r>
    </w:p>
    <w:p>
      <w:pPr>
        <w:spacing w:after="160" w:before="120" w:line="276"/>
      </w:pPr>
      <w:r>
        <w:rPr>
          <w:rFonts w:ascii="Calibri" w:cs="Calibri" w:eastAsia="Calibri" w:hAnsi="Calibri"/>
          <w:b/>
          <w:bCs/>
          <w:i w:val="false"/>
          <w:iCs w:val="false"/>
          <w:color w:val="1A1A1A"/>
          <w:sz w:val="22"/>
          <w:szCs w:val="22"/>
        </w:rPr>
        <w:t xml:space="preserve">Mitigation priority ranking, derived directly from the pre-mortem (not independently re-ordered):</w:t>
      </w:r>
      <w:r>
        <w:rPr>
          <w:rFonts w:ascii="Calibri" w:cs="Calibri" w:eastAsia="Calibri" w:hAnsi="Calibri"/>
          <w:b w:val="false"/>
          <w:bCs w:val="false"/>
          <w:i w:val="false"/>
          <w:iCs w:val="false"/>
          <w:color w:val="1A1A1A"/>
          <w:sz w:val="22"/>
          <w:szCs w:val="22"/>
        </w:rPr>
        <w:t xml:space="preserve"> narratives 1 and 2 share the same root cause (the upside case's Low confidence) and together account for the single highest-severity matrix cell (the High/High financial risk) — </w:t>
      </w:r>
      <w:r>
        <w:rPr>
          <w:rFonts w:ascii="Calibri" w:cs="Calibri" w:eastAsia="Calibri" w:hAnsi="Calibri"/>
          <w:b/>
          <w:bCs/>
          <w:i w:val="false"/>
          <w:iCs w:val="false"/>
          <w:color w:val="1A1A1A"/>
          <w:sz w:val="22"/>
          <w:szCs w:val="22"/>
        </w:rPr>
        <w:t xml:space="preserve">instrumenting the newly-baseline KPIs (</w:t>
      </w:r>
      <w:r>
        <w:rPr>
          <w:rFonts w:ascii="Consolas" w:cs="Consolas" w:eastAsia="Consolas" w:hAnsi="Consolas"/>
          <w:b/>
          <w:bCs/>
          <w:i w:val="false"/>
          <w:iCs w:val="false"/>
          <w:color w:val="1A1A1A"/>
          <w:sz w:val="22"/>
          <w:szCs w:val="22"/>
        </w:rPr>
        <w:t xml:space="preserve">KPI_Tree.md</w:t>
      </w:r>
      <w:r>
        <w:rPr>
          <w:rFonts w:ascii="Calibri" w:cs="Calibri" w:eastAsia="Calibri" w:hAnsi="Calibri"/>
          <w:b/>
          <w:bCs/>
          <w:i w:val="false"/>
          <w:iCs w:val="false"/>
          <w:color w:val="1A1A1A"/>
          <w:sz w:val="22"/>
          <w:szCs w:val="22"/>
        </w:rPr>
        <w:t xml:space="preserve">'s K5–K9, K13–K14) as early as possible is the single highest-priority mitigation</w:t>
      </w:r>
      <w:r>
        <w:rPr>
          <w:rFonts w:ascii="Calibri" w:cs="Calibri" w:eastAsia="Calibri" w:hAnsi="Calibri"/>
          <w:b w:val="false"/>
          <w:bCs w:val="false"/>
          <w:i w:val="false"/>
          <w:iCs w:val="false"/>
          <w:color w:val="1A1A1A"/>
          <w:sz w:val="22"/>
          <w:szCs w:val="22"/>
        </w:rPr>
        <w:t xml:space="preserve">, because it is the only action that converts a Low-confidence, unproven assumption into a measured, monitorable one before the investment case is fully committed. Narrative 3 (governance) and narrative 4 (competitive speed) are lower-probability but real, and their mitigations are structural rather than data-driven (see below).</w:t>
      </w:r>
    </w:p>
    <w:p>
      <w:pPr>
        <w:pStyle w:val="Heading2"/>
        <w:spacing w:after="120" w:before="280"/>
      </w:pPr>
      <w:r>
        <w:t xml:space="preserve">10.4 Mitigation Strategy Per Material Risk, With an Owner</w:t>
      </w:r>
    </w:p>
    <w:p>
      <w:pPr>
        <w:spacing w:after="160" w:before="120" w:line="276"/>
      </w:pPr>
      <w:r>
        <w:rPr>
          <w:rFonts w:ascii="Calibri" w:cs="Calibri" w:eastAsia="Calibri" w:hAnsi="Calibri"/>
          <w:b/>
          <w:bCs/>
          <w:i w:val="false"/>
          <w:iCs w:val="false"/>
          <w:color w:val="1A1A1A"/>
          <w:sz w:val="22"/>
          <w:szCs w:val="22"/>
        </w:rPr>
        <w:t xml:space="preserve">Owners below are this plan's own recommended governance structure, not a disclosed talabat org chart</w:t>
      </w:r>
      <w:r>
        <w:rPr>
          <w:rFonts w:ascii="Calibri" w:cs="Calibri" w:eastAsia="Calibri" w:hAnsi="Calibri"/>
          <w:b w:val="false"/>
          <w:bCs w:val="false"/>
          <w:i w:val="false"/>
          <w:iCs w:val="false"/>
          <w:color w:val="1A1A1A"/>
          <w:sz w:val="22"/>
          <w:szCs w:val="22"/>
        </w:rPr>
        <w:t xml:space="preserve"> — </w:t>
      </w:r>
      <w:r>
        <w:rPr>
          <w:rFonts w:ascii="Consolas" w:cs="Consolas" w:eastAsia="Consolas" w:hAnsi="Consolas"/>
          <w:b w:val="false"/>
          <w:bCs w:val="false"/>
          <w:i w:val="false"/>
          <w:iCs w:val="false"/>
          <w:color w:val="1A1A1A"/>
          <w:sz w:val="22"/>
          <w:szCs w:val="22"/>
        </w:rPr>
        <w:t xml:space="preserve">Strategic/Decision-Making Process.md</w:t>
      </w:r>
      <w:r>
        <w:rPr>
          <w:rFonts w:ascii="Calibri" w:cs="Calibri" w:eastAsia="Calibri" w:hAnsi="Calibri"/>
          <w:b w:val="false"/>
          <w:bCs w:val="false"/>
          <w:i w:val="false"/>
          <w:iCs w:val="false"/>
          <w:color w:val="1A1A1A"/>
          <w:sz w:val="22"/>
          <w:szCs w:val="22"/>
        </w:rPr>
        <w:t xml:space="preserve"> is explicit that internal governance mechanics are largely undisclosed in the corpus, so role-based owners (not named individuals) are used, consistent with how Section 9 labeled its own illustrative constructions.</w:t>
      </w:r>
    </w:p>
    <w:p>
      <w:pPr>
        <w:spacing w:after="40" w:before="60"/>
      </w:pPr>
      <w:r>
        <w:rPr>
          <w:rFonts w:ascii="Calibri" w:cs="Calibri" w:eastAsia="Calibri" w:hAnsi="Calibri"/>
          <w:b/>
          <w:bCs/>
          <w:i/>
          <w:iCs/>
          <w:color w:val="595959"/>
          <w:sz w:val="18"/>
          <w:szCs w:val="18"/>
        </w:rPr>
        <w:t xml:space="preserve">Table 13.</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120"/>
        <w:gridCol w:w="3120"/>
        <w:gridCol w:w="3120"/>
      </w:tblGrid>
      <w:tr>
        <w:trPr>
          <w:tblHeader/>
        </w:trPr>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Risk</w:t>
            </w:r>
          </w:p>
        </w:tc>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Mitigation</w:t>
            </w:r>
          </w:p>
        </w:tc>
        <w:tc>
          <w:tcPr>
            <w:tcW w:type="dxa" w:w="312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Owner (role-based)</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Upside case underperforms base case</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Instrument the newly-baseline KPIs (</w:t>
            </w:r>
            <w:r>
              <w:rPr>
                <w:rFonts w:ascii="Consolas" w:cs="Consolas" w:eastAsia="Consolas" w:hAnsi="Consolas"/>
                <w:b w:val="false"/>
                <w:bCs w:val="false"/>
                <w:i w:val="false"/>
                <w:iCs w:val="false"/>
                <w:color w:val="1A1A1A"/>
                <w:sz w:val="18"/>
                <w:szCs w:val="18"/>
              </w:rPr>
              <w:t xml:space="preserve">KPI_Tree.md</w:t>
            </w:r>
            <w:r>
              <w:rPr>
                <w:rFonts w:ascii="Calibri" w:cs="Calibri" w:eastAsia="Calibri" w:hAnsi="Calibri"/>
                <w:b w:val="false"/>
                <w:bCs w:val="false"/>
                <w:i w:val="false"/>
                <w:iCs w:val="false"/>
                <w:color w:val="1A1A1A"/>
                <w:sz w:val="18"/>
                <w:szCs w:val="18"/>
              </w:rPr>
              <w:t xml:space="preserve">) from day one of rollout, with an explicit go/no-go checkpoint against the base-case trajectory before scaling investment further — do not wait for a full fiscal year to find out the upside case didn't materialize</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Country GM, with Group FP&amp;A</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Model transfer risk</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Run a limited Egypt pilot (a subset of the customer base) before full rollout, instrumented specifically to detect whether recommendation relevance/cross-sell response differs from the GCC benchmark, before committing the full ≈USD13.2m estimate</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Group AI/Data Science, in coordination with Egypt Country GM</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Algorithmic bias/fairness risk</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Include segment-level (not just aggregate) performance monitoring in the same limited Egypt pilot above — specifically checking whether price-sensitive/newly-onboarded segments see materially worse recommendation relevance than the overall Egypt cohort, before full rollout</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Group AI/Data Science, in coordination with Egypt Country GM</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Local competitor erosion</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Track named-competitor signals (pricing, feature parity, funding announcements) as a standing input to the Egypt retention roadmap, not a one-time competitive scan — Section 3's competitor table is a starting point, not a static artifact</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Country GM / Strategy</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Macro/inflation demand compression</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Frame the financial case's downside scenario (Section 9 §9.3) as a standing planning assumption, not a tail risk — build the retention pitch explicitly on "cheaper to retain than acquire under inflation" logic already established in Section 2, so the mitigation is built into the plan's own framing, not bolted on</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Group FP&amp;A / Egypt Country GM</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FX/currency depreciation</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Model the investment case's return in a way that is robust to further EGP depreciation, consistent with management's own stated inflation-hedge logic — do not present illustrative USD figures without a currency-sensitivity note</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Group FP&amp;A</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Capital-envelope trim at Group level</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Report Egypt-specific progress against the base-case trajectory regularly enough that the Egypt allocation is defensible on its own evidence if the broader Everyday App envelope comes under review — do not let Egypt's case depend solely on the Group envelope remaining intact</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Country GM, reporting to Group leadership</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Governance/sponsorship discontinuity</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Anchor the Egypt program's accountability to the named Egypt legal entity and a documented multi-year roadmap (Section 12, once drafted) rather than to any single executive sponsor, so continuity survives leadership change</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Country GM / Corporate Development</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Delivery-reliability failure</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Treat rider/logistics service quality as a monitored precondition for the retention thesis, not an assumed constant — flag any material change in Egypt delivery SLAs as a trigger to reassess the retention case's assumptions</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Operations Lead</w:t>
            </w:r>
          </w:p>
        </w:tc>
      </w:tr>
      <w:tr>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Regulatory action in Egypt</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specific action to take beyond standing compliance practice — named here so it is visible in the risk register, not because a concrete Egypt-specific trigger currently exists</w:t>
            </w:r>
          </w:p>
        </w:tc>
        <w:tc>
          <w:tcPr>
            <w:tcW w:type="dxa" w:w="312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Legal/Regulatory Affairs</w:t>
            </w:r>
          </w:p>
        </w:tc>
      </w:tr>
      <w:tr>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AI-capability ownership ambiguity</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Explicitly name which team (Group Tech hub vs. a dedicated Egypt function) owns execution before Section 12's implementation roadmap is drafted — an open item this plan flags forward rather than resolves here</w:t>
            </w:r>
          </w:p>
        </w:tc>
        <w:tc>
          <w:tcPr>
            <w:tcW w:type="dxa" w:w="312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Group Tech leadership / Egypt Country GM (joint, pending clarification)</w:t>
            </w:r>
          </w:p>
        </w:tc>
      </w:tr>
    </w:tbl>
    <w:p>
      <w:pPr>
        <w:sectPr>
          <w:headerReference w:type="default" r:id="rId29"/>
          <w:footerReference w:type="default" r:id="rId30"/>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11. Corporate Social Responsibility &amp; Responsible AI</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Per the template's own instruction, this section is deliberately structured as risk management and license-to-operate, not decoration: </w:t>
      </w:r>
      <w:r>
        <w:rPr>
          <w:rFonts w:ascii="Calibri" w:cs="Calibri" w:eastAsia="Calibri" w:hAnsi="Calibri"/>
          <w:b/>
          <w:bCs/>
          <w:i w:val="false"/>
          <w:iCs w:val="false"/>
          <w:color w:val="1A1A1A"/>
          <w:sz w:val="22"/>
          <w:szCs w:val="22"/>
        </w:rPr>
        <w:t xml:space="preserve">every ethical-AI commitment below maps to a specific named risk in </w:t>
      </w:r>
      <w:r>
        <w:rPr>
          <w:rFonts w:ascii="Calibri" w:cs="Calibri" w:eastAsia="Calibri" w:hAnsi="Calibri"/>
          <w:b/>
          <w:bCs/>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not a generic virtue statement, and </w:t>
      </w:r>
      <w:r>
        <w:rPr>
          <w:rFonts w:ascii="Calibri" w:cs="Calibri" w:eastAsia="Calibri" w:hAnsi="Calibri"/>
          <w:b/>
          <w:bCs/>
          <w:i w:val="false"/>
          <w:iCs w:val="false"/>
          <w:color w:val="1A1A1A"/>
          <w:sz w:val="22"/>
          <w:szCs w:val="22"/>
        </w:rPr>
        <w:t xml:space="preserve">every sustainability commitment cites an initiative talabat already runs in Egypt specifically</w:t>
      </w:r>
      <w:r>
        <w:rPr>
          <w:rFonts w:ascii="Calibri" w:cs="Calibri" w:eastAsia="Calibri" w:hAnsi="Calibri"/>
          <w:b w:val="false"/>
          <w:bCs w:val="false"/>
          <w:i w:val="false"/>
          <w:iCs w:val="false"/>
          <w:color w:val="1A1A1A"/>
          <w:sz w:val="22"/>
          <w:szCs w:val="22"/>
        </w:rPr>
        <w:t xml:space="preserve"> (an electric-vehicle pilot, two generations of named Egypt charity partnerships, an SME training academy), not an invented CSR programme. Where the corpus is silent — and it is silent on AI ethics/governance specifically — this section says so plainly and proposes governance as this plan's own recommendation, explicitly labeled as such, rather than describing a talabat process that does not exist in the evidence.</w:t>
      </w:r>
    </w:p>
    <w:p>
      <w:pPr>
        <w:pStyle w:val="Heading2"/>
        <w:spacing w:after="120" w:before="280"/>
      </w:pPr>
      <w:r>
        <w:t xml:space="preserve">11.1 Ethical AI: Bias, Transparency, Fairness — Tied to Concrete Controls</w:t>
      </w:r>
    </w:p>
    <w:p>
      <w:pPr>
        <w:spacing w:after="160" w:before="120" w:line="276"/>
      </w:pPr>
      <w:r>
        <w:rPr>
          <w:rFonts w:ascii="Calibri" w:cs="Calibri" w:eastAsia="Calibri" w:hAnsi="Calibri"/>
          <w:b w:val="false"/>
          <w:bCs w:val="false"/>
          <w:i w:val="false"/>
          <w:iCs w:val="false"/>
          <w:color w:val="1A1A1A"/>
          <w:sz w:val="22"/>
          <w:szCs w:val="22"/>
        </w:rPr>
        <w:t xml:space="preserve">Model transfer risk and model drift are, strictly, performance risks rather than fairness risks in the narrow sense — they are included in this table because both are the direct precondition for, and cannot be cleanly separated from, the algorithmic bias/fairness risk immediately below: an AI system whose performance is unvalidated or drifting on Egypt's population is also a system whose fairness properties cannot be trusted, per this plan's own risk-management framing.</w:t>
      </w:r>
    </w:p>
    <w:p>
      <w:pPr>
        <w:spacing w:after="40" w:before="60"/>
      </w:pPr>
      <w:r>
        <w:rPr>
          <w:rFonts w:ascii="Calibri" w:cs="Calibri" w:eastAsia="Calibri" w:hAnsi="Calibri"/>
          <w:b/>
          <w:bCs/>
          <w:i/>
          <w:iCs/>
          <w:color w:val="595959"/>
          <w:sz w:val="18"/>
          <w:szCs w:val="18"/>
        </w:rPr>
        <w:t xml:space="preserve">Table 14.</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40"/>
        <w:gridCol w:w="2340"/>
        <w:gridCol w:w="2340"/>
        <w:gridCol w:w="2340"/>
      </w:tblGrid>
      <w:tr>
        <w:trPr>
          <w:tblHeader/>
        </w:trPr>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Section 10 risk this ties to</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Ethical-AI commitment</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Concrete control (cross-referenced from Section 10 §10.4 where one exists; stated as an open gap where it does not)</w:t>
            </w:r>
          </w:p>
        </w:tc>
        <w:tc>
          <w:tcPr>
            <w:tcW w:type="dxa" w:w="2340"/>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Owner</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Algorithmic bias/fairness risk</w:t>
            </w:r>
            <w:r>
              <w:rPr>
                <w:rFonts w:ascii="Calibri" w:cs="Calibri" w:eastAsia="Calibri" w:hAnsi="Calibri"/>
                <w:b w:val="false"/>
                <w:bCs w:val="false"/>
                <w:i w:val="false"/>
                <w:iCs w:val="false"/>
                <w:color w:val="1A1A1A"/>
                <w:sz w:val="18"/>
                <w:szCs w:val="18"/>
              </w:rPr>
              <w:t xml:space="preserve"> — explicitly labeled synthetic in Section 10 (no corpus source discusses talabat's AI bias/fairness posture); this plan's own reasoned extension of the model-transfer gap to a fairness-specific failure mode</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full-scale Egypt rollout without segment-level (not just aggregate) fairness monitoring, specifically checking whether price-sensitive or newly-onboarded Egyptian segments see materially worse recommendation relevance than the overall Egypt cohort</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Segment-level performance monitoring built into the limited Egypt pilot </w:t>
            </w:r>
            <w:r>
              <w:rPr>
                <w:rFonts w:ascii="Calibri" w:cs="Calibri" w:eastAsia="Calibri" w:hAnsi="Calibri"/>
                <w:b w:val="false"/>
                <w:bCs w:val="false"/>
                <w:i w:val="false"/>
                <w:iCs w:val="false"/>
                <w:color w:val="1A1A1A"/>
                <w:sz w:val="18"/>
                <w:szCs w:val="18"/>
              </w:rPr>
              <w:t xml:space="preserve">Section 10</w:t>
            </w:r>
            <w:r>
              <w:rPr>
                <w:rFonts w:ascii="Calibri" w:cs="Calibri" w:eastAsia="Calibri" w:hAnsi="Calibri"/>
                <w:b w:val="false"/>
                <w:bCs w:val="false"/>
                <w:i w:val="false"/>
                <w:iCs w:val="false"/>
                <w:color w:val="1A1A1A"/>
                <w:sz w:val="18"/>
                <w:szCs w:val="18"/>
              </w:rPr>
              <w:t xml:space="preserve">'s mitigation table already specifies for Model Transfer Risk — this section does not add a second, separate pilot; it extends the same one to carry a fairness lens, not only a performance lens</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Group AI/Data Science, in coordination with Egypt Country GM</w:t>
            </w:r>
          </w:p>
        </w:tc>
      </w:tr>
      <w:tr>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Model transfer risk</w:t>
            </w:r>
            <w:r>
              <w:rPr>
                <w:rFonts w:ascii="Calibri" w:cs="Calibri" w:eastAsia="Calibri" w:hAnsi="Calibri"/>
                <w:b w:val="false"/>
                <w:bCs w:val="false"/>
                <w:i w:val="false"/>
                <w:iCs w:val="false"/>
                <w:color w:val="1A1A1A"/>
                <w:sz w:val="18"/>
                <w:szCs w:val="18"/>
              </w:rPr>
              <w:t xml:space="preserve"> — the corpus does not confirm whether Egypt runs the same models as the GCC or a less mature version</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 commitment to full-scale deployment ahead of validated in-market evidence that Group-trained models perform acceptably on Egypt's specific customer behavior</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The limited Egypt pilot itself, instrumented to detect recommendation-relevance/cross-sell-response divergence from the GCC benchmark, before committing the full ≈USD13.2m Egypt-attributable investment estimate (</w:t>
            </w:r>
            <w:r>
              <w:rPr>
                <w:rFonts w:ascii="Consolas" w:cs="Consolas" w:eastAsia="Consolas" w:hAnsi="Consolas"/>
                <w:b w:val="false"/>
                <w:bCs w:val="false"/>
                <w:i w:val="false"/>
                <w:iCs w:val="false"/>
                <w:color w:val="1A1A1A"/>
                <w:sz w:val="18"/>
                <w:szCs w:val="18"/>
              </w:rPr>
              <w:t xml:space="preserve">ASM-012</w:t>
            </w:r>
            <w:r>
              <w:rPr>
                <w:rFonts w:ascii="Calibri" w:cs="Calibri" w:eastAsia="Calibri" w:hAnsi="Calibri"/>
                <w:b w:val="false"/>
                <w:bCs w:val="false"/>
                <w:i w:val="false"/>
                <w:iCs w:val="false"/>
                <w:color w:val="1A1A1A"/>
                <w:sz w:val="18"/>
                <w:szCs w:val="18"/>
              </w:rPr>
              <w:t xml:space="preserve">)</w:t>
            </w:r>
          </w:p>
        </w:tc>
        <w:tc>
          <w:tcPr>
            <w:tcW w:type="dxa" w:w="2340"/>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Group AI/Data Science, in coordination with Egypt Country GM</w:t>
            </w:r>
          </w:p>
        </w:tc>
      </w:tr>
      <w:tr>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bCs/>
                <w:i w:val="false"/>
                <w:iCs w:val="false"/>
                <w:color w:val="1A1A1A"/>
                <w:sz w:val="18"/>
                <w:szCs w:val="18"/>
              </w:rPr>
              <w:t xml:space="preserve">Model drift</w:t>
            </w:r>
            <w:r>
              <w:rPr>
                <w:rFonts w:ascii="Calibri" w:cs="Calibri" w:eastAsia="Calibri" w:hAnsi="Calibri"/>
                <w:b w:val="false"/>
                <w:bCs w:val="false"/>
                <w:i w:val="false"/>
                <w:iCs w:val="false"/>
                <w:color w:val="1A1A1A"/>
                <w:sz w:val="18"/>
                <w:szCs w:val="18"/>
              </w:rPr>
              <w:t xml:space="preserve"> — no document discloses a per-market retraining or monitoring cadence</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 standing Egypt-specific monitoring signal, not reliance on a shared Group-wide retraining schedule the corpus never confirms exists or would catch Egypt-specific behavioral shift</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Not yet a specified control anywhere in the corpus or in Section 10 — this plan names it as an open governance gap </w:t>
            </w:r>
            <w:r>
              <w:rPr>
                <w:rFonts w:ascii="Calibri" w:cs="Calibri" w:eastAsia="Calibri" w:hAnsi="Calibri"/>
                <w:b w:val="false"/>
                <w:bCs w:val="false"/>
                <w:i w:val="false"/>
                <w:iCs w:val="false"/>
                <w:color w:val="1A1A1A"/>
                <w:sz w:val="18"/>
                <w:szCs w:val="18"/>
              </w:rPr>
              <w:t xml:space="preserve">Section 12</w:t>
            </w:r>
            <w:r>
              <w:rPr>
                <w:rFonts w:ascii="Calibri" w:cs="Calibri" w:eastAsia="Calibri" w:hAnsi="Calibri"/>
                <w:b w:val="false"/>
                <w:bCs w:val="false"/>
                <w:i w:val="false"/>
                <w:iCs w:val="false"/>
                <w:color w:val="1A1A1A"/>
                <w:sz w:val="18"/>
                <w:szCs w:val="18"/>
              </w:rPr>
              <w:t xml:space="preserve"> must resolve as an implementation prerequisite, not a control this section can point to as already existing</w:t>
            </w:r>
          </w:p>
        </w:tc>
        <w:tc>
          <w:tcPr>
            <w:tcW w:type="dxa" w:w="2340"/>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Group AI/Data Science (this plan's own proposed assignment, not a disclosed talabat role — no owner exists in the corpus for a control that itself does not yet exist)</w:t>
            </w:r>
          </w:p>
        </w:tc>
      </w:tr>
    </w:tbl>
    <w:p>
      <w:pPr>
        <w:spacing w:after="160" w:before="120" w:line="276"/>
      </w:pPr>
      <w:r>
        <w:rPr>
          <w:rFonts w:ascii="Calibri" w:cs="Calibri" w:eastAsia="Calibri" w:hAnsi="Calibri"/>
          <w:b/>
          <w:bCs/>
          <w:i w:val="false"/>
          <w:iCs w:val="false"/>
          <w:color w:val="1A1A1A"/>
          <w:sz w:val="22"/>
          <w:szCs w:val="22"/>
        </w:rPr>
        <w:t xml:space="preserve">Transparency — stated as a gap, not filled.</w:t>
      </w:r>
      <w:r>
        <w:rPr>
          <w:rFonts w:ascii="Calibri" w:cs="Calibri" w:eastAsia="Calibri" w:hAnsi="Calibri"/>
          <w:b w:val="false"/>
          <w:bCs w:val="false"/>
          <w:i w:val="false"/>
          <w:iCs w:val="false"/>
          <w:color w:val="1A1A1A"/>
          <w:sz w:val="22"/>
          <w:szCs w:val="22"/>
        </w:rPr>
        <w:t xml:space="preserve"> No document in the corpus describes an AI-explainability practice, a customer-facing disclosure of algorithmic recommendation/ranking logic, or an internal AI model-review/approval process, at Group or Egypt level. This section does not assert a transparency practice the corpus does not evidence; per </w:t>
      </w:r>
      <w:r>
        <w:rPr>
          <w:rFonts w:ascii="Calibri" w:cs="Calibri" w:eastAsia="Calibri" w:hAnsi="Calibri"/>
          <w:b w:val="false"/>
          <w:bCs w:val="false"/>
          <w:i w:val="false"/>
          <w:iCs w:val="false"/>
          <w:color w:val="1A1A1A"/>
          <w:sz w:val="22"/>
          <w:szCs w:val="22"/>
        </w:rPr>
        <w:t xml:space="preserve">Section 8</w:t>
      </w:r>
      <w:r>
        <w:rPr>
          <w:rFonts w:ascii="Calibri" w:cs="Calibri" w:eastAsia="Calibri" w:hAnsi="Calibri"/>
          <w:b w:val="false"/>
          <w:bCs w:val="false"/>
          <w:i w:val="false"/>
          <w:iCs w:val="false"/>
          <w:color w:val="1A1A1A"/>
          <w:sz w:val="22"/>
          <w:szCs w:val="22"/>
        </w:rPr>
        <w:t xml:space="preserve">'s Security and Compliance subsection, the closest disclosed adjacent governance is data-protection-specific (a specialised information security team, regional data-protection professionals — TLB-002, pages 25, 27, 29), which this section does not conflate with AI-ethics governance, since the corpus never states the two functions are the same team or process.</w:t>
      </w:r>
    </w:p>
    <w:p>
      <w:pPr>
        <w:pStyle w:val="Heading2"/>
        <w:spacing w:after="120" w:before="280"/>
      </w:pPr>
      <w:r>
        <w:t xml:space="preserve">11.2 Sustainability Initiatives</w:t>
      </w:r>
    </w:p>
    <w:p>
      <w:pPr>
        <w:spacing w:after="160" w:before="120" w:line="276"/>
      </w:pPr>
      <w:r>
        <w:rPr>
          <w:rFonts w:ascii="Calibri" w:cs="Calibri" w:eastAsia="Calibri" w:hAnsi="Calibri"/>
          <w:b w:val="false"/>
          <w:bCs w:val="false"/>
          <w:i w:val="false"/>
          <w:iCs w:val="false"/>
          <w:color w:val="1A1A1A"/>
          <w:sz w:val="22"/>
          <w:szCs w:val="22"/>
        </w:rPr>
        <w:t xml:space="preserve">The corpus discloses real, Egypt-specific sustainability initiatives — this section cites what exists rather than inventing a CSR programme this plan is not proposing to create: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SME empowerment: German Chamber of Commerce academy (Egypt).</w:t>
      </w:r>
      <w:r>
        <w:rPr>
          <w:rFonts w:ascii="Calibri" w:cs="Calibri" w:eastAsia="Calibri" w:hAnsi="Calibri"/>
          <w:b w:val="false"/>
          <w:bCs w:val="false"/>
          <w:i w:val="false"/>
          <w:iCs w:val="false"/>
          <w:color w:val="1A1A1A"/>
          <w:sz w:val="22"/>
          <w:szCs w:val="22"/>
        </w:rPr>
        <w:t xml:space="preserve"> In 2024, talabat launched a new training academy in Egypt with The German Chamber of Commerce, training over 200 SMEs by July 2024 on business optimisation, menu engineering, digital marketing, and data-driven decision-making (TLB-001, page 46). A separate, named partnership with Egypt's Micro, Small and Medium Enterprise Development Authority (MSMEDA) "strengthens the SME ecosystem, promoting sustainable growth and resilience" (TLB-001, page 46).</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Community/charity partnerships (Egypt), two disclosed generations.</w:t>
      </w:r>
      <w:r>
        <w:rPr>
          <w:rFonts w:ascii="Calibri" w:cs="Calibri" w:eastAsia="Calibri" w:hAnsi="Calibri"/>
          <w:b w:val="false"/>
          <w:bCs w:val="false"/>
          <w:i w:val="false"/>
          <w:iCs w:val="false"/>
          <w:color w:val="1A1A1A"/>
          <w:sz w:val="22"/>
          <w:szCs w:val="22"/>
        </w:rPr>
        <w:t xml:space="preserve"> FY2024: talabat supported Egypt Food Bank and the Misr El Kheir foundation to address food insecurity and social welfare (TLB-001, page 54). FY2025: the named Egypt partner list expanded to Ahl Misr Foundation, the Egyptian Food Bank, Misr El Kheir, and 57357 Hospital (TLB-002, page 39) — a widening, not static, commitment across the two disclosed reporting years.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"Electrifying Egypt" — first EV pilot (2025).</w:t>
      </w:r>
      <w:r>
        <w:rPr>
          <w:rFonts w:ascii="Calibri" w:cs="Calibri" w:eastAsia="Calibri" w:hAnsi="Calibri"/>
          <w:b w:val="false"/>
          <w:bCs w:val="false"/>
          <w:i w:val="false"/>
          <w:iCs w:val="false"/>
          <w:color w:val="1A1A1A"/>
          <w:sz w:val="22"/>
          <w:szCs w:val="22"/>
        </w:rPr>
        <w:t xml:space="preserve"> talabat deployed 200 electric bikes across multiple Cairo areas through third-party logistics partners in 2025 — its "inaugural EV programme" in Egypt specifically, described explicitly as an operational test of EV performance in Cairo's traffic and infrastructure conditions, with results "informing how talabat approaches infrastructure needs, rider incentives, and fleet expansion" for a 2026 scale-up (TLB-002, page 42, "Electrifying Egypt" narrative; the aggregate "200 electric vehicles across Egypt" headline stat also appears at TLB-002, page 41). This sits alongside a larger UAE fleet (250+ EVs, 70+ battery-swap stations, TLB-002, page 41) as part of a stated "regional decarbonisation ambition."</w:t>
      </w:r>
    </w:p>
    <w:p>
      <w:pPr>
        <w:spacing w:after="160" w:before="120" w:line="276"/>
      </w:pPr>
      <w:r>
        <w:rPr>
          <w:rFonts w:ascii="Calibri" w:cs="Calibri" w:eastAsia="Calibri" w:hAnsi="Calibri"/>
          <w:b/>
          <w:bCs/>
          <w:i w:val="false"/>
          <w:iCs w:val="false"/>
          <w:color w:val="1A1A1A"/>
          <w:sz w:val="22"/>
          <w:szCs w:val="22"/>
        </w:rPr>
        <w:t xml:space="preserve">This plan's own contribution is not a new sustainability programme</w:t>
      </w:r>
      <w:r>
        <w:rPr>
          <w:rFonts w:ascii="Calibri" w:cs="Calibri" w:eastAsia="Calibri" w:hAnsi="Calibri"/>
          <w:b w:val="false"/>
          <w:bCs w:val="false"/>
          <w:i w:val="false"/>
          <w:iCs w:val="false"/>
          <w:color w:val="1A1A1A"/>
          <w:sz w:val="22"/>
          <w:szCs w:val="22"/>
        </w:rPr>
        <w:t xml:space="preserve"> — it is naming that these initiatives already establish talabat's Egypt "license to operate" with Partners, riders, and communities, the same stakeholder trust base </w:t>
      </w:r>
      <w:r>
        <w:rPr>
          <w:rFonts w:ascii="Calibri" w:cs="Calibri" w:eastAsia="Calibri" w:hAnsi="Calibri"/>
          <w:b w:val="false"/>
          <w:bCs w:val="false"/>
          <w:i w:val="false"/>
          <w:iCs w:val="false"/>
          <w:color w:val="1A1A1A"/>
          <w:sz w:val="22"/>
          <w:szCs w:val="22"/>
        </w:rPr>
        <w:t xml:space="preserve">Section 7</w:t>
      </w:r>
      <w:r>
        <w:rPr>
          <w:rFonts w:ascii="Calibri" w:cs="Calibri" w:eastAsia="Calibri" w:hAnsi="Calibri"/>
          <w:b w:val="false"/>
          <w:bCs w:val="false"/>
          <w:i w:val="false"/>
          <w:iCs w:val="false"/>
          <w:color w:val="1A1A1A"/>
          <w:sz w:val="22"/>
          <w:szCs w:val="22"/>
        </w:rPr>
        <w:t xml:space="preserve">'s Partner-co-funding discussion depends on. An AI-driven retention strategy that erodes Partner or rider trust (e.g., through opaque algorithmic decisions) would work against this existing CSR footprint, not merely fail to build on it — which is precisely why §11.1's ethical-AI controls are framed as risk management rather than a separate, disconnected virtue statement.</w:t>
      </w:r>
    </w:p>
    <w:p>
      <w:pPr>
        <w:pStyle w:val="Heading2"/>
        <w:spacing w:after="120" w:before="280"/>
      </w:pPr>
      <w:r>
        <w:t xml:space="preserve">11.3 Commitment to Responsible AI Practices and Governance Structures</w:t>
      </w:r>
    </w:p>
    <w:p>
      <w:pPr>
        <w:spacing w:after="160" w:before="120" w:line="276"/>
      </w:pPr>
      <w:r>
        <w:rPr>
          <w:rFonts w:ascii="Calibri" w:cs="Calibri" w:eastAsia="Calibri" w:hAnsi="Calibri"/>
          <w:b/>
          <w:bCs/>
          <w:i w:val="false"/>
          <w:iCs w:val="false"/>
          <w:color w:val="1A1A1A"/>
          <w:sz w:val="22"/>
          <w:szCs w:val="22"/>
        </w:rPr>
        <w:t xml:space="preserve">Stated plainly: no disclosed talabat responsible-AI governance body exists in the corpus.</w:t>
      </w:r>
      <w:r>
        <w:rPr>
          <w:rFonts w:ascii="Calibri" w:cs="Calibri" w:eastAsia="Calibri" w:hAnsi="Calibri"/>
          <w:b w:val="false"/>
          <w:bCs w:val="false"/>
          <w:i w:val="false"/>
          <w:iCs w:val="false"/>
          <w:color w:val="1A1A1A"/>
          <w:sz w:val="22"/>
          <w:szCs w:val="22"/>
        </w:rPr>
        <w:t xml:space="preserve"> This is distinct from, and should not be confused with, the data-protection/cybersecurity governance </w:t>
      </w:r>
      <w:r>
        <w:rPr>
          <w:rFonts w:ascii="Calibri" w:cs="Calibri" w:eastAsia="Calibri" w:hAnsi="Calibri"/>
          <w:b w:val="false"/>
          <w:bCs w:val="false"/>
          <w:i w:val="false"/>
          <w:iCs w:val="false"/>
          <w:color w:val="1A1A1A"/>
          <w:sz w:val="22"/>
          <w:szCs w:val="22"/>
        </w:rPr>
        <w:t xml:space="preserve">Section 8</w:t>
      </w:r>
      <w:r>
        <w:rPr>
          <w:rFonts w:ascii="Calibri" w:cs="Calibri" w:eastAsia="Calibri" w:hAnsi="Calibri"/>
          <w:b w:val="false"/>
          <w:bCs w:val="false"/>
          <w:i w:val="false"/>
          <w:iCs w:val="false"/>
          <w:color w:val="1A1A1A"/>
          <w:sz w:val="22"/>
          <w:szCs w:val="22"/>
        </w:rPr>
        <w:t xml:space="preserve"> already documents (a specialised information security team; regional data-protection professionals) — that team's disclosed remit is data security and privacy compliance, not AI-model fairness, bias, or explainability oversight, and the corpus never states the two are the same function.</w:t>
      </w:r>
    </w:p>
    <w:p>
      <w:pPr>
        <w:spacing w:after="160" w:before="120" w:line="276"/>
      </w:pPr>
      <w:r>
        <w:rPr>
          <w:rFonts w:ascii="Calibri" w:cs="Calibri" w:eastAsia="Calibri" w:hAnsi="Calibri"/>
          <w:b/>
          <w:bCs/>
          <w:i w:val="false"/>
          <w:iCs w:val="false"/>
          <w:color w:val="1A1A1A"/>
          <w:sz w:val="22"/>
          <w:szCs w:val="22"/>
        </w:rPr>
        <w:t xml:space="preserve">This plan's own proposed governance recommendation</w:t>
      </w:r>
      <w:r>
        <w:rPr>
          <w:rFonts w:ascii="Calibri" w:cs="Calibri" w:eastAsia="Calibri" w:hAnsi="Calibri"/>
          <w:b w:val="false"/>
          <w:bCs w:val="false"/>
          <w:i w:val="false"/>
          <w:iCs w:val="false"/>
          <w:color w:val="1A1A1A"/>
          <w:sz w:val="22"/>
          <w:szCs w:val="22"/>
        </w:rPr>
        <w:t xml:space="preserve"> (explicitly labeled as this plan's proposal, not a described talabat process): extend the role-based ownership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§10.4 already assigns for Model Transfer Risk and Algorithmic bias/fairness risk (Group AI/Data Science, in coordination with Egypt Country GM) to include an explicit, standing segment-fairness review gate before any Egypt-wide AI-driven retention rollout — not a one-time pilot check that concludes once Egypt scales, but a recurring review cadence </w:t>
      </w:r>
      <w:r>
        <w:rPr>
          <w:rFonts w:ascii="Calibri" w:cs="Calibri" w:eastAsia="Calibri" w:hAnsi="Calibri"/>
          <w:b w:val="false"/>
          <w:bCs w:val="false"/>
          <w:i w:val="false"/>
          <w:iCs w:val="false"/>
          <w:color w:val="1A1A1A"/>
          <w:sz w:val="22"/>
          <w:szCs w:val="22"/>
        </w:rPr>
        <w:t xml:space="preserve"> Section 12</w:t>
      </w:r>
      <w:r>
        <w:rPr>
          <w:rFonts w:ascii="Calibri" w:cs="Calibri" w:eastAsia="Calibri" w:hAnsi="Calibri"/>
          <w:b w:val="false"/>
          <w:bCs w:val="false"/>
          <w:i w:val="false"/>
          <w:iCs w:val="false"/>
          <w:color w:val="1A1A1A"/>
          <w:sz w:val="22"/>
          <w:szCs w:val="22"/>
        </w:rPr>
        <w:t xml:space="preserve">'s Three Horizons roadmap should schedule explicitly at each horizon transition (pilot → H1 launch → H2/H3 scaling), so responsible-AI oversight scales with the programme rather than being satisfied once at the pilot stage and left unrevisited.</w:t>
      </w:r>
    </w:p>
    <w:p>
      <w:pPr>
        <w:sectPr>
          <w:headerReference w:type="default" r:id="rId31"/>
          <w:footerReference w:type="default" r:id="rId32"/>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12. Implementation Plan</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Sequenced on the Three Horizons framework the McKinsey Lens requires, each horizon generates the evidence that justifies the next: </w:t>
      </w:r>
      <w:r>
        <w:rPr>
          <w:rFonts w:ascii="Calibri" w:cs="Calibri" w:eastAsia="Calibri" w:hAnsi="Calibri"/>
          <w:b/>
          <w:bCs/>
          <w:i w:val="false"/>
          <w:iCs w:val="false"/>
          <w:color w:val="1A1A1A"/>
          <w:sz w:val="22"/>
          <w:szCs w:val="22"/>
        </w:rPr>
        <w:t xml:space="preserve">H1</w:t>
      </w:r>
      <w:r>
        <w:rPr>
          <w:rFonts w:ascii="Calibri" w:cs="Calibri" w:eastAsia="Calibri" w:hAnsi="Calibri"/>
          <w:b w:val="false"/>
          <w:bCs w:val="false"/>
          <w:i w:val="false"/>
          <w:iCs w:val="false"/>
          <w:color w:val="1A1A1A"/>
          <w:sz w:val="22"/>
          <w:szCs w:val="22"/>
        </w:rPr>
        <w:t xml:space="preserve"> validates that talabat's already-built AI mechanisms actually perform on Egypt's population before committing further capital; </w:t>
      </w:r>
      <w:r>
        <w:rPr>
          <w:rFonts w:ascii="Calibri" w:cs="Calibri" w:eastAsia="Calibri" w:hAnsi="Calibri"/>
          <w:b/>
          <w:bCs/>
          <w:i w:val="false"/>
          <w:iCs w:val="false"/>
          <w:color w:val="1A1A1A"/>
          <w:sz w:val="22"/>
          <w:szCs w:val="22"/>
        </w:rPr>
        <w:t xml:space="preserve">H2</w:t>
      </w:r>
      <w:r>
        <w:rPr>
          <w:rFonts w:ascii="Calibri" w:cs="Calibri" w:eastAsia="Calibri" w:hAnsi="Calibri"/>
          <w:b w:val="false"/>
          <w:bCs w:val="false"/>
          <w:i w:val="false"/>
          <w:iCs w:val="false"/>
          <w:color w:val="1A1A1A"/>
          <w:sz w:val="22"/>
          <w:szCs w:val="22"/>
        </w:rPr>
        <w:t xml:space="preserve"> scales the validated mechanisms to the full Egypt customer base; </w:t>
      </w:r>
      <w:r>
        <w:rPr>
          <w:rFonts w:ascii="Calibri" w:cs="Calibri" w:eastAsia="Calibri" w:hAnsi="Calibri"/>
          <w:b/>
          <w:bCs/>
          <w:i w:val="false"/>
          <w:iCs w:val="false"/>
          <w:color w:val="1A1A1A"/>
          <w:sz w:val="22"/>
          <w:szCs w:val="22"/>
        </w:rPr>
        <w:t xml:space="preserve">H3</w:t>
      </w:r>
      <w:r>
        <w:rPr>
          <w:rFonts w:ascii="Calibri" w:cs="Calibri" w:eastAsia="Calibri" w:hAnsi="Calibri"/>
          <w:b w:val="false"/>
          <w:bCs w:val="false"/>
          <w:i w:val="false"/>
          <w:iCs w:val="false"/>
          <w:color w:val="1A1A1A"/>
          <w:sz w:val="22"/>
          <w:szCs w:val="22"/>
        </w:rPr>
        <w:t xml:space="preserve"> extends the same mechanisms cross-vertically and evaluates new options, only once H1/H2 have produced real Egypt evidence. This mirrors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§10.4's own mitigation sequencing (limited pilot before full rollout, for both Model Transfer Risk and Algorithmic bias/fairness risk) and </w:t>
      </w:r>
      <w:r>
        <w:rPr>
          <w:rFonts w:ascii="Calibri" w:cs="Calibri" w:eastAsia="Calibri" w:hAnsi="Calibri"/>
          <w:b w:val="false"/>
          <w:bCs w:val="false"/>
          <w:i w:val="false"/>
          <w:iCs w:val="false"/>
          <w:color w:val="1A1A1A"/>
          <w:sz w:val="22"/>
          <w:szCs w:val="22"/>
        </w:rPr>
        <w:t xml:space="preserve">Section 11</w:t>
      </w:r>
      <w:r>
        <w:rPr>
          <w:rFonts w:ascii="Calibri" w:cs="Calibri" w:eastAsia="Calibri" w:hAnsi="Calibri"/>
          <w:b w:val="false"/>
          <w:bCs w:val="false"/>
          <w:i w:val="false"/>
          <w:iCs w:val="false"/>
          <w:color w:val="1A1A1A"/>
          <w:sz w:val="22"/>
          <w:szCs w:val="22"/>
        </w:rPr>
        <w:t xml:space="preserve"> §11.3's proposed standing fairness-review gate — this roadmap does not introduce new sequencing logic, it operationalizes what Sections 10 and 11 already established as the plan's own risk-management discipline.</w:t>
      </w:r>
    </w:p>
    <w:p>
      <w:pPr>
        <w:pStyle w:val="Heading2"/>
        <w:spacing w:after="120" w:before="280"/>
      </w:pPr>
      <w:r>
        <w:t xml:space="preserve">Three Horizons Roadmap</w:t>
      </w:r>
    </w:p>
    <w:p>
      <w:pPr>
        <w:pStyle w:val="Heading3"/>
        <w:spacing w:after="100" w:before="220"/>
      </w:pPr>
      <w:r>
        <w:t xml:space="preserve">Horizon 1 (0–6 months) — Quick wins that fund credibility</w:t>
      </w:r>
    </w:p>
    <w:p>
      <w:pPr>
        <w:spacing w:after="160" w:before="120" w:line="276"/>
      </w:pPr>
      <w:r>
        <w:rPr>
          <w:rFonts w:ascii="Calibri" w:cs="Calibri" w:eastAsia="Calibri" w:hAnsi="Calibri"/>
          <w:b/>
          <w:bCs/>
          <w:i w:val="false"/>
          <w:iCs w:val="false"/>
          <w:color w:val="1A1A1A"/>
          <w:sz w:val="22"/>
          <w:szCs w:val="22"/>
        </w:rPr>
        <w:t xml:space="preserve">What:</w:t>
      </w:r>
      <w:r>
        <w:rPr>
          <w:rFonts w:ascii="Calibri" w:cs="Calibri" w:eastAsia="Calibri" w:hAnsi="Calibri"/>
          <w:b w:val="false"/>
          <w:bCs w:val="false"/>
          <w:i w:val="false"/>
          <w:iCs w:val="false"/>
          <w:color w:val="1A1A1A"/>
          <w:sz w:val="22"/>
          <w:szCs w:val="22"/>
        </w:rPr>
        <w:t xml:space="preserve"> a limited-scope Egypt pilot of the redeployed personalisation/ranking algorithm — the redeployment path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confirmed Option 2 commits the plan to, which </w:t>
      </w:r>
      <w:r>
        <w:rPr>
          <w:rFonts w:ascii="Calibri" w:cs="Calibri" w:eastAsia="Calibri" w:hAnsi="Calibri"/>
          <w:b w:val="false"/>
          <w:bCs w:val="false"/>
          <w:i w:val="false"/>
          <w:iCs w:val="false"/>
          <w:color w:val="1A1A1A"/>
          <w:sz w:val="22"/>
          <w:szCs w:val="22"/>
        </w:rPr>
        <w:t xml:space="preserve"> Section 5</w:t>
      </w:r>
      <w:r>
        <w:rPr>
          <w:rFonts w:ascii="Calibri" w:cs="Calibri" w:eastAsia="Calibri" w:hAnsi="Calibri"/>
          <w:b w:val="false"/>
          <w:bCs w:val="false"/>
          <w:i w:val="false"/>
          <w:iCs w:val="false"/>
          <w:color w:val="1A1A1A"/>
          <w:sz w:val="22"/>
          <w:szCs w:val="22"/>
        </w:rPr>
        <w:t xml:space="preserve"> §5.2 separately labels "Option A" in its own build/buy/partner analysis (a distinct lettering scheme from DEC-003's numbered options, not the same "Option A") — instrumented specifically to detect whether recommendation relevance and cross-sell response diverge from the GCC benchmark, with segment-level (not only aggregate) fairness monitoring built in from day one — the exact controls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§10.4 and </w:t>
      </w:r>
      <w:r>
        <w:rPr>
          <w:rFonts w:ascii="Calibri" w:cs="Calibri" w:eastAsia="Calibri" w:hAnsi="Calibri"/>
          <w:b w:val="false"/>
          <w:bCs w:val="false"/>
          <w:i w:val="false"/>
          <w:iCs w:val="false"/>
          <w:color w:val="1A1A1A"/>
          <w:sz w:val="22"/>
          <w:szCs w:val="22"/>
        </w:rPr>
        <w:t xml:space="preserve">Section 11</w:t>
      </w:r>
      <w:r>
        <w:rPr>
          <w:rFonts w:ascii="Calibri" w:cs="Calibri" w:eastAsia="Calibri" w:hAnsi="Calibri"/>
          <w:b w:val="false"/>
          <w:bCs w:val="false"/>
          <w:i w:val="false"/>
          <w:iCs w:val="false"/>
          <w:color w:val="1A1A1A"/>
          <w:sz w:val="22"/>
          <w:szCs w:val="22"/>
        </w:rPr>
        <w:t xml:space="preserve"> §11.1 already specify, not a new workstream this section invents.</w:t>
      </w:r>
    </w:p>
    <w:p>
      <w:pPr>
        <w:spacing w:after="160" w:before="120" w:line="276"/>
      </w:pPr>
      <w:r>
        <w:rPr>
          <w:rFonts w:ascii="Calibri" w:cs="Calibri" w:eastAsia="Calibri" w:hAnsi="Calibri"/>
          <w:b/>
          <w:bCs/>
          <w:i w:val="false"/>
          <w:iCs w:val="false"/>
          <w:color w:val="1A1A1A"/>
          <w:sz w:val="22"/>
          <w:szCs w:val="22"/>
        </w:rPr>
        <w:t xml:space="preserve">Milestones: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Pilot scope defined (subset of Egypt's customer base) and segment-fairness monitoring instrumented, before any customer sees a changed experience.</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Pilot launch, with go/no-go checkpoints against the GCC benchmark on both aggregate performance and segment-level fairness — not a single end-of-pilot review.</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The single highest-priority checkpoint, carried directly from Section 10's own pre-mortem ranking:</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§10.3/§10.4 names instrumenting the newly-baseline KPIs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K5–K9, K13–K14) "as early as possible" as its single highest-priority mitigation, because it is the only action that converts the upside case's Low-confidence, unproven assumption into a measured one before further capital commits. H1 adopts this as its own primary go/no-go gate, not a secondary one alongside the model-transfer/fairness checks above: </w:t>
      </w:r>
      <w:r>
        <w:rPr>
          <w:rFonts w:ascii="Calibri" w:cs="Calibri" w:eastAsia="Calibri" w:hAnsi="Calibri"/>
          <w:b/>
          <w:bCs/>
          <w:i w:val="false"/>
          <w:iCs w:val="false"/>
          <w:color w:val="1A1A1A"/>
          <w:sz w:val="22"/>
          <w:szCs w:val="22"/>
        </w:rPr>
        <w:t xml:space="preserve">H1 does not exit, and H2 does not begin, without an explicit go/no-go read against the base-case trajectory</w:t>
      </w:r>
      <w:r>
        <w:rPr>
          <w:rFonts w:ascii="Calibri" w:cs="Calibri" w:eastAsia="Calibri" w:hAnsi="Calibri"/>
          <w:b w:val="false"/>
          <w:bCs w:val="false"/>
          <w:i w:val="false"/>
          <w:iCs w:val="false"/>
          <w:color w:val="1A1A1A"/>
          <w:sz w:val="22"/>
          <w:szCs w:val="22"/>
        </w:rPr>
        <w:t xml:space="preserve"> — the exact checkpoint Section 10 §10.4 specifies for the Financial Risk row, operationalized here rather than left as a Section 10 recommendation this section never implements.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Marketing rollout (H1 scope): no acquisition-channel activity — </w:t>
      </w:r>
      <w:r>
        <w:rPr>
          <w:rFonts w:ascii="Calibri" w:cs="Calibri" w:eastAsia="Calibri" w:hAnsi="Calibri"/>
          <w:b w:val="false"/>
          <w:bCs w:val="false"/>
          <w:i w:val="false"/>
          <w:iCs w:val="false"/>
          <w:color w:val="1A1A1A"/>
          <w:sz w:val="22"/>
          <w:szCs w:val="22"/>
        </w:rPr>
        <w:t xml:space="preserve">Section 7</w:t>
      </w:r>
      <w:r>
        <w:rPr>
          <w:rFonts w:ascii="Calibri" w:cs="Calibri" w:eastAsia="Calibri" w:hAnsi="Calibri"/>
          <w:b w:val="false"/>
          <w:bCs w:val="false"/>
          <w:i w:val="false"/>
          <w:iCs w:val="false"/>
          <w:color w:val="1A1A1A"/>
          <w:sz w:val="22"/>
          <w:szCs w:val="22"/>
        </w:rPr>
        <w:t xml:space="preserve">'s positioning explicitly deprioritizes acquisition spend, and H1's pilot is retention- mechanism validation on an already-acquired customer subset, not a market-facing launch. The one H1-scoped marketing action is internal: briefing the Partner-facing teams already engaged via </w:t>
      </w:r>
      <w:r>
        <w:rPr>
          <w:rFonts w:ascii="Calibri" w:cs="Calibri" w:eastAsia="Calibri" w:hAnsi="Calibri"/>
          <w:b w:val="false"/>
          <w:bCs w:val="false"/>
          <w:i w:val="false"/>
          <w:iCs w:val="false"/>
          <w:color w:val="1A1A1A"/>
          <w:sz w:val="22"/>
          <w:szCs w:val="22"/>
        </w:rPr>
        <w:t xml:space="preserve">Section 7</w:t>
      </w:r>
      <w:r>
        <w:rPr>
          <w:rFonts w:ascii="Calibri" w:cs="Calibri" w:eastAsia="Calibri" w:hAnsi="Calibri"/>
          <w:b w:val="false"/>
          <w:bCs w:val="false"/>
          <w:i w:val="false"/>
          <w:iCs w:val="false"/>
          <w:color w:val="1A1A1A"/>
          <w:sz w:val="22"/>
          <w:szCs w:val="22"/>
        </w:rPr>
        <w:t xml:space="preserve">'s CIB-card and Partner-co-funding relationships that a limited pilot is running, so no Partner-facing surprise occurs when H2's rollout later touches those same relationships at scale.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Organizational prerequisite, not a technology one: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Section 8</w:t>
      </w:r>
      <w:r>
        <w:rPr>
          <w:rFonts w:ascii="Calibri" w:cs="Calibri" w:eastAsia="Calibri" w:hAnsi="Calibri"/>
          <w:b w:val="false"/>
          <w:bCs w:val="false"/>
          <w:i w:val="false"/>
          <w:iCs w:val="false"/>
          <w:color w:val="1A1A1A"/>
          <w:sz w:val="22"/>
          <w:szCs w:val="22"/>
        </w:rPr>
        <w:t xml:space="preserve">'s "AI-capability ownership ambiguity" finding — the corpus never confirms whether Egypt AI deployment would be owned by a dedicated Egypt function or the shared Group Tech hub — must be resolved before H1 exits.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§10.4's mitigation table is where this recommendation that ownership be named "before Section 12's implementation roadmap is drafted" actually originates (Section 8 itself credits Section 10 as the source of the underlying finding, not the other way round). This section flags it as still open, not resolved, and treats it as the single largest H1 dependency.</w:t>
      </w:r>
    </w:p>
    <w:p>
      <w:pPr>
        <w:spacing w:after="160" w:before="120" w:line="276"/>
      </w:pPr>
      <w:r>
        <w:rPr>
          <w:rFonts w:ascii="Calibri" w:cs="Calibri" w:eastAsia="Calibri" w:hAnsi="Calibri"/>
          <w:b/>
          <w:bCs/>
          <w:i w:val="false"/>
          <w:iCs w:val="false"/>
          <w:color w:val="1A1A1A"/>
          <w:sz w:val="22"/>
          <w:szCs w:val="22"/>
        </w:rPr>
        <w:t xml:space="preserve">Why H1, not H2:</w:t>
      </w:r>
      <w:r>
        <w:rPr>
          <w:rFonts w:ascii="Calibri" w:cs="Calibri" w:eastAsia="Calibri" w:hAnsi="Calibri"/>
          <w:b w:val="false"/>
          <w:bCs w:val="false"/>
          <w:i w:val="false"/>
          <w:iCs w:val="false"/>
          <w:color w:val="1A1A1A"/>
          <w:sz w:val="22"/>
          <w:szCs w:val="22"/>
        </w:rPr>
        <w:t xml:space="preserve"> this is deliberately the smallest, fastest-to-evidence step — it tests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central assumption (that Group-trained models transfer to Egypt) before committing the ≈USD13.2m Egypt-attributable investment estimate (</w:t>
      </w:r>
      <w:r>
        <w:rPr>
          <w:rFonts w:ascii="Consolas" w:cs="Consolas" w:eastAsia="Consolas" w:hAnsi="Consolas"/>
          <w:b w:val="false"/>
          <w:bCs w:val="false"/>
          <w:i w:val="false"/>
          <w:iCs w:val="false"/>
          <w:color w:val="1A1A1A"/>
          <w:sz w:val="22"/>
          <w:szCs w:val="22"/>
        </w:rPr>
        <w:t xml:space="preserve">ASM-012</w:t>
      </w:r>
      <w:r>
        <w:rPr>
          <w:rFonts w:ascii="Calibri" w:cs="Calibri" w:eastAsia="Calibri" w:hAnsi="Calibri"/>
          <w:b w:val="false"/>
          <w:bCs w:val="false"/>
          <w:i w:val="false"/>
          <w:iCs w:val="false"/>
          <w:color w:val="1A1A1A"/>
          <w:sz w:val="22"/>
          <w:szCs w:val="22"/>
        </w:rPr>
        <w:t xml:space="preserve">) to full-scale rollout, consistent with Section 10's own mitigation logic for Model Transfer Risk.</w:t>
      </w:r>
    </w:p>
    <w:p>
      <w:pPr>
        <w:pStyle w:val="Heading3"/>
        <w:spacing w:after="100" w:before="220"/>
      </w:pPr>
      <w:r>
        <w:t xml:space="preserve">Horizon 2 (6–18 months) — The core build</w:t>
      </w:r>
    </w:p>
    <w:p>
      <w:pPr>
        <w:spacing w:after="160" w:before="120" w:line="276"/>
      </w:pPr>
      <w:r>
        <w:rPr>
          <w:rFonts w:ascii="Calibri" w:cs="Calibri" w:eastAsia="Calibri" w:hAnsi="Calibri"/>
          <w:b/>
          <w:bCs/>
          <w:i w:val="false"/>
          <w:iCs w:val="false"/>
          <w:color w:val="1A1A1A"/>
          <w:sz w:val="22"/>
          <w:szCs w:val="22"/>
        </w:rPr>
        <w:t xml:space="preserve">What:</w:t>
      </w:r>
      <w:r>
        <w:rPr>
          <w:rFonts w:ascii="Calibri" w:cs="Calibri" w:eastAsia="Calibri" w:hAnsi="Calibri"/>
          <w:b w:val="false"/>
          <w:bCs w:val="false"/>
          <w:i w:val="false"/>
          <w:iCs w:val="false"/>
          <w:color w:val="1A1A1A"/>
          <w:sz w:val="22"/>
          <w:szCs w:val="22"/>
        </w:rPr>
        <w:t xml:space="preserve"> full-scale Egypt rollout of the three DEC-003-confirmed mechanisms — richer recommendation form factors, cross-sell timing/incentive optimisation, and deepened adtech-embedded personalisation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's three value mechanisms) — but </w:t>
      </w:r>
      <w:r>
        <w:rPr>
          <w:rFonts w:ascii="Calibri" w:cs="Calibri" w:eastAsia="Calibri" w:hAnsi="Calibri"/>
          <w:b/>
          <w:bCs/>
          <w:i w:val="false"/>
          <w:iCs w:val="false"/>
          <w:color w:val="1A1A1A"/>
          <w:sz w:val="22"/>
          <w:szCs w:val="22"/>
        </w:rPr>
        <w:t xml:space="preserve">only if H1's pilot clears its go/no-go checkpoints</w:t>
      </w:r>
      <w:r>
        <w:rPr>
          <w:rFonts w:ascii="Calibri" w:cs="Calibri" w:eastAsia="Calibri" w:hAnsi="Calibri"/>
          <w:b w:val="false"/>
          <w:bCs w:val="false"/>
          <w:i w:val="false"/>
          <w:iCs w:val="false"/>
          <w:color w:val="1A1A1A"/>
          <w:sz w:val="22"/>
          <w:szCs w:val="22"/>
        </w:rPr>
        <w:t xml:space="preserve">; this section does not commit to H2 unconditionally.</w:t>
      </w:r>
    </w:p>
    <w:p>
      <w:pPr>
        <w:spacing w:after="160" w:before="120" w:line="276"/>
      </w:pPr>
      <w:r>
        <w:rPr>
          <w:rFonts w:ascii="Calibri" w:cs="Calibri" w:eastAsia="Calibri" w:hAnsi="Calibri"/>
          <w:b/>
          <w:bCs/>
          <w:i w:val="false"/>
          <w:iCs w:val="false"/>
          <w:color w:val="1A1A1A"/>
          <w:sz w:val="22"/>
          <w:szCs w:val="22"/>
        </w:rPr>
        <w:t xml:space="preserve">Milestones: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Full-cohort rollout of the personalisation/cross-sell mechanisms validated in H1, sequenced by which mechanism H1's pilot evidence most strongly supports first — this section does not assume all three mechanisms scale simultaneously or at the same pace, since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 §4.2 already flags that Mechanisms 1 and 2 are not yet financially distinct in the Value Driver Tree (</w:t>
      </w:r>
      <w:r>
        <w:rPr>
          <w:rFonts w:ascii="Consolas" w:cs="Consolas" w:eastAsia="Consolas" w:hAnsi="Consolas"/>
          <w:b w:val="false"/>
          <w:bCs w:val="false"/>
          <w:i w:val="false"/>
          <w:iCs w:val="false"/>
          <w:color w:val="1A1A1A"/>
          <w:sz w:val="22"/>
          <w:szCs w:val="22"/>
        </w:rPr>
        <w:t xml:space="preserve">ASM-008</w:t>
      </w:r>
      <w:r>
        <w:rPr>
          <w:rFonts w:ascii="Calibri" w:cs="Calibri" w:eastAsia="Calibri" w:hAnsi="Calibri"/>
          <w:b w:val="false"/>
          <w:bCs w:val="false"/>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Standing segment-fairness review cadence, per </w:t>
      </w:r>
      <w:r>
        <w:rPr>
          <w:rFonts w:ascii="Calibri" w:cs="Calibri" w:eastAsia="Calibri" w:hAnsi="Calibri"/>
          <w:b w:val="false"/>
          <w:bCs w:val="false"/>
          <w:i w:val="false"/>
          <w:iCs w:val="false"/>
          <w:color w:val="1A1A1A"/>
          <w:sz w:val="22"/>
          <w:szCs w:val="22"/>
        </w:rPr>
        <w:t xml:space="preserve">Section 11</w:t>
      </w:r>
      <w:r>
        <w:rPr>
          <w:rFonts w:ascii="Calibri" w:cs="Calibri" w:eastAsia="Calibri" w:hAnsi="Calibri"/>
          <w:b w:val="false"/>
          <w:bCs w:val="false"/>
          <w:i w:val="false"/>
          <w:iCs w:val="false"/>
          <w:color w:val="1A1A1A"/>
          <w:sz w:val="22"/>
          <w:szCs w:val="22"/>
        </w:rPr>
        <w:t xml:space="preserve"> §11.3's proposed governance gate, scheduled explicitly at this horizon transition (not a one-time H1 check that goes unrevisited).</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Marketing rollout (H2 scope, sequenced not restated):</w:t>
      </w:r>
      <w:r>
        <w:rPr>
          <w:rFonts w:ascii="Calibri" w:cs="Calibri" w:eastAsia="Calibri" w:hAnsi="Calibri"/>
          <w:b w:val="false"/>
          <w:bCs w:val="false"/>
          <w:i w:val="false"/>
          <w:iCs w:val="false"/>
          <w:color w:val="1A1A1A"/>
          <w:sz w:val="22"/>
          <w:szCs w:val="22"/>
        </w:rPr>
        <w:t xml:space="preserve"> this section does not re-derive </w:t>
      </w:r>
      <w:r>
        <w:rPr>
          <w:rFonts w:ascii="Calibri" w:cs="Calibri" w:eastAsia="Calibri" w:hAnsi="Calibri"/>
          <w:b w:val="false"/>
          <w:bCs w:val="false"/>
          <w:i w:val="false"/>
          <w:iCs w:val="false"/>
          <w:color w:val="1A1A1A"/>
          <w:sz w:val="22"/>
          <w:szCs w:val="22"/>
        </w:rPr>
        <w:t xml:space="preserve">Section 7</w:t>
      </w:r>
      <w:r>
        <w:rPr>
          <w:rFonts w:ascii="Calibri" w:cs="Calibri" w:eastAsia="Calibri" w:hAnsi="Calibri"/>
          <w:b w:val="false"/>
          <w:bCs w:val="false"/>
          <w:i w:val="false"/>
          <w:iCs w:val="false"/>
          <w:color w:val="1A1A1A"/>
          <w:sz w:val="22"/>
          <w:szCs w:val="22"/>
        </w:rPr>
        <w:t xml:space="preserve">'s positioning and channel strategy, but it does sequence when each piece of it activates. Order of activation: (1) internal Partner/rider communication first — extending H1's limited pilot briefing to the full Partner base before customers see any change, consistent with </w:t>
      </w:r>
      <w:r>
        <w:rPr>
          <w:rFonts w:ascii="Calibri" w:cs="Calibri" w:eastAsia="Calibri" w:hAnsi="Calibri"/>
          <w:b w:val="false"/>
          <w:bCs w:val="false"/>
          <w:i w:val="false"/>
          <w:iCs w:val="false"/>
          <w:color w:val="1A1A1A"/>
          <w:sz w:val="22"/>
          <w:szCs w:val="22"/>
        </w:rPr>
        <w:t xml:space="preserve">Section 11</w:t>
      </w:r>
      <w:r>
        <w:rPr>
          <w:rFonts w:ascii="Calibri" w:cs="Calibri" w:eastAsia="Calibri" w:hAnsi="Calibri"/>
          <w:b w:val="false"/>
          <w:bCs w:val="false"/>
          <w:i w:val="false"/>
          <w:iCs w:val="false"/>
          <w:color w:val="1A1A1A"/>
          <w:sz w:val="22"/>
          <w:szCs w:val="22"/>
        </w:rPr>
        <w:t xml:space="preserve"> §11.2's point that eroding Partner trust would work against talabat's existing Egypt CSR footprint; (2) CIB co-branded card and Partner-co-funded offer messaging next, since these are already-live Egypt relationships (</w:t>
      </w:r>
      <w:r>
        <w:rPr>
          <w:rFonts w:ascii="Calibri" w:cs="Calibri" w:eastAsia="Calibri" w:hAnsi="Calibri"/>
          <w:b w:val="false"/>
          <w:bCs w:val="false"/>
          <w:i w:val="false"/>
          <w:iCs w:val="false"/>
          <w:color w:val="1A1A1A"/>
          <w:sz w:val="22"/>
          <w:szCs w:val="22"/>
        </w:rPr>
        <w:t xml:space="preserve">Section 7</w:t>
      </w:r>
      <w:r>
        <w:rPr>
          <w:rFonts w:ascii="Calibri" w:cs="Calibri" w:eastAsia="Calibri" w:hAnsi="Calibri"/>
          <w:b w:val="false"/>
          <w:bCs w:val="false"/>
          <w:i w:val="false"/>
          <w:iCs w:val="false"/>
          <w:color w:val="1A1A1A"/>
          <w:sz w:val="22"/>
          <w:szCs w:val="22"/>
        </w:rPr>
        <w:t xml:space="preserve">'s Partnerships subsection) that need no new channel build; (3) broader retention-messaging rollout (talabat pro/Rewards timing changes visible to customers) last, once (1) and (2) are live — deliberately the slowest-to-activate piece, since it is the one most exposed to the fairness/performance risk H1's checkpoints were built to catch.</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H2→H3 gate, not an unconditional progression:</w:t>
      </w:r>
      <w:r>
        <w:rPr>
          <w:rFonts w:ascii="Calibri" w:cs="Calibri" w:eastAsia="Calibri" w:hAnsi="Calibri"/>
          <w:b w:val="false"/>
          <w:bCs w:val="false"/>
          <w:i w:val="false"/>
          <w:iCs w:val="false"/>
          <w:color w:val="1A1A1A"/>
          <w:sz w:val="22"/>
          <w:szCs w:val="22"/>
        </w:rPr>
        <w:t xml:space="preserve"> H3 does not begin on a fixed calendar date. It begins only once H2's full-cohort rollout has produced at least one full reporting cycle of Egypt-specific evidence against the same KPIs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K5–K9, K13–K14) H1's checkpoint used — i.e., H3 requires proof the mechanisms work at Egypt scale, not only in a limited pilot, before extending them to a second vertical. This mirrors the template's own instruction that "each horizon should generate the evidence that justifies the next," applied to the H2→H3 transition with the same rigor H1→H2 already has.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Development timelines: the corpus discloses no SDLC, release cadence, or model-retraining schedule at either Group or Egypt level (</w:t>
      </w:r>
      <w:r>
        <w:rPr>
          <w:rFonts w:ascii="Calibri" w:cs="Calibri" w:eastAsia="Calibri" w:hAnsi="Calibri"/>
          <w:b w:val="false"/>
          <w:bCs w:val="false"/>
          <w:i w:val="false"/>
          <w:iCs w:val="false"/>
          <w:color w:val="1A1A1A"/>
          <w:sz w:val="22"/>
          <w:szCs w:val="22"/>
        </w:rPr>
        <w:t xml:space="preserve">Section 8</w:t>
      </w:r>
      <w:r>
        <w:rPr>
          <w:rFonts w:ascii="Calibri" w:cs="Calibri" w:eastAsia="Calibri" w:hAnsi="Calibri"/>
          <w:b w:val="false"/>
          <w:bCs w:val="false"/>
          <w:i w:val="false"/>
          <w:iCs w:val="false"/>
          <w:color w:val="1A1A1A"/>
          <w:sz w:val="22"/>
          <w:szCs w:val="22"/>
        </w:rPr>
        <w:t xml:space="preserve">'s explicit gap statement) — this section does not fabricate one; H2's own milestone is establishing that cadence for the first time, named here as a deliverable, not assumed to already exist.</w:t>
      </w:r>
    </w:p>
    <w:p>
      <w:pPr>
        <w:pStyle w:val="Heading3"/>
        <w:spacing w:after="100" w:before="220"/>
      </w:pPr>
      <w:r>
        <w:t xml:space="preserve">Horizon 3 (18+ months) — Scaling and new options</w:t>
      </w:r>
    </w:p>
    <w:p>
      <w:pPr>
        <w:spacing w:after="160" w:before="120" w:line="276"/>
      </w:pPr>
      <w:r>
        <w:rPr>
          <w:rFonts w:ascii="Calibri" w:cs="Calibri" w:eastAsia="Calibri" w:hAnsi="Calibri"/>
          <w:b/>
          <w:bCs/>
          <w:i w:val="false"/>
          <w:iCs w:val="false"/>
          <w:color w:val="1A1A1A"/>
          <w:sz w:val="22"/>
          <w:szCs w:val="22"/>
        </w:rPr>
        <w:t xml:space="preserve">What:</w:t>
      </w:r>
      <w:r>
        <w:rPr>
          <w:rFonts w:ascii="Calibri" w:cs="Calibri" w:eastAsia="Calibri" w:hAnsi="Calibri"/>
          <w:b w:val="false"/>
          <w:bCs w:val="false"/>
          <w:i w:val="false"/>
          <w:iCs w:val="false"/>
          <w:color w:val="1A1A1A"/>
          <w:sz w:val="22"/>
          <w:szCs w:val="22"/>
        </w:rPr>
        <w:t xml:space="preserve"> cross-vertical extension of the same validated mechanisms into Groceries &amp; Retail (tMart/quick-commerce), where Group-level penetration is still "low single-digit" against a large TAM (TLB-014, page 19, cited via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§3.4) — the clearest, already-evidenced next option, rather than an invented one.</w:t>
      </w:r>
    </w:p>
    <w:p>
      <w:pPr>
        <w:spacing w:after="160" w:before="120" w:line="276"/>
      </w:pPr>
      <w:r>
        <w:rPr>
          <w:rFonts w:ascii="Calibri" w:cs="Calibri" w:eastAsia="Calibri" w:hAnsi="Calibri"/>
          <w:b/>
          <w:bCs/>
          <w:i w:val="false"/>
          <w:iCs w:val="false"/>
          <w:color w:val="1A1A1A"/>
          <w:sz w:val="22"/>
          <w:szCs w:val="22"/>
        </w:rPr>
        <w:t xml:space="preserve">Milestones: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Extend AI-driven recommendation/cross-sell timing from Food-vertical orders into Grocery &amp; Retail orders, building on the same customer base H2 already onboarded, not a new acquisition effort (</w:t>
      </w:r>
      <w:r>
        <w:rPr>
          <w:rFonts w:ascii="Calibri" w:cs="Calibri" w:eastAsia="Calibri" w:hAnsi="Calibri"/>
          <w:b w:val="false"/>
          <w:bCs w:val="false"/>
          <w:i w:val="false"/>
          <w:iCs w:val="false"/>
          <w:color w:val="1A1A1A"/>
          <w:sz w:val="22"/>
          <w:szCs w:val="22"/>
        </w:rPr>
        <w:t xml:space="preserve">Section 7</w:t>
      </w:r>
      <w:r>
        <w:rPr>
          <w:rFonts w:ascii="Calibri" w:cs="Calibri" w:eastAsia="Calibri" w:hAnsi="Calibri"/>
          <w:b w:val="false"/>
          <w:bCs w:val="false"/>
          <w:i w:val="false"/>
          <w:iCs w:val="false"/>
          <w:color w:val="1A1A1A"/>
          <w:sz w:val="22"/>
          <w:szCs w:val="22"/>
        </w:rPr>
        <w:t xml:space="preserve">'s positioning already deprioritizes new acquisition as the primary lever).</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Marketing rollout (H3 scope):</w:t>
      </w:r>
      <w:r>
        <w:rPr>
          <w:rFonts w:ascii="Calibri" w:cs="Calibri" w:eastAsia="Calibri" w:hAnsi="Calibri"/>
          <w:b w:val="false"/>
          <w:bCs w:val="false"/>
          <w:i w:val="false"/>
          <w:iCs w:val="false"/>
          <w:color w:val="1A1A1A"/>
          <w:sz w:val="22"/>
          <w:szCs w:val="22"/>
        </w:rPr>
        <w:t xml:space="preserve"> extends H2's activation order (Partner/rider communication → co-funded/card-linked messaging → customer-facing retention messaging) into the Grocery &amp; Retail vertical, reusing the same sequence rather than inventing a new one — the one H3-specific addition is timing the extension to when tMart-side Partners, not only Food-vertical Partners, have received the same internal briefing H1/H2 gave Food-side Partners.</w:t>
      </w:r>
    </w:p>
    <w:p>
      <w:pPr>
        <w:pStyle w:val="ListParagraph"/>
        <w:numPr>
          <w:ilvl w:val="0"/>
          <w:numId w:val="3"/>
        </w:numPr>
        <w:spacing w:after="80" w:before="40" w:line="276"/>
      </w:pPr>
      <w:r>
        <w:rPr>
          <w:rFonts w:ascii="Calibri" w:cs="Calibri" w:eastAsia="Calibri" w:hAnsi="Calibri"/>
          <w:b w:val="false"/>
          <w:bCs w:val="false"/>
          <w:i w:val="false"/>
          <w:iCs w:val="false"/>
          <w:color w:val="1A1A1A"/>
          <w:sz w:val="22"/>
          <w:szCs w:val="22"/>
        </w:rPr>
        <w:t xml:space="preserve">Team expansion: the corpus discloses no Egypt-specific AI/data-science headcount figure — this section does not invent a hiring plan the corpus cannot support; the concrete, evidenced recruitment-adjacent fact is the existing 1,500-person Global Tech &amp; Shared Services hub (</w:t>
      </w:r>
      <w:r>
        <w:rPr>
          <w:rFonts w:ascii="Consolas" w:cs="Consolas" w:eastAsia="Consolas" w:hAnsi="Consolas"/>
          <w:b w:val="false"/>
          <w:bCs w:val="false"/>
          <w:i w:val="false"/>
          <w:iCs w:val="false"/>
          <w:color w:val="1A1A1A"/>
          <w:sz w:val="22"/>
          <w:szCs w:val="22"/>
        </w:rPr>
        <w:t xml:space="preserve">ASM-004</w:t>
      </w:r>
      <w:r>
        <w:rPr>
          <w:rFonts w:ascii="Calibri" w:cs="Calibri" w:eastAsia="Calibri" w:hAnsi="Calibri"/>
          <w:b w:val="false"/>
          <w:bCs w:val="false"/>
          <w:i w:val="false"/>
          <w:iCs w:val="false"/>
          <w:color w:val="1A1A1A"/>
          <w:sz w:val="22"/>
          <w:szCs w:val="22"/>
        </w:rPr>
        <w:t xml:space="preserve">), and H3's team-expansion milestone is formalizing whether Egypt scaling requires a dedicated local function (resolving the H1 ownership-ambiguity dependency in the direction scale requires) rather than continuing to draw on the shared hub indefinitely.</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What this section explicitly does NOT propose as an H3 "new option":</w:t>
      </w:r>
      <w:r>
        <w:rPr>
          <w:rFonts w:ascii="Calibri" w:cs="Calibri" w:eastAsia="Calibri" w:hAnsi="Calibri"/>
          <w:b w:val="false"/>
          <w:bCs w:val="false"/>
          <w:i w:val="false"/>
          <w:iCs w:val="false"/>
          <w:color w:val="1A1A1A"/>
          <w:sz w:val="22"/>
          <w:szCs w:val="22"/>
        </w:rPr>
        <w:t xml:space="preserve"> an Egypt-specific AI-driven churn-prediction/early-tenure-intervention capability, despite </w:t>
      </w:r>
      <w:r>
        <w:rPr>
          <w:rFonts w:ascii="Consolas" w:cs="Consolas" w:eastAsia="Consolas" w:hAnsi="Consolas"/>
          <w:b w:val="false"/>
          <w:bCs w:val="false"/>
          <w:i w:val="false"/>
          <w:iCs w:val="false"/>
          <w:color w:val="1A1A1A"/>
          <w:sz w:val="22"/>
          <w:szCs w:val="22"/>
        </w:rPr>
        <w:t xml:space="preserve">Strategic/Future AI Opportunities.md</w:t>
      </w:r>
      <w:r>
        <w:rPr>
          <w:rFonts w:ascii="Calibri" w:cs="Calibri" w:eastAsia="Calibri" w:hAnsi="Calibri"/>
          <w:b w:val="false"/>
          <w:bCs w:val="false"/>
          <w:i w:val="false"/>
          <w:iCs w:val="false"/>
          <w:color w:val="1A1A1A"/>
          <w:sz w:val="22"/>
          <w:szCs w:val="22"/>
        </w:rPr>
        <w:t xml:space="preserve"> naming exactly this as its own recommended next step. That note's argument is well-evidenced on its own terms (Egypt's profitability inflection, the personalisation threshold's implied elevated-churn-risk window, the GEMs Partner-side precedent) — but it is built toward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unchosen Option 1 (churn-prediction), not the user-confirmed Option 2 this entire plan is built on. Naming it here, and explaining why it is excluded rather than silently omitting it, is the same discipline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's corrected GEMs bullet already established for this exact document.</w:t>
      </w:r>
    </w:p>
    <w:p>
      <w:pPr>
        <w:sectPr>
          <w:headerReference w:type="default" r:id="rId33"/>
          <w:footerReference w:type="default" r:id="rId34"/>
          <w:type w:val="nextPage"/>
          <w:pgSz w:w="12240" w:h="15840" w:orient="portrait"/>
          <w:pgMar w:top="1440" w:right="1440" w:bottom="1440" w:left="1440" w:header="708" w:footer="708" w:gutter="0"/>
          <w:pgNumType/>
          <w:docGrid w:linePitch="360"/>
        </w:sectPr>
      </w:pPr>
    </w:p>
    <w:p>
      <w:pPr>
        <w:pStyle w:val="Heading1"/>
        <w:pBdr>
          <w:bottom w:val="single" w:color="FF5A00" w:sz="18" w:space="10"/>
        </w:pBdr>
        <w:spacing w:after="240" w:before="0"/>
      </w:pPr>
      <w:r>
        <w:t xml:space="preserve">13. Monitoring and Evaluation</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Every KPI in this section is a leaf of </w:t>
      </w:r>
      <w:r>
        <w:rPr>
          <w:rFonts w:ascii="Calibri" w:cs="Calibri" w:eastAsia="Calibri" w:hAnsi="Calibri"/>
          <w:b w:val="false"/>
          <w:bCs w:val="false"/>
          <w:i w:val="false"/>
          <w:iCs w:val="false"/>
          <w:color w:val="1A1A1A"/>
          <w:sz w:val="22"/>
          <w:szCs w:val="22"/>
        </w:rPr>
        <w:t xml:space="preserve">the Value Driver Tree</w:t>
      </w:r>
      <w:r>
        <w:rPr>
          <w:rFonts w:ascii="Calibri" w:cs="Calibri" w:eastAsia="Calibri" w:hAnsi="Calibri"/>
          <w:b w:val="false"/>
          <w:bCs w:val="false"/>
          <w:i w:val="false"/>
          <w:iCs w:val="false"/>
          <w:color w:val="1A1A1A"/>
          <w:sz w:val="22"/>
          <w:szCs w:val="22"/>
        </w:rPr>
        <w:t xml:space="preserve"> — none is invented for topical completeness, per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own build discipline. Per </w:t>
      </w:r>
      <w:r>
        <w:rPr>
          <w:rFonts w:ascii="Consolas" w:cs="Consolas" w:eastAsia="Consolas" w:hAnsi="Consolas"/>
          <w:b w:val="false"/>
          <w:bCs w:val="false"/>
          <w:i w:val="false"/>
          <w:iCs w:val="false"/>
          <w:color w:val="1A1A1A"/>
          <w:sz w:val="22"/>
          <w:szCs w:val="22"/>
        </w:rPr>
        <w:t xml:space="preserve">DEC-007</w:t>
      </w:r>
      <w:r>
        <w:rPr>
          <w:rFonts w:ascii="Calibri" w:cs="Calibri" w:eastAsia="Calibri" w:hAnsi="Calibri"/>
          <w:b w:val="false"/>
          <w:bCs w:val="false"/>
          <w:i w:val="false"/>
          <w:iCs w:val="false"/>
          <w:color w:val="1A1A1A"/>
          <w:sz w:val="22"/>
          <w:szCs w:val="22"/>
        </w:rPr>
        <w:t xml:space="preserve">, review cadence and kill criteria operationalize the go/no-go checkpoints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§10.3/§10.4 and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's H1/H2 sections already built, rather than fabricating numeric thresholds this plan's evidence base cannot support. No metric here is "vanity" in the template's own sense — each traces to a named driver-tree node, and where no Egypt baseline exists, this section states that plainly rather than inventing one.</w:t>
      </w:r>
    </w:p>
    <w:p>
      <w:pPr>
        <w:pStyle w:val="Heading2"/>
        <w:spacing w:after="120" w:before="280"/>
      </w:pPr>
      <w:r>
        <w:t xml:space="preserve">13.1 KPIs Mapped to the Value Driver Tree</w:t>
      </w:r>
    </w:p>
    <w:p>
      <w:pPr>
        <w:spacing w:after="160" w:before="120" w:line="276"/>
      </w:pP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 registers 16 KPIs, each traced to a specific </w:t>
      </w:r>
      <w:r>
        <w:rPr>
          <w:rFonts w:ascii="Calibri" w:cs="Calibri" w:eastAsia="Calibri" w:hAnsi="Calibri"/>
          <w:b w:val="false"/>
          <w:bCs w:val="false"/>
          <w:i w:val="false"/>
          <w:iCs w:val="false"/>
          <w:color w:val="1A1A1A"/>
          <w:sz w:val="22"/>
          <w:szCs w:val="22"/>
        </w:rPr>
        <w:t xml:space="preserve">Value Driver Tree</w:t>
      </w:r>
      <w:r>
        <w:rPr>
          <w:rFonts w:ascii="Calibri" w:cs="Calibri" w:eastAsia="Calibri" w:hAnsi="Calibri"/>
          <w:b w:val="false"/>
          <w:bCs w:val="false"/>
          <w:i w:val="false"/>
          <w:iCs w:val="false"/>
          <w:color w:val="1A1A1A"/>
          <w:sz w:val="22"/>
          <w:szCs w:val="22"/>
        </w:rPr>
        <w:t xml:space="preserve"> node:</w:t>
      </w:r>
    </w:p>
    <w:p>
      <w:pPr>
        <w:spacing w:after="40" w:before="60"/>
      </w:pPr>
      <w:r>
        <w:rPr>
          <w:rFonts w:ascii="Calibri" w:cs="Calibri" w:eastAsia="Calibri" w:hAnsi="Calibri"/>
          <w:b/>
          <w:bCs/>
          <w:i/>
          <w:iCs/>
          <w:color w:val="595959"/>
          <w:sz w:val="18"/>
          <w:szCs w:val="18"/>
        </w:rPr>
        <w:t xml:space="preserve">Table 15.</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72"/>
        <w:gridCol w:w="1872"/>
        <w:gridCol w:w="1872"/>
        <w:gridCol w:w="1872"/>
        <w:gridCol w:w="1872"/>
      </w:tblGrid>
      <w:tr>
        <w:trPr>
          <w:tblHeader/>
        </w:trPr>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KPI</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Driver-tree node</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Leading/Lagging</w:t>
            </w:r>
          </w:p>
        </w:tc>
        <w:tc>
          <w:tcPr>
            <w:tcW w:type="dxa" w:w="1872"/>
            <w:shd w:fill="FF5A00" w:val="clear"/>
            <w:tcMar>
              <w:top w:type="dxa" w:w="80"/>
              <w:left w:type="dxa" w:w="100"/>
              <w:bottom w:type="dxa" w:w="80"/>
              <w:right w:type="dxa" w:w="100"/>
            </w:tcMar>
            <w:vAlign w:val="center"/>
          </w:tcPr>
          <w:p>
            <w:r>
              <w:rPr>
                <w:rFonts w:ascii="Calibri" w:cs="Calibri" w:eastAsia="Calibri" w:hAnsi="Calibri"/>
                <w:b/>
                <w:bCs/>
                <w:i w:val="false"/>
                <w:iCs w:val="false"/>
                <w:color w:val="FFFFFF"/>
                <w:sz w:val="20"/>
                <w:szCs w:val="20"/>
              </w:rPr>
              <w:t xml:space="preserve">Baseline</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R1</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segment revenue (USD)</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Root</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Lagging</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Exists (TLB-002 p.111; TLB-010 p.20)</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R2</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gross margin %</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Root</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Lagging</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Exists</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R3</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profit before tax</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Root</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Lagging</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Exists</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R4</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Delivery cost as % of Egypt revenue</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Root</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Lagging</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Exists (~22%)</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K5</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Active customers in Egypt + growth rate</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ASM-007</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Leading</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K6</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Orders per active customer per month (Egypt)</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ASM-008</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Leading</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K7</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talabat pro adoption rate (Egypt)</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ASM-008</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Leading</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K8</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12-month customer retention rate (Egypt)</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ASM-008</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Lagging</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K9</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Churn rate to competition (Egypt)</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ASM-008</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Lagging</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K10</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Average order value (Egypt)</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ASM-009</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Lagging</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K11</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GMV (USD)</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ASM-010</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Lagging</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K12</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take rate (revenue ÷ GMV)</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ASM-010</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Lagging</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K13</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Egypt advertising revenue, % of segment revenue</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ASM-011</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Leading</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K14</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Active/paying advertisers (Egypt)</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ASM-011</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Leading</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K15</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Actual Egypt AI-roadmap investment spend</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ASM-012</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Lagging</w:t>
            </w:r>
          </w:p>
        </w:tc>
        <w:tc>
          <w:tcPr>
            <w:tcW w:type="dxa" w:w="1872"/>
            <w:shd w:fill="FFFFF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r>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K16</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Incremental Egypt revenue from DEC-003 intervention (upside delta)</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ASM-008+ASM-011+Root</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Leading</w:t>
            </w:r>
          </w:p>
        </w:tc>
        <w:tc>
          <w:tcPr>
            <w:tcW w:type="dxa" w:w="1872"/>
            <w:shd w:fill="F7F3EF" w:val="clear"/>
            <w:tcMar>
              <w:top w:type="dxa" w:w="60"/>
              <w:left w:type="dxa" w:w="100"/>
              <w:bottom w:type="dxa" w:w="60"/>
              <w:right w:type="dxa" w:w="100"/>
            </w:tcMar>
            <w:vAlign w:val="top"/>
          </w:tcPr>
          <w:p>
            <w:pPr>
              <w:spacing w:line="250"/>
            </w:pPr>
            <w:r>
              <w:rPr>
                <w:rFonts w:ascii="Calibri" w:cs="Calibri" w:eastAsia="Calibri" w:hAnsi="Calibri"/>
                <w:b w:val="false"/>
                <w:bCs w:val="false"/>
                <w:i w:val="false"/>
                <w:iCs w:val="false"/>
                <w:color w:val="1A1A1A"/>
                <w:sz w:val="18"/>
                <w:szCs w:val="18"/>
              </w:rPr>
              <w:t xml:space="preserve">None</w:t>
            </w:r>
          </w:p>
        </w:tc>
      </w:tr>
    </w:tbl>
    <w:p>
      <w:pPr>
        <w:spacing w:after="160" w:before="120" w:line="276"/>
      </w:pPr>
      <w:r>
        <w:rPr>
          <w:rFonts w:ascii="Calibri" w:cs="Calibri" w:eastAsia="Calibri" w:hAnsi="Calibri"/>
          <w:b w:val="false"/>
          <w:bCs w:val="false"/>
          <w:i w:val="false"/>
          <w:iCs w:val="false"/>
          <w:color w:val="1A1A1A"/>
          <w:sz w:val="22"/>
          <w:szCs w:val="22"/>
        </w:rPr>
        <w:t xml:space="preserve">This section reproduces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registered set rather than re-deriving a parallel list — a second, independently-invented KPI set here would violate the same cross-section-consistency discipline independent QA has already enforced elsewhere in this plan (</w:t>
      </w:r>
      <w:r>
        <w:rPr>
          <w:rFonts w:ascii="Consolas" w:cs="Consolas" w:eastAsia="Consolas" w:hAnsi="Consolas"/>
          <w:b w:val="false"/>
          <w:bCs w:val="false"/>
          <w:i w:val="false"/>
          <w:iCs w:val="false"/>
          <w:color w:val="1A1A1A"/>
          <w:sz w:val="22"/>
          <w:szCs w:val="22"/>
        </w:rPr>
        <w:t xml:space="preserve">QA_Review_Section_10_Comparison.md</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QA_Review_Section_12.md</w:t>
      </w:r>
      <w:r>
        <w:rPr>
          <w:rFonts w:ascii="Calibri" w:cs="Calibri" w:eastAsia="Calibri" w:hAnsi="Calibri"/>
          <w:b w:val="false"/>
          <w:bCs w:val="false"/>
          <w:i w:val="false"/>
          <w:iCs w:val="false"/>
          <w:color w:val="1A1A1A"/>
          <w:sz w:val="22"/>
          <w:szCs w:val="22"/>
        </w:rPr>
        <w:t xml:space="preserve">).</w:t>
      </w:r>
    </w:p>
    <w:p>
      <w:pPr>
        <w:spacing w:after="160" w:before="120" w:line="276"/>
      </w:pPr>
      <w:r>
        <w:rPr>
          <w:rFonts w:ascii="Calibri" w:cs="Calibri" w:eastAsia="Calibri" w:hAnsi="Calibri"/>
          <w:b/>
          <w:bCs/>
          <w:i w:val="false"/>
          <w:iCs w:val="false"/>
          <w:color w:val="1A1A1A"/>
          <w:sz w:val="22"/>
          <w:szCs w:val="22"/>
        </w:rPr>
        <w:t xml:space="preserve">On the template's own named examples (CAC, MRR, churn rate, product usage):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Churn rate</w:t>
      </w:r>
      <w:r>
        <w:rPr>
          <w:rFonts w:ascii="Calibri" w:cs="Calibri" w:eastAsia="Calibri" w:hAnsi="Calibri"/>
          <w:b w:val="false"/>
          <w:bCs w:val="false"/>
          <w:i w:val="false"/>
          <w:iCs w:val="false"/>
          <w:color w:val="1A1A1A"/>
          <w:sz w:val="22"/>
          <w:szCs w:val="22"/>
        </w:rPr>
        <w:t xml:space="preserve"> maps directly to </w:t>
      </w:r>
      <w:r>
        <w:rPr>
          <w:rFonts w:ascii="Calibri" w:cs="Calibri" w:eastAsia="Calibri" w:hAnsi="Calibri"/>
          <w:b/>
          <w:bCs/>
          <w:i w:val="false"/>
          <w:iCs w:val="false"/>
          <w:color w:val="1A1A1A"/>
          <w:sz w:val="22"/>
          <w:szCs w:val="22"/>
        </w:rPr>
        <w:t xml:space="preserve">K9</w:t>
      </w:r>
      <w:r>
        <w:rPr>
          <w:rFonts w:ascii="Calibri" w:cs="Calibri" w:eastAsia="Calibri" w:hAnsi="Calibri"/>
          <w:b w:val="false"/>
          <w:bCs w:val="false"/>
          <w:i w:val="false"/>
          <w:iCs w:val="false"/>
          <w:color w:val="1A1A1A"/>
          <w:sz w:val="22"/>
          <w:szCs w:val="22"/>
        </w:rPr>
        <w:t xml:space="preserve">. As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 itself states, no churn figure — Egypt or Group — exists anywhere in the corpus (</w:t>
      </w:r>
      <w:r>
        <w:rPr>
          <w:rFonts w:ascii="Consolas" w:cs="Consolas" w:eastAsia="Consolas" w:hAnsi="Consolas"/>
          <w:b w:val="false"/>
          <w:bCs w:val="false"/>
          <w:i w:val="false"/>
          <w:iCs w:val="false"/>
          <w:color w:val="1A1A1A"/>
          <w:sz w:val="22"/>
          <w:szCs w:val="22"/>
        </w:rPr>
        <w:t xml:space="preserve">Topics/Customer Churn.md</w:t>
      </w:r>
      <w:r>
        <w:rPr>
          <w:rFonts w:ascii="Calibri" w:cs="Calibri" w:eastAsia="Calibri" w:hAnsi="Calibri"/>
          <w:b w:val="false"/>
          <w:bCs w:val="false"/>
          <w:i w:val="false"/>
          <w:iCs w:val="false"/>
          <w:color w:val="1A1A1A"/>
          <w:sz w:val="22"/>
          <w:szCs w:val="22"/>
        </w:rPr>
        <w:t xml:space="preserve">); K9 starts measurement from zero.</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Product usage metrics</w:t>
      </w:r>
      <w:r>
        <w:rPr>
          <w:rFonts w:ascii="Calibri" w:cs="Calibri" w:eastAsia="Calibri" w:hAnsi="Calibri"/>
          <w:b w:val="false"/>
          <w:bCs w:val="false"/>
          <w:i w:val="false"/>
          <w:iCs w:val="false"/>
          <w:color w:val="1A1A1A"/>
          <w:sz w:val="22"/>
          <w:szCs w:val="22"/>
        </w:rPr>
        <w:t xml:space="preserve"> map to </w:t>
      </w:r>
      <w:r>
        <w:rPr>
          <w:rFonts w:ascii="Calibri" w:cs="Calibri" w:eastAsia="Calibri" w:hAnsi="Calibri"/>
          <w:b/>
          <w:bCs/>
          <w:i w:val="false"/>
          <w:iCs w:val="false"/>
          <w:color w:val="1A1A1A"/>
          <w:sz w:val="22"/>
          <w:szCs w:val="22"/>
        </w:rPr>
        <w:t xml:space="preserve">K6</w:t>
      </w:r>
      <w:r>
        <w:rPr>
          <w:rFonts w:ascii="Calibri" w:cs="Calibri" w:eastAsia="Calibri" w:hAnsi="Calibri"/>
          <w:b w:val="false"/>
          <w:bCs w:val="false"/>
          <w:i w:val="false"/>
          <w:iCs w:val="false"/>
          <w:color w:val="1A1A1A"/>
          <w:sz w:val="22"/>
          <w:szCs w:val="22"/>
        </w:rPr>
        <w:t xml:space="preserve"> (orders per active customer per month) and </w:t>
      </w:r>
      <w:r>
        <w:rPr>
          <w:rFonts w:ascii="Calibri" w:cs="Calibri" w:eastAsia="Calibri" w:hAnsi="Calibri"/>
          <w:b/>
          <w:bCs/>
          <w:i w:val="false"/>
          <w:iCs w:val="false"/>
          <w:color w:val="1A1A1A"/>
          <w:sz w:val="22"/>
          <w:szCs w:val="22"/>
        </w:rPr>
        <w:t xml:space="preserve">K7</w:t>
      </w:r>
      <w:r>
        <w:rPr>
          <w:rFonts w:ascii="Calibri" w:cs="Calibri" w:eastAsia="Calibri" w:hAnsi="Calibri"/>
          <w:b w:val="false"/>
          <w:bCs w:val="false"/>
          <w:i w:val="false"/>
          <w:iCs w:val="false"/>
          <w:color w:val="1A1A1A"/>
          <w:sz w:val="22"/>
          <w:szCs w:val="22"/>
        </w:rPr>
        <w:t xml:space="preserve"> (talabat pro adoption rate) — the two closest disclosed-mechanism analogs to "usage" for a marketplace/delivery platform, rather than a SaaS-style engagement metric the corpus has no equivalent for.</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Customer Acquisition Cost (CAC)</w:t>
      </w:r>
      <w:r>
        <w:rPr>
          <w:rFonts w:ascii="Calibri" w:cs="Calibri" w:eastAsia="Calibri" w:hAnsi="Calibri"/>
          <w:b w:val="false"/>
          <w:bCs w:val="false"/>
          <w:i w:val="false"/>
          <w:iCs w:val="false"/>
          <w:color w:val="1A1A1A"/>
          <w:sz w:val="22"/>
          <w:szCs w:val="22"/>
        </w:rPr>
        <w:t xml:space="preserve"> is disclosed only at Group level, not Egypt-specific and not part of the registered KPI Tree: USD 44mn (2024) — TLB-001, page 28 — folded into total CARC (Customer Acquisition and Retention Costs) of USD 103mn / 1.4% of GMV (</w:t>
      </w:r>
      <w:r>
        <w:rPr>
          <w:rFonts w:ascii="Consolas" w:cs="Consolas" w:eastAsia="Consolas" w:hAnsi="Consolas"/>
          <w:b w:val="false"/>
          <w:bCs w:val="false"/>
          <w:i w:val="false"/>
          <w:iCs w:val="false"/>
          <w:color w:val="1A1A1A"/>
          <w:sz w:val="22"/>
          <w:szCs w:val="22"/>
        </w:rPr>
        <w:t xml:space="preserve">Facts/Customer_Growth.md</w:t>
      </w:r>
      <w:r>
        <w:rPr>
          <w:rFonts w:ascii="Calibri" w:cs="Calibri" w:eastAsia="Calibri" w:hAnsi="Calibri"/>
          <w:b w:val="false"/>
          <w:bCs w:val="false"/>
          <w:i w:val="false"/>
          <w:iCs w:val="false"/>
          <w:color w:val="1A1A1A"/>
          <w:sz w:val="22"/>
          <w:szCs w:val="22"/>
        </w:rPr>
        <w:t xml:space="preserve">). This plan does not add a new Egypt-CAC KPI outside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registered set — </w:t>
      </w:r>
      <w:r>
        <w:rPr>
          <w:rFonts w:ascii="Calibri" w:cs="Calibri" w:eastAsia="Calibri" w:hAnsi="Calibri"/>
          <w:b w:val="false"/>
          <w:bCs w:val="false"/>
          <w:i w:val="false"/>
          <w:iCs w:val="false"/>
          <w:color w:val="1A1A1A"/>
          <w:sz w:val="22"/>
          <w:szCs w:val="22"/>
        </w:rPr>
        <w:t xml:space="preserve">Section 7</w:t>
      </w:r>
      <w:r>
        <w:rPr>
          <w:rFonts w:ascii="Calibri" w:cs="Calibri" w:eastAsia="Calibri" w:hAnsi="Calibri"/>
          <w:b w:val="false"/>
          <w:bCs w:val="false"/>
          <w:i w:val="false"/>
          <w:iCs w:val="false"/>
          <w:color w:val="1A1A1A"/>
          <w:sz w:val="22"/>
          <w:szCs w:val="22"/>
        </w:rPr>
        <w:t xml:space="preserve">'s positioning already deprioritizes acquisition spend as this plan's primary lever, so an Egypt-specific CAC target would measure a lever this plan is not centrally optimizing.</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Monthly Recurring Revenue (MRR)</w:t>
      </w:r>
      <w:r>
        <w:rPr>
          <w:rFonts w:ascii="Calibri" w:cs="Calibri" w:eastAsia="Calibri" w:hAnsi="Calibri"/>
          <w:b w:val="false"/>
          <w:bCs w:val="false"/>
          <w:i w:val="false"/>
          <w:iCs w:val="false"/>
          <w:color w:val="1A1A1A"/>
          <w:sz w:val="22"/>
          <w:szCs w:val="22"/>
        </w:rPr>
        <w:t xml:space="preserve"> does not map cleanly onto talabat's disclosed revenue architecture. talabat's revenue is the four-line Commission/Delivery/Subscription/Advertising structure (</w:t>
      </w:r>
      <w:r>
        <w:rPr>
          <w:rFonts w:ascii="Calibri" w:cs="Calibri" w:eastAsia="Calibri" w:hAnsi="Calibri"/>
          <w:b w:val="false"/>
          <w:bCs w:val="false"/>
          <w:i w:val="false"/>
          <w:iCs w:val="false"/>
          <w:color w:val="1A1A1A"/>
          <w:sz w:val="22"/>
          <w:szCs w:val="22"/>
        </w:rPr>
        <w:t xml:space="preserve">Section 6</w:t>
      </w:r>
      <w:r>
        <w:rPr>
          <w:rFonts w:ascii="Calibri" w:cs="Calibri" w:eastAsia="Calibri" w:hAnsi="Calibri"/>
          <w:b w:val="false"/>
          <w:bCs w:val="false"/>
          <w:i w:val="false"/>
          <w:iCs w:val="false"/>
          <w:color w:val="1A1A1A"/>
          <w:sz w:val="22"/>
          <w:szCs w:val="22"/>
        </w:rPr>
        <w:t xml:space="preserve">), not a subscription-first business — only one of four lines (Subscription fees, narrowly) is a true recurring fee. This section does not force an MRR metric onto a business model it doesn't fit; the closest genuine analog is </w:t>
      </w:r>
      <w:r>
        <w:rPr>
          <w:rFonts w:ascii="Calibri" w:cs="Calibri" w:eastAsia="Calibri" w:hAnsi="Calibri"/>
          <w:b/>
          <w:bCs/>
          <w:i w:val="false"/>
          <w:iCs w:val="false"/>
          <w:color w:val="1A1A1A"/>
          <w:sz w:val="22"/>
          <w:szCs w:val="22"/>
        </w:rPr>
        <w:t xml:space="preserve">K13</w:t>
      </w:r>
      <w:r>
        <w:rPr>
          <w:rFonts w:ascii="Calibri" w:cs="Calibri" w:eastAsia="Calibri" w:hAnsi="Calibri"/>
          <w:b w:val="false"/>
          <w:bCs w:val="false"/>
          <w:i w:val="false"/>
          <w:iCs w:val="false"/>
          <w:color w:val="1A1A1A"/>
          <w:sz w:val="22"/>
          <w:szCs w:val="22"/>
        </w:rPr>
        <w:t xml:space="preserve"> (Egypt advertising revenue, % of segment revenue) for the most under-penetrated relative to talabat's own stated benchmark (per </w:t>
      </w:r>
      <w:r>
        <w:rPr>
          <w:rFonts w:ascii="Calibri" w:cs="Calibri" w:eastAsia="Calibri" w:hAnsi="Calibri"/>
          <w:b w:val="false"/>
          <w:bCs w:val="false"/>
          <w:i w:val="false"/>
          <w:iCs w:val="false"/>
          <w:color w:val="1A1A1A"/>
          <w:sz w:val="22"/>
          <w:szCs w:val="22"/>
        </w:rPr>
        <w:t xml:space="preserve">Section 6</w:t>
      </w:r>
      <w:r>
        <w:rPr>
          <w:rFonts w:ascii="Calibri" w:cs="Calibri" w:eastAsia="Calibri" w:hAnsi="Calibri"/>
          <w:b w:val="false"/>
          <w:bCs w:val="false"/>
          <w:i w:val="false"/>
          <w:iCs w:val="false"/>
          <w:color w:val="1A1A1A"/>
          <w:sz w:val="22"/>
          <w:szCs w:val="22"/>
        </w:rPr>
        <w:t xml:space="preserve"> §6.2) — Subscription fee &amp; Other Income is actually the fastest-</w:t>
      </w:r>
      <w:r>
        <w:rPr>
          <w:rFonts w:ascii="Calibri" w:cs="Calibri" w:eastAsia="Calibri" w:hAnsi="Calibri"/>
          <w:b w:val="false"/>
          <w:bCs w:val="false"/>
          <w:i/>
          <w:iCs/>
          <w:color w:val="1A1A1A"/>
          <w:sz w:val="22"/>
          <w:szCs w:val="22"/>
        </w:rPr>
        <w:t xml:space="preserve">growing</w:t>
      </w:r>
      <w:r>
        <w:rPr>
          <w:rFonts w:ascii="Calibri" w:cs="Calibri" w:eastAsia="Calibri" w:hAnsi="Calibri"/>
          <w:b w:val="false"/>
          <w:bCs w:val="false"/>
          <w:i w:val="false"/>
          <w:iCs w:val="false"/>
          <w:color w:val="1A1A1A"/>
          <w:sz w:val="22"/>
          <w:szCs w:val="22"/>
        </w:rPr>
        <w:t xml:space="preserve"> Group-level line (+44%→+47%, Section 6 §6.1), not Advertising (+27%→+32%) — and the Subscription-fees component of R1 for the recurring-revenue-adjacent figure.</w:t>
      </w:r>
    </w:p>
    <w:p>
      <w:pPr>
        <w:pStyle w:val="Heading2"/>
        <w:spacing w:after="120" w:before="280"/>
      </w:pPr>
      <w:r>
        <w:t xml:space="preserve">13.2 Leading vs. Lagging Indicator Split</w:t>
      </w:r>
    </w:p>
    <w:p>
      <w:pPr>
        <w:spacing w:after="160" w:before="120" w:line="276"/>
      </w:pPr>
      <w:r>
        <w:rPr>
          <w:rFonts w:ascii="Calibri" w:cs="Calibri" w:eastAsia="Calibri" w:hAnsi="Calibri"/>
          <w:b w:val="false"/>
          <w:bCs w:val="false"/>
          <w:i w:val="false"/>
          <w:iCs w:val="false"/>
          <w:color w:val="1A1A1A"/>
          <w:sz w:val="22"/>
          <w:szCs w:val="22"/>
        </w:rPr>
        <w:t xml:space="preserve">Per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own tally: </w:t>
      </w:r>
      <w:r>
        <w:rPr>
          <w:rFonts w:ascii="Calibri" w:cs="Calibri" w:eastAsia="Calibri" w:hAnsi="Calibri"/>
          <w:b/>
          <w:bCs/>
          <w:i w:val="false"/>
          <w:iCs w:val="false"/>
          <w:color w:val="1A1A1A"/>
          <w:sz w:val="22"/>
          <w:szCs w:val="22"/>
        </w:rPr>
        <w:t xml:space="preserve">6 Leading</w:t>
      </w:r>
      <w:r>
        <w:rPr>
          <w:rFonts w:ascii="Calibri" w:cs="Calibri" w:eastAsia="Calibri" w:hAnsi="Calibri"/>
          <w:b w:val="false"/>
          <w:bCs w:val="false"/>
          <w:i w:val="false"/>
          <w:iCs w:val="false"/>
          <w:color w:val="1A1A1A"/>
          <w:sz w:val="22"/>
          <w:szCs w:val="22"/>
        </w:rPr>
        <w:t xml:space="preserve"> (K5, K6, K7, K13, K14, K16) and </w:t>
      </w:r>
      <w:r>
        <w:rPr>
          <w:rFonts w:ascii="Calibri" w:cs="Calibri" w:eastAsia="Calibri" w:hAnsi="Calibri"/>
          <w:b/>
          <w:bCs/>
          <w:i w:val="false"/>
          <w:iCs w:val="false"/>
          <w:color w:val="1A1A1A"/>
          <w:sz w:val="22"/>
          <w:szCs w:val="22"/>
        </w:rPr>
        <w:t xml:space="preserve">10 Lagging</w:t>
      </w:r>
      <w:r>
        <w:rPr>
          <w:rFonts w:ascii="Calibri" w:cs="Calibri" w:eastAsia="Calibri" w:hAnsi="Calibri"/>
          <w:b w:val="false"/>
          <w:bCs w:val="false"/>
          <w:i w:val="false"/>
          <w:iCs w:val="false"/>
          <w:color w:val="1A1A1A"/>
          <w:sz w:val="22"/>
          <w:szCs w:val="22"/>
        </w:rPr>
        <w:t xml:space="preserve"> (R1–R4, K8, K9, K10, K11, K12, K15). Leading indicators are early-signal metrics this plan can act on before a financial outcome is confirmed (customer growth, order frequency, pro adoption, advertiser count); lagging indicators confirm a realized outcome after the fact (revenue, margin, retention, churn, take rate). The split is MECE by construction: </w:t>
      </w:r>
      <w:r>
        <w:rPr>
          <w:rFonts w:ascii="Consolas" w:cs="Consolas" w:eastAsia="Consolas" w:hAnsi="Consolas"/>
          <w:b w:val="false"/>
          <w:bCs w:val="false"/>
          <w:i w:val="false"/>
          <w:iCs w:val="false"/>
          <w:color w:val="1A1A1A"/>
          <w:sz w:val="22"/>
          <w:szCs w:val="22"/>
        </w:rPr>
        <w:t xml:space="preserve">KPI_Tree.md</w:t>
      </w:r>
      <w:r>
        <w:rPr>
          <w:rFonts w:ascii="Calibri" w:cs="Calibri" w:eastAsia="Calibri" w:hAnsi="Calibri"/>
          <w:b w:val="false"/>
          <w:bCs w:val="false"/>
          <w:i w:val="false"/>
          <w:iCs w:val="false"/>
          <w:color w:val="1A1A1A"/>
          <w:sz w:val="22"/>
          <w:szCs w:val="22"/>
        </w:rPr>
        <w:t xml:space="preserve">'s own tagging convention assigns each KPI exactly one of the two tags, with no KPI appearing in both counts and 6+10 summing to the full 16-KPI set. Of the four KPIs with an existing Egypt baseline (R1–R4), all four are lagging — a structural fact about what talabat currently discloses (financial outcomes), not a gap in this plan's design: no leading indicator has ever been disclosed for Egypt at any point in the corpus.</w:t>
      </w:r>
    </w:p>
    <w:p>
      <w:pPr>
        <w:pStyle w:val="Heading2"/>
        <w:spacing w:after="120" w:before="280"/>
      </w:pPr>
      <w:r>
        <w:t xml:space="preserve">13.3 Tools and Methods for Performance Tracking</w:t>
      </w:r>
    </w:p>
    <w:p>
      <w:pPr>
        <w:spacing w:after="160" w:before="120" w:line="276"/>
      </w:pPr>
      <w:r>
        <w:rPr>
          <w:rFonts w:ascii="Calibri" w:cs="Calibri" w:eastAsia="Calibri" w:hAnsi="Calibri"/>
          <w:b w:val="false"/>
          <w:bCs w:val="false"/>
          <w:i w:val="false"/>
          <w:iCs w:val="false"/>
          <w:color w:val="1A1A1A"/>
          <w:sz w:val="22"/>
          <w:szCs w:val="22"/>
        </w:rPr>
        <w:t xml:space="preserve">The corpus discloses no specific analytics or BI tooling used to track KPIs at Group or Egypt level — this section states that gap plainly rather than inventing a tooling stack the corpus does not support, consistent with </w:t>
      </w:r>
      <w:r>
        <w:rPr>
          <w:rFonts w:ascii="Calibri" w:cs="Calibri" w:eastAsia="Calibri" w:hAnsi="Calibri"/>
          <w:b w:val="false"/>
          <w:bCs w:val="false"/>
          <w:i w:val="false"/>
          <w:iCs w:val="false"/>
          <w:color w:val="1A1A1A"/>
          <w:sz w:val="22"/>
          <w:szCs w:val="22"/>
        </w:rPr>
        <w:t xml:space="preserve">Section 8</w:t>
      </w:r>
      <w:r>
        <w:rPr>
          <w:rFonts w:ascii="Calibri" w:cs="Calibri" w:eastAsia="Calibri" w:hAnsi="Calibri"/>
          <w:b w:val="false"/>
          <w:bCs w:val="false"/>
          <w:i w:val="false"/>
          <w:iCs w:val="false"/>
          <w:color w:val="1A1A1A"/>
          <w:sz w:val="22"/>
          <w:szCs w:val="22"/>
        </w:rPr>
        <w:t xml:space="preserve">'s parallel finding that no development/monitoring workflow is disclosed either. Two tracking regimes exist in practice, by necessity, given the baseline split above: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R1–R4 (baseline exists):</w:t>
      </w:r>
      <w:r>
        <w:rPr>
          <w:rFonts w:ascii="Calibri" w:cs="Calibri" w:eastAsia="Calibri" w:hAnsi="Calibri"/>
          <w:b w:val="false"/>
          <w:bCs w:val="false"/>
          <w:i w:val="false"/>
          <w:iCs w:val="false"/>
          <w:color w:val="1A1A1A"/>
          <w:sz w:val="22"/>
          <w:szCs w:val="22"/>
        </w:rPr>
        <w:t xml:space="preserve"> already tracked via talabat's own disclosed segment-reporting cadence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Facts/Revenue.md</w:t>
      </w:r>
      <w:r>
        <w:rPr>
          <w:rFonts w:ascii="Calibri" w:cs="Calibri" w:eastAsia="Calibri" w:hAnsi="Calibri"/>
          <w:b w:val="false"/>
          <w:bCs w:val="false"/>
          <w:i w:val="false"/>
          <w:iCs w:val="false"/>
          <w:color w:val="1A1A1A"/>
          <w:sz w:val="22"/>
          <w:szCs w:val="22"/>
        </w:rPr>
        <w:t xml:space="preserve">) — this plan adds no new tracking mechanism for these four, only a review cadence (§13.4).</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The 12 newly-instrumented KPIs:</w:t>
      </w:r>
      <w:r>
        <w:rPr>
          <w:rFonts w:ascii="Calibri" w:cs="Calibri" w:eastAsia="Calibri" w:hAnsi="Calibri"/>
          <w:b w:val="false"/>
          <w:bCs w:val="false"/>
          <w:i w:val="false"/>
          <w:iCs w:val="false"/>
          <w:color w:val="1A1A1A"/>
          <w:sz w:val="22"/>
          <w:szCs w:val="22"/>
        </w:rPr>
        <w:t xml:space="preserve"> tracking infrastructure for these does not yet exist and must be built. This is not a Section 13 deliverable in isolation — it is the same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 H1 pilot instrumentation work ("Pilot scope defined... and segment-fairness monitoring instrumented, before any customer sees a changed experience") already committed to. Section 13 does not duplicate that milestone; it names H1 as the point at which these 12 KPIs first become measurable.</w:t>
      </w:r>
    </w:p>
    <w:p>
      <w:pPr>
        <w:pStyle w:val="Heading2"/>
        <w:spacing w:after="120" w:before="280"/>
      </w:pPr>
      <w:r>
        <w:t xml:space="preserve">13.4 Review Cadence and Kill/Pivot Criteria (per </w:t>
      </w:r>
      <w:r>
        <w:rPr>
          <w:rFonts w:ascii="Consolas" w:cs="Consolas" w:eastAsia="Consolas" w:hAnsi="Consolas"/>
        </w:rPr>
        <w:t xml:space="preserve">DEC-007</w:t>
      </w:r>
      <w:r>
        <w:t xml:space="preserv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Root KPIs (R1–R4):</w:t>
      </w:r>
      <w:r>
        <w:rPr>
          <w:rFonts w:ascii="Calibri" w:cs="Calibri" w:eastAsia="Calibri" w:hAnsi="Calibri"/>
          <w:b w:val="false"/>
          <w:bCs w:val="false"/>
          <w:i w:val="false"/>
          <w:iCs w:val="false"/>
          <w:color w:val="1A1A1A"/>
          <w:sz w:val="22"/>
          <w:szCs w:val="22"/>
        </w:rPr>
        <w:t xml:space="preserve"> quarterly review, matching talabat's own disclosed segment-reporting cadence, tracked against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's base-case trajectory (the headline baseline per </w:t>
      </w:r>
      <w:r>
        <w:rPr>
          <w:rFonts w:ascii="Consolas" w:cs="Consolas" w:eastAsia="Consolas" w:hAnsi="Consolas"/>
          <w:b w:val="false"/>
          <w:bCs w:val="false"/>
          <w:i w:val="false"/>
          <w:iCs w:val="false"/>
          <w:color w:val="1A1A1A"/>
          <w:sz w:val="22"/>
          <w:szCs w:val="22"/>
        </w:rPr>
        <w:t xml:space="preserve">DEC-005</w:t>
      </w:r>
      <w:r>
        <w:rPr>
          <w:rFonts w:ascii="Calibri" w:cs="Calibri" w:eastAsia="Calibri" w:hAnsi="Calibri"/>
          <w:b w:val="false"/>
          <w:bCs w:val="false"/>
          <w:i w:val="false"/>
          <w:iCs w:val="false"/>
          <w:color w:val="1A1A1A"/>
          <w:sz w:val="22"/>
          <w:szCs w:val="22"/>
        </w:rPr>
        <w:t xml:space="preserve">) as this plan's primary financial monitoring signal.</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Kill-criteria-bearing KPIs (K5, K6, K7, K8, K9, K13, K14):</w:t>
      </w:r>
      <w:r>
        <w:rPr>
          <w:rFonts w:ascii="Calibri" w:cs="Calibri" w:eastAsia="Calibri" w:hAnsi="Calibri"/>
          <w:b w:val="false"/>
          <w:bCs w:val="false"/>
          <w:i w:val="false"/>
          <w:iCs w:val="false"/>
          <w:color w:val="1A1A1A"/>
          <w:sz w:val="22"/>
          <w:szCs w:val="22"/>
        </w:rPr>
        <w:t xml:space="preserve"> the same seven KPIs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§10.3/§10.4 already named the single highest-priority mitigation, and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 already adopted as the H1 go/no-go gate and the H2→H3 gate. Section 13 does not build a third, competing structure — it states plainly that these are the same checkpoints:</w:t>
      </w:r>
    </w:p>
    <w:p>
      <w:pPr>
        <w:pStyle w:val="ListParagraph"/>
        <w:numPr>
          <w:ilvl w:val="1"/>
          <w:numId w:val="4"/>
        </w:numPr>
        <w:spacing w:after="80" w:before="40" w:line="276"/>
      </w:pPr>
      <w:r>
        <w:rPr>
          <w:rFonts w:ascii="Calibri" w:cs="Calibri" w:eastAsia="Calibri" w:hAnsi="Calibri"/>
          <w:b/>
          <w:bCs/>
          <w:i w:val="false"/>
          <w:iCs w:val="false"/>
          <w:color w:val="1A1A1A"/>
          <w:sz w:val="22"/>
          <w:szCs w:val="22"/>
        </w:rPr>
        <w:t xml:space="preserve">H1 checkpoint (0–6 months):</w:t>
      </w:r>
      <w:r>
        <w:rPr>
          <w:rFonts w:ascii="Calibri" w:cs="Calibri" w:eastAsia="Calibri" w:hAnsi="Calibri"/>
          <w:b w:val="false"/>
          <w:bCs w:val="false"/>
          <w:i w:val="false"/>
          <w:iCs w:val="false"/>
          <w:color w:val="1A1A1A"/>
          <w:sz w:val="22"/>
          <w:szCs w:val="22"/>
        </w:rPr>
        <w:t xml:space="preserve"> an explicit read against the GCC-benchmark aggregate/segment-fairness comparison (Section 10 §10.4; </w:t>
      </w:r>
      <w:r>
        <w:rPr>
          <w:rFonts w:ascii="Calibri" w:cs="Calibri" w:eastAsia="Calibri" w:hAnsi="Calibri"/>
          <w:b w:val="false"/>
          <w:bCs w:val="false"/>
          <w:i w:val="false"/>
          <w:iCs w:val="false"/>
          <w:color w:val="1A1A1A"/>
          <w:sz w:val="22"/>
          <w:szCs w:val="22"/>
        </w:rPr>
        <w:t xml:space="preserve">Section 11</w:t>
      </w:r>
      <w:r>
        <w:rPr>
          <w:rFonts w:ascii="Calibri" w:cs="Calibri" w:eastAsia="Calibri" w:hAnsi="Calibri"/>
          <w:b w:val="false"/>
          <w:bCs w:val="false"/>
          <w:i w:val="false"/>
          <w:iCs w:val="false"/>
          <w:color w:val="1A1A1A"/>
          <w:sz w:val="22"/>
          <w:szCs w:val="22"/>
        </w:rPr>
        <w:t xml:space="preserve"> §11.1) and a directional read on whether these seven KPIs move consistently with the DEC-003 investment thesis.</w:t>
      </w:r>
    </w:p>
    <w:p>
      <w:pPr>
        <w:pStyle w:val="ListParagraph"/>
        <w:numPr>
          <w:ilvl w:val="1"/>
          <w:numId w:val="4"/>
        </w:numPr>
        <w:spacing w:after="80" w:before="40" w:line="276"/>
      </w:pPr>
      <w:r>
        <w:rPr>
          <w:rFonts w:ascii="Calibri" w:cs="Calibri" w:eastAsia="Calibri" w:hAnsi="Calibri"/>
          <w:b/>
          <w:bCs/>
          <w:i w:val="false"/>
          <w:iCs w:val="false"/>
          <w:color w:val="1A1A1A"/>
          <w:sz w:val="22"/>
          <w:szCs w:val="22"/>
        </w:rPr>
        <w:t xml:space="preserve">H2→H3 checkpoint:</w:t>
      </w:r>
      <w:r>
        <w:rPr>
          <w:rFonts w:ascii="Calibri" w:cs="Calibri" w:eastAsia="Calibri" w:hAnsi="Calibri"/>
          <w:b w:val="false"/>
          <w:bCs w:val="false"/>
          <w:i w:val="false"/>
          <w:iCs w:val="false"/>
          <w:color w:val="1A1A1A"/>
          <w:sz w:val="22"/>
          <w:szCs w:val="22"/>
        </w:rPr>
        <w:t xml:space="preserve"> requires at least one full reporting cycle of Egypt-specific evidence on these same seven KPIs at H2 (full-cohort) scale before H3 begins.</w:t>
      </w:r>
    </w:p>
    <w:p>
      <w:pPr>
        <w:pStyle w:val="ListParagraph"/>
        <w:numPr>
          <w:ilvl w:val="1"/>
          <w:numId w:val="4"/>
        </w:numPr>
        <w:spacing w:after="80" w:before="40" w:line="276"/>
      </w:pPr>
      <w:r>
        <w:rPr>
          <w:rFonts w:ascii="Calibri" w:cs="Calibri" w:eastAsia="Calibri" w:hAnsi="Calibri"/>
          <w:b/>
          <w:bCs/>
          <w:i w:val="false"/>
          <w:iCs w:val="false"/>
          <w:color w:val="1A1A1A"/>
          <w:sz w:val="22"/>
          <w:szCs w:val="22"/>
        </w:rPr>
        <w:t xml:space="preserve">Kill criterion, stated qualitatively, not numerically, per </w:t>
      </w:r>
      <w:r>
        <w:rPr>
          <w:rFonts w:ascii="Consolas" w:cs="Consolas" w:eastAsia="Consolas" w:hAnsi="Consolas"/>
          <w:b/>
          <w:bCs/>
          <w:i w:val="false"/>
          <w:iCs w:val="false"/>
          <w:color w:val="1A1A1A"/>
          <w:sz w:val="22"/>
          <w:szCs w:val="22"/>
        </w:rPr>
        <w:t xml:space="preserve">DEC-007</w:t>
      </w:r>
      <w:r>
        <w:rPr>
          <w:rFonts w:ascii="Calibri" w:cs="Calibri" w:eastAsia="Calibri" w:hAnsi="Calibri"/>
          <w:b/>
          <w:bCs/>
          <w:i w:val="false"/>
          <w:iCs w:val="false"/>
          <w:color w:val="1A1A1A"/>
          <w:sz w:val="22"/>
          <w:szCs w:val="22"/>
        </w:rPr>
        <w:t xml:space="preserve"> — one test, two roles, not two competing anchors:</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individually models a base-case/upside- case trajectory only for </w:t>
      </w:r>
      <w:r>
        <w:rPr>
          <w:rFonts w:ascii="Calibri" w:cs="Calibri" w:eastAsia="Calibri" w:hAnsi="Calibri"/>
          <w:b/>
          <w:bCs/>
          <w:i w:val="false"/>
          <w:iCs w:val="false"/>
          <w:color w:val="1A1A1A"/>
          <w:sz w:val="22"/>
          <w:szCs w:val="22"/>
        </w:rPr>
        <w:t xml:space="preserve">R1</w:t>
      </w:r>
      <w:r>
        <w:rPr>
          <w:rFonts w:ascii="Calibri" w:cs="Calibri" w:eastAsia="Calibri" w:hAnsi="Calibri"/>
          <w:b w:val="false"/>
          <w:bCs w:val="false"/>
          <w:i w:val="false"/>
          <w:iCs w:val="false"/>
          <w:color w:val="1A1A1A"/>
          <w:sz w:val="22"/>
          <w:szCs w:val="22"/>
        </w:rPr>
        <w:t xml:space="preserve"> (Egypt segment revenue); it does not model a separate numeric base-case trajectory for K5–K9 or K13–K14 individually (</w:t>
      </w:r>
      <w:r>
        <w:rPr>
          <w:rFonts w:ascii="Consolas" w:cs="Consolas" w:eastAsia="Consolas" w:hAnsi="Consolas"/>
          <w:b w:val="false"/>
          <w:bCs w:val="false"/>
          <w:i w:val="false"/>
          <w:iCs w:val="false"/>
          <w:color w:val="1A1A1A"/>
          <w:sz w:val="22"/>
          <w:szCs w:val="22"/>
        </w:rPr>
        <w:t xml:space="preserve">ASM-008</w:t>
      </w:r>
      <w:r>
        <w:rPr>
          <w:rFonts w:ascii="Calibri" w:cs="Calibri" w:eastAsia="Calibri" w:hAnsi="Calibri"/>
          <w:b w:val="false"/>
          <w:bCs w:val="false"/>
          <w:i w:val="false"/>
          <w:iCs w:val="false"/>
          <w:color w:val="1A1A1A"/>
          <w:sz w:val="22"/>
          <w:szCs w:val="22"/>
        </w:rPr>
        <w:t xml:space="preserve">/</w:t>
      </w:r>
      <w:r>
        <w:rPr>
          <w:rFonts w:ascii="Consolas" w:cs="Consolas" w:eastAsia="Consolas" w:hAnsi="Consolas"/>
          <w:b w:val="false"/>
          <w:bCs w:val="false"/>
          <w:i w:val="false"/>
          <w:iCs w:val="false"/>
          <w:color w:val="1A1A1A"/>
          <w:sz w:val="22"/>
          <w:szCs w:val="22"/>
        </w:rPr>
        <w:t xml:space="preserve">ASM-011</w:t>
      </w:r>
      <w:r>
        <w:rPr>
          <w:rFonts w:ascii="Calibri" w:cs="Calibri" w:eastAsia="Calibri" w:hAnsi="Calibri"/>
          <w:b w:val="false"/>
          <w:bCs w:val="false"/>
          <w:i w:val="false"/>
          <w:iCs w:val="false"/>
          <w:color w:val="1A1A1A"/>
          <w:sz w:val="22"/>
          <w:szCs w:val="22"/>
        </w:rPr>
        <w:t xml:space="preserve"> are explicitly directional only, no numeric target, per </w:t>
      </w:r>
      <w:r>
        <w:rPr>
          <w:rFonts w:ascii="Consolas" w:cs="Consolas" w:eastAsia="Consolas" w:hAnsi="Consolas"/>
          <w:b w:val="false"/>
          <w:bCs w:val="false"/>
          <w:i w:val="false"/>
          <w:iCs w:val="false"/>
          <w:color w:val="1A1A1A"/>
          <w:sz w:val="22"/>
          <w:szCs w:val="22"/>
        </w:rPr>
        <w:t xml:space="preserve">Value_Driver_Tree.md</w:t>
      </w:r>
      <w:r>
        <w:rPr>
          <w:rFonts w:ascii="Calibri" w:cs="Calibri" w:eastAsia="Calibri" w:hAnsi="Calibri"/>
          <w:b w:val="false"/>
          <w:bCs w:val="false"/>
          <w:i w:val="false"/>
          <w:iCs w:val="false"/>
          <w:color w:val="1A1A1A"/>
          <w:sz w:val="22"/>
          <w:szCs w:val="22"/>
        </w:rPr>
        <w:t xml:space="preserve">). The operative test is therefore: </w:t>
      </w:r>
      <w:r>
        <w:rPr>
          <w:rFonts w:ascii="Calibri" w:cs="Calibri" w:eastAsia="Calibri" w:hAnsi="Calibri"/>
          <w:b/>
          <w:bCs/>
          <w:i w:val="false"/>
          <w:iCs w:val="false"/>
          <w:color w:val="1A1A1A"/>
          <w:sz w:val="22"/>
          <w:szCs w:val="22"/>
        </w:rPr>
        <w:t xml:space="preserve">K5, K6, K7, K8, K9, K13, K14 are the diagnostic signal, read against the GCC benchmark</w:t>
      </w:r>
      <w:r>
        <w:rPr>
          <w:rFonts w:ascii="Calibri" w:cs="Calibri" w:eastAsia="Calibri" w:hAnsi="Calibri"/>
          <w:b w:val="false"/>
          <w:bCs w:val="false"/>
          <w:i w:val="false"/>
          <w:iCs w:val="false"/>
          <w:color w:val="1A1A1A"/>
          <w:sz w:val="22"/>
          <w:szCs w:val="22"/>
        </w:rPr>
        <w:t xml:space="preserve"> (since no Egypt base-case trajectory exists for any of them individually), </w:t>
      </w:r>
      <w:r>
        <w:rPr>
          <w:rFonts w:ascii="Calibri" w:cs="Calibri" w:eastAsia="Calibri" w:hAnsi="Calibri"/>
          <w:b/>
          <w:bCs/>
          <w:i w:val="false"/>
          <w:iCs w:val="false"/>
          <w:color w:val="1A1A1A"/>
          <w:sz w:val="22"/>
          <w:szCs w:val="22"/>
        </w:rPr>
        <w:t xml:space="preserve">and R1 is the outcome signal, read against Section 9's quantified base case</w:t>
      </w:r>
      <w:r>
        <w:rPr>
          <w:rFonts w:ascii="Calibri" w:cs="Calibri" w:eastAsia="Calibri" w:hAnsi="Calibri"/>
          <w:b w:val="false"/>
          <w:bCs w:val="false"/>
          <w:i w:val="false"/>
          <w:iCs w:val="false"/>
          <w:color w:val="1A1A1A"/>
          <w:sz w:val="22"/>
          <w:szCs w:val="22"/>
        </w:rPr>
        <w:t xml:space="preserve"> (≈USD581–597m; the upside case is not itself a separate dollar figure, only "the intervention's projected return... on top of, not instead of, the base case," per </w:t>
      </w:r>
      <w:r>
        <w:rPr>
          <w:rFonts w:ascii="Consolas" w:cs="Consolas" w:eastAsia="Consolas" w:hAnsi="Consolas"/>
          <w:b w:val="false"/>
          <w:bCs w:val="false"/>
          <w:i w:val="false"/>
          <w:iCs w:val="false"/>
          <w:color w:val="1A1A1A"/>
          <w:sz w:val="22"/>
          <w:szCs w:val="22"/>
        </w:rPr>
        <w:t xml:space="preserve">DEC-005</w:t>
      </w:r>
      <w:r>
        <w:rPr>
          <w:rFonts w:ascii="Calibri" w:cs="Calibri" w:eastAsia="Calibri" w:hAnsi="Calibri"/>
          <w:b w:val="false"/>
          <w:bCs w:val="false"/>
          <w:i w:val="false"/>
          <w:iCs w:val="false"/>
          <w:color w:val="1A1A1A"/>
          <w:sz w:val="22"/>
          <w:szCs w:val="22"/>
        </w:rPr>
        <w:t xml:space="preserve">'s framing). Sustained GCC-benchmark underperformance on the seven diagnostic KPIs, corroborated by R1 tracking at or below the quantified base case rather than showing the incremental lift the upside case describes, is what should trigger a stop/reassess decision — not a percentage or absolute-number threshold on any individual KPI, because no absolute threshold can be derived from a corpus with zero Egypt baseline for any of them.</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Monitoring-only KPIs (K10, K11, K12, K15, K16):</w:t>
      </w:r>
      <w:r>
        <w:rPr>
          <w:rFonts w:ascii="Calibri" w:cs="Calibri" w:eastAsia="Calibri" w:hAnsi="Calibri"/>
          <w:b w:val="false"/>
          <w:bCs w:val="false"/>
          <w:i w:val="false"/>
          <w:iCs w:val="false"/>
          <w:color w:val="1A1A1A"/>
          <w:sz w:val="22"/>
          <w:szCs w:val="22"/>
        </w:rPr>
        <w:t xml:space="preserve"> tracked and reported once instrumented, but carry no kill-criteria role — neither Section 10 nor Section 12 named them as gate KPIs, and this section does not invent a new gate they never established.</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No numeric target or threshold is set anywhere in this section</w:t>
      </w:r>
      <w:r>
        <w:rPr>
          <w:rFonts w:ascii="Calibri" w:cs="Calibri" w:eastAsia="Calibri" w:hAnsi="Calibri"/>
          <w:b w:val="false"/>
          <w:bCs w:val="false"/>
          <w:i w:val="false"/>
          <w:iCs w:val="false"/>
          <w:color w:val="1A1A1A"/>
          <w:sz w:val="22"/>
          <w:szCs w:val="22"/>
        </w:rPr>
        <w:t xml:space="preserve"> for any of the 12 newly-instrumented KPIs, per </w:t>
      </w:r>
      <w:r>
        <w:rPr>
          <w:rFonts w:ascii="Consolas" w:cs="Consolas" w:eastAsia="Consolas" w:hAnsi="Consolas"/>
          <w:b w:val="false"/>
          <w:bCs w:val="false"/>
          <w:i w:val="false"/>
          <w:iCs w:val="false"/>
          <w:color w:val="1A1A1A"/>
          <w:sz w:val="22"/>
          <w:szCs w:val="22"/>
        </w:rPr>
        <w:t xml:space="preserve">DEC-007</w:t>
      </w:r>
      <w:r>
        <w:rPr>
          <w:rFonts w:ascii="Calibri" w:cs="Calibri" w:eastAsia="Calibri" w:hAnsi="Calibri"/>
          <w:b w:val="false"/>
          <w:bCs w:val="false"/>
          <w:i w:val="false"/>
          <w:iCs w:val="false"/>
          <w:color w:val="1A1A1A"/>
          <w:sz w:val="22"/>
          <w:szCs w:val="22"/>
        </w:rPr>
        <w:t xml:space="preserve">'s explicit ruling. Setting one becomes possible only once H1 produces genuine Egypt baseline data — flagged here, and carried forward to </w:t>
      </w:r>
      <w:r>
        <w:rPr>
          <w:rFonts w:ascii="Calibri" w:cs="Calibri" w:eastAsia="Calibri" w:hAnsi="Calibri"/>
          <w:b w:val="false"/>
          <w:bCs w:val="false"/>
          <w:i w:val="false"/>
          <w:iCs w:val="false"/>
          <w:color w:val="1A1A1A"/>
          <w:sz w:val="22"/>
          <w:szCs w:val="22"/>
        </w:rPr>
        <w:t xml:space="preserve">Section 14</w:t>
      </w:r>
      <w:r>
        <w:rPr>
          <w:rFonts w:ascii="Calibri" w:cs="Calibri" w:eastAsia="Calibri" w:hAnsi="Calibri"/>
          <w:b w:val="false"/>
          <w:bCs w:val="false"/>
          <w:i w:val="false"/>
          <w:iCs w:val="false"/>
          <w:color w:val="1A1A1A"/>
          <w:sz w:val="22"/>
          <w:szCs w:val="22"/>
        </w:rPr>
        <w:t xml:space="preserve">, as an explicit open item for a future Decision Log entry, not a silently dropped gap.</w:t>
      </w:r>
    </w:p>
    <w:p>
      <w:pPr>
        <w:pStyle w:val="Heading2"/>
        <w:spacing w:after="120" w:before="280"/>
      </w:pPr>
      <w:r>
        <w:t xml:space="preserve">Feedback Loops for Continuous Improvement</w:t>
      </w:r>
    </w:p>
    <w:p>
      <w:pPr>
        <w:spacing w:after="160" w:before="120" w:line="276"/>
      </w:pPr>
      <w:r>
        <w:rPr>
          <w:rFonts w:ascii="Calibri" w:cs="Calibri" w:eastAsia="Calibri" w:hAnsi="Calibri"/>
          <w:b w:val="false"/>
          <w:bCs w:val="false"/>
          <w:i w:val="false"/>
          <w:iCs w:val="false"/>
          <w:color w:val="1A1A1A"/>
          <w:sz w:val="22"/>
          <w:szCs w:val="22"/>
        </w:rPr>
        <w:t xml:space="preserve">Two feedback mechanisms already exist elsewhere in this plan; this section names them as the answer to the template's "feedback loops" prompt rather than inventing a third:</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Segment-fairness review gate: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Section 11</w:t>
      </w:r>
      <w:r>
        <w:rPr>
          <w:rFonts w:ascii="Calibri" w:cs="Calibri" w:eastAsia="Calibri" w:hAnsi="Calibri"/>
          <w:b w:val="false"/>
          <w:bCs w:val="false"/>
          <w:i w:val="false"/>
          <w:iCs w:val="false"/>
          <w:color w:val="1A1A1A"/>
          <w:sz w:val="22"/>
          <w:szCs w:val="22"/>
        </w:rPr>
        <w:t xml:space="preserve"> §11.3's proposed standing review, scheduled at each horizon transition (per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's H2 milestone), is the mechanism through which K7/K8/K9's segment-level readings feed back into whether the AI mechanisms continue unchanged, are adjusted, or are paused for a specific customer segment — not only a compliance check, but the plan's operational continuous-improvement loop for fairness-sensitive metrics specifically.</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R&amp;D roadmap feedback:</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§5.6's three R&amp;D-roadmap items (mapped 1:1 to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's value mechanisms) are the mechanism through which leading-indicator KPI movement (K6, K7, K13, K14) should inform which mechanism gets prioritized next — this section does not restate Section 5 §5.6, only names it as where that feedback lands.</w:t>
      </w:r>
    </w:p>
    <w:p>
      <w:pPr>
        <w:sectPr>
          <w:headerReference w:type="default" r:id="rId35"/>
          <w:footerReference w:type="default" r:id="rId36"/>
          <w:type w:val="nextPage"/>
          <w:pgSz w:w="12240" w:h="15840" w:orient="portrait"/>
          <w:pgMar w:top="1440" w:right="1440" w:bottom="1440" w:left="1440" w:header="708" w:footer="708" w:gutter="0"/>
          <w:pgNumType/>
          <w:docGrid w:linePitch="360"/>
        </w:sectPr>
      </w:pPr>
    </w:p>
    <w:p>
      <w:pPr>
        <w:spacing w:after="2400" w:before="2400"/>
        <w:jc w:val="center"/>
      </w:pPr>
      <w:r>
        <w:rPr>
          <w:rFonts w:ascii="Cambria" w:cs="Cambria" w:eastAsia="Cambria" w:hAnsi="Cambria"/>
          <w:b/>
          <w:bCs/>
          <w:color w:val="FF5A00"/>
          <w:sz w:val="36"/>
          <w:szCs w:val="36"/>
        </w:rPr>
        <w:t xml:space="preserve">APPENDICES</w:t>
      </w:r>
    </w:p>
    <w:p>
      <w:pPr>
        <w:pStyle w:val="Heading1"/>
        <w:pBdr>
          <w:bottom w:val="single" w:color="FF5A00" w:sz="18" w:space="10"/>
        </w:pBdr>
        <w:spacing w:after="240" w:before="0"/>
      </w:pPr>
      <w:r>
        <w:t xml:space="preserve">14. Appendices</w:t>
      </w:r>
    </w:p>
    <w:p>
      <w:pPr>
        <w:pStyle w:val="Heading2"/>
        <w:spacing w:after="120" w:before="280"/>
      </w:pPr>
      <w:r>
        <w:t xml:space="preserve">Answer, stated first</w:t>
      </w:r>
    </w:p>
    <w:p>
      <w:pPr>
        <w:pBdr>
          <w:top w:val="single" w:color="E0C4A8" w:sz="2" w:space="6"/>
          <w:bottom w:val="single" w:color="E0C4A8" w:sz="2" w:space="6"/>
          <w:left w:val="single" w:color="FF5A00" w:sz="24" w:space="10"/>
          <w:right w:val="single" w:color="E0C4A8" w:sz="2" w:space="6"/>
        </w:pBdr>
        <w:shd w:fill="FFEFE3" w:val="clear"/>
        <w:spacing w:after="240" w:before="160" w:line="288"/>
      </w:pPr>
      <w:r>
        <w:rPr>
          <w:rFonts w:ascii="Calibri" w:cs="Calibri" w:eastAsia="Calibri" w:hAnsi="Calibri"/>
          <w:b w:val="false"/>
          <w:bCs w:val="false"/>
          <w:i w:val="false"/>
          <w:iCs w:val="false"/>
          <w:color w:val="1A1A1A"/>
          <w:sz w:val="22"/>
          <w:szCs w:val="22"/>
        </w:rPr>
        <w:t xml:space="preserve">This appendix has five required parts. Four compile evidence already built in this plan or the vault (traceability index, technical specifications, legal/compliance documents, the one real internal AI case study). The fifth — team-member resumes — is stated as an honest, unresolved gap: it concerns real individuals, not corpus facts, and this section does not fabricate professional biography for the six named capstone team members, consistent with this project's standing discipline against inventing content without evidence, applied here to people rather than business claims.</w:t>
      </w:r>
    </w:p>
    <w:p>
      <w:pPr>
        <w:pStyle w:val="Heading2"/>
        <w:spacing w:after="120" w:before="280"/>
      </w:pPr>
      <w:r>
        <w:t xml:space="preserve">14.1 Traceability Note (claim → vault note → source document)</w:t>
      </w:r>
    </w:p>
    <w:p>
      <w:pPr>
        <w:spacing w:after="160" w:before="120" w:line="276"/>
      </w:pPr>
      <w:r>
        <w:rPr>
          <w:rFonts w:ascii="Calibri" w:cs="Calibri" w:eastAsia="Calibri" w:hAnsi="Calibri"/>
          <w:b w:val="false"/>
          <w:bCs w:val="false"/>
          <w:i w:val="false"/>
          <w:iCs w:val="false"/>
          <w:color w:val="1A1A1A"/>
          <w:sz w:val="22"/>
          <w:szCs w:val="22"/>
        </w:rPr>
        <w:t xml:space="preserve">This plan's evidence hierarchy, per </w:t>
      </w:r>
      <w:r>
        <w:rPr>
          <w:rFonts w:ascii="Consolas" w:cs="Consolas" w:eastAsia="Consolas" w:hAnsi="Consolas"/>
          <w:b w:val="false"/>
          <w:bCs w:val="false"/>
          <w:i w:val="false"/>
          <w:iCs w:val="false"/>
          <w:color w:val="1A1A1A"/>
          <w:sz w:val="22"/>
          <w:szCs w:val="22"/>
        </w:rPr>
        <w:t xml:space="preserve">CLAUDE.md</w:t>
      </w:r>
      <w:r>
        <w:rPr>
          <w:rFonts w:ascii="Calibri" w:cs="Calibri" w:eastAsia="Calibri" w:hAnsi="Calibri"/>
          <w:b w:val="false"/>
          <w:bCs w:val="false"/>
          <w:i w:val="false"/>
          <w:iCs w:val="false"/>
          <w:color w:val="1A1A1A"/>
          <w:sz w:val="22"/>
          <w:szCs w:val="22"/>
        </w:rPr>
        <w:t xml:space="preserve">'s standing instruction: </w:t>
      </w:r>
      <w:r>
        <w:rPr>
          <w:rFonts w:ascii="Calibri" w:cs="Calibri" w:eastAsia="Calibri" w:hAnsi="Calibri"/>
          <w:b/>
          <w:bCs/>
          <w:i w:val="false"/>
          <w:iCs w:val="false"/>
          <w:color w:val="1A1A1A"/>
          <w:sz w:val="22"/>
          <w:szCs w:val="22"/>
        </w:rPr>
        <w:t xml:space="preserve">Repository Facts</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vault/Knowledge/Facts/</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bCs/>
          <w:i w:val="false"/>
          <w:iCs w:val="false"/>
          <w:color w:val="1A1A1A"/>
          <w:sz w:val="22"/>
          <w:szCs w:val="22"/>
        </w:rPr>
        <w:t xml:space="preserve">External Research</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vault/Research/</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bCs/>
          <w:i w:val="false"/>
          <w:iCs w:val="false"/>
          <w:color w:val="1A1A1A"/>
          <w:sz w:val="22"/>
          <w:szCs w:val="22"/>
        </w:rPr>
        <w:t xml:space="preserve">Forecasts</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vault/Forecasts/</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bCs/>
          <w:i w:val="false"/>
          <w:iCs w:val="false"/>
          <w:color w:val="1A1A1A"/>
          <w:sz w:val="22"/>
          <w:szCs w:val="22"/>
        </w:rPr>
        <w:t xml:space="preserve">Management Decisions</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vault/Decisions/</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bCs/>
          <w:i w:val="false"/>
          <w:iCs w:val="false"/>
          <w:color w:val="1A1A1A"/>
          <w:sz w:val="22"/>
          <w:szCs w:val="22"/>
        </w:rPr>
        <w:t xml:space="preserve">Business Plan</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1A1A1A"/>
          <w:sz w:val="22"/>
          <w:szCs w:val="22"/>
        </w:rPr>
        <w:t xml:space="preserve">vault/Projects/Business_Plan_Drafts/</w:t>
      </w:r>
      <w:r>
        <w:rPr>
          <w:rFonts w:ascii="Calibri" w:cs="Calibri" w:eastAsia="Calibri" w:hAnsi="Calibri"/>
          <w:b w:val="false"/>
          <w:bCs w:val="false"/>
          <w:i w:val="false"/>
          <w:iCs w:val="false"/>
          <w:color w:val="1A1A1A"/>
          <w:sz w:val="22"/>
          <w:szCs w:val="22"/>
        </w:rPr>
        <w:t xml:space="preserve">, eventually </w:t>
      </w:r>
      <w:r>
        <w:rPr>
          <w:rFonts w:ascii="Consolas" w:cs="Consolas" w:eastAsia="Consolas" w:hAnsi="Consolas"/>
          <w:b w:val="false"/>
          <w:bCs w:val="false"/>
          <w:i w:val="false"/>
          <w:iCs w:val="false"/>
          <w:color w:val="1A1A1A"/>
          <w:sz w:val="22"/>
          <w:szCs w:val="22"/>
        </w:rPr>
        <w:t xml:space="preserve">Outputs/</w:t>
      </w:r>
      <w:r>
        <w:rPr>
          <w:rFonts w:ascii="Calibri" w:cs="Calibri" w:eastAsia="Calibri" w:hAnsi="Calibri"/>
          <w:b w:val="false"/>
          <w:bCs w:val="false"/>
          <w:i w:val="false"/>
          <w:iCs w:val="false"/>
          <w:color w:val="1A1A1A"/>
          <w:sz w:val="22"/>
          <w:szCs w:val="22"/>
        </w:rPr>
        <w:t xml:space="preserve">). No number in this plan cites a tier below it without resolving upward to a Fact citation or an Approved Decision/Assumption row.</w:t>
      </w:r>
    </w:p>
    <w:p>
      <w:pPr>
        <w:spacing w:after="160" w:before="120" w:line="276"/>
      </w:pPr>
      <w:r>
        <w:rPr>
          <w:rFonts w:ascii="Calibri" w:cs="Calibri" w:eastAsia="Calibri" w:hAnsi="Calibri"/>
          <w:b/>
          <w:bCs/>
          <w:i w:val="false"/>
          <w:iCs w:val="false"/>
          <w:color w:val="1A1A1A"/>
          <w:sz w:val="22"/>
          <w:szCs w:val="22"/>
        </w:rPr>
        <w:t xml:space="preserve">Master indexes (do not duplicate here — link to the authoritative copy):</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Document-level source index (29 primary corpus documents, TLB-001 through TLB-029):</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Source Register</w:t>
      </w:r>
      <w:r>
        <w:rPr>
          <w:rFonts w:ascii="Calibri" w:cs="Calibri" w:eastAsia="Calibri" w:hAnsi="Calibri"/>
          <w:b w:val="false"/>
          <w:bCs w:val="false"/>
          <w:i w:val="false"/>
          <w:iCs w:val="false"/>
          <w:color w:val="1A1A1A"/>
          <w:sz w:val="22"/>
          <w:szCs w:val="22"/>
        </w:rPr>
        <w:t xml:space="preserve"> MOC — pairs each source with its Knowledge Note and raw-facts extraction fragment.</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Decision Log (7 decisions, all </w:t>
      </w:r>
      <w:r>
        <w:rPr>
          <w:rFonts w:ascii="Consolas" w:cs="Consolas" w:eastAsia="Consolas" w:hAnsi="Consolas"/>
          <w:b/>
          <w:bCs/>
          <w:i w:val="false"/>
          <w:iCs w:val="false"/>
          <w:color w:val="1A1A1A"/>
          <w:sz w:val="22"/>
          <w:szCs w:val="22"/>
        </w:rPr>
        <w:t xml:space="preserve">Approved</w:t>
      </w:r>
      <w:r>
        <w:rPr>
          <w:rFonts w:ascii="Calibri" w:cs="Calibri" w:eastAsia="Calibri" w:hAnsi="Calibri"/>
          <w:b/>
          <w:bCs/>
          <w:i w:val="false"/>
          <w:iCs w:val="false"/>
          <w:color w:val="1A1A1A"/>
          <w:sz w:val="22"/>
          <w:szCs w:val="22"/>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DEC-001 egypt-category-share-figure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DEC-002 egypt-market-size-definition</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DEC-003 section2-governing-hypothesis</w:t>
      </w:r>
      <w:r>
        <w:rPr>
          <w:rFonts w:ascii="Calibri" w:cs="Calibri" w:eastAsia="Calibri" w:hAnsi="Calibri"/>
          <w:b w:val="false"/>
          <w:bCs w:val="false"/>
          <w:i w:val="false"/>
          <w:iCs w:val="false"/>
          <w:color w:val="1A1A1A"/>
          <w:sz w:val="22"/>
          <w:szCs w:val="22"/>
        </w:rPr>
        <w:t xml:space="preserve"> (the plan's governing hypothesis — every section stays consistent with this), </w:t>
      </w:r>
      <w:r>
        <w:rPr>
          <w:rFonts w:ascii="Calibri" w:cs="Calibri" w:eastAsia="Calibri" w:hAnsi="Calibri"/>
          <w:b w:val="false"/>
          <w:bCs w:val="false"/>
          <w:i w:val="false"/>
          <w:iCs w:val="false"/>
          <w:color w:val="1A1A1A"/>
          <w:sz w:val="22"/>
          <w:szCs w:val="22"/>
        </w:rPr>
        <w:t xml:space="preserve">DEC-004 2026-investment-total</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DEC-005 section9-headline-scenario</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DEC-006 subscription-revenue-line-reclassification</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DEC-007 section13-review-cadence-kill-criteria</w:t>
      </w:r>
      <w:r>
        <w:rPr>
          <w:rFonts w:ascii="Calibri" w:cs="Calibri" w:eastAsia="Calibri" w:hAnsi="Calibri"/>
          <w:b w:val="false"/>
          <w:bCs w:val="false"/>
          <w:i w:val="false"/>
          <w:iCs w:val="false"/>
          <w:color w:val="1A1A1A"/>
          <w:sz w:val="22"/>
          <w:szCs w:val="22"/>
        </w:rPr>
        <w:t xml:space="preserv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Assumptions Register (14 rows, all </w:t>
      </w:r>
      <w:r>
        <w:rPr>
          <w:rFonts w:ascii="Consolas" w:cs="Consolas" w:eastAsia="Consolas" w:hAnsi="Consolas"/>
          <w:b/>
          <w:bCs/>
          <w:i w:val="false"/>
          <w:iCs w:val="false"/>
          <w:color w:val="1A1A1A"/>
          <w:sz w:val="22"/>
          <w:szCs w:val="22"/>
        </w:rPr>
        <w:t xml:space="preserve">Approved</w:t>
      </w:r>
      <w:r>
        <w:rPr>
          <w:rFonts w:ascii="Calibri" w:cs="Calibri" w:eastAsia="Calibri" w:hAnsi="Calibri"/>
          <w:b/>
          <w:bCs/>
          <w:i w:val="false"/>
          <w:iCs w:val="false"/>
          <w:color w:val="1A1A1A"/>
          <w:sz w:val="22"/>
          <w:szCs w:val="22"/>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Assumptions Register</w:t>
      </w:r>
      <w:r>
        <w:rPr>
          <w:rFonts w:ascii="Calibri" w:cs="Calibri" w:eastAsia="Calibri" w:hAnsi="Calibri"/>
          <w:b w:val="false"/>
          <w:bCs w:val="false"/>
          <w:i w:val="false"/>
          <w:iCs w:val="false"/>
          <w:color w:val="1A1A1A"/>
          <w:sz w:val="22"/>
          <w:szCs w:val="22"/>
        </w:rPr>
        <w:t xml:space="preserve"> — every numeric estimate, Group-ratio import, or labeled inference cited anywhere in Sections 2–13 has a row here.</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External Research Register (4 entries):</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RES-001 egypt-named-competitors</w:t>
      </w:r>
      <w:r>
        <w:rPr>
          <w:rFonts w:ascii="Calibri" w:cs="Calibri" w:eastAsia="Calibri" w:hAnsi="Calibri"/>
          <w:b w:val="false"/>
          <w:bCs w:val="false"/>
          <w:i w:val="false"/>
          <w:iCs w:val="false"/>
          <w:color w:val="1A1A1A"/>
          <w:sz w:val="22"/>
          <w:szCs w:val="22"/>
        </w:rPr>
        <w:t xml:space="preserve"> through </w:t>
      </w:r>
      <w:r>
        <w:rPr>
          <w:rFonts w:ascii="Calibri" w:cs="Calibri" w:eastAsia="Calibri" w:hAnsi="Calibri"/>
          <w:b w:val="false"/>
          <w:bCs w:val="false"/>
          <w:i w:val="false"/>
          <w:iCs w:val="false"/>
          <w:color w:val="1A1A1A"/>
          <w:sz w:val="22"/>
          <w:szCs w:val="22"/>
        </w:rPr>
        <w:t xml:space="preserve">RES-004 egypt-official-newsroom-operational-datapoints</w:t>
      </w:r>
      <w:r>
        <w:rPr>
          <w:rFonts w:ascii="Calibri" w:cs="Calibri" w:eastAsia="Calibri" w:hAnsi="Calibri"/>
          <w:b w:val="false"/>
          <w:bCs w:val="false"/>
          <w:i w:val="false"/>
          <w:iCs w:val="false"/>
          <w:color w:val="1A1A1A"/>
          <w:sz w:val="22"/>
          <w:szCs w:val="22"/>
        </w:rPr>
        <w:t xml:space="preserve"> — secondary-corpus/official-newsroom evidence, explicitly labeled lower-confidence than the audited primary corpus wherever cited.</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Forecast Layer:</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Value Driver Tree</w:t>
      </w:r>
      <w:r>
        <w:rPr>
          <w:rFonts w:ascii="Calibri" w:cs="Calibri" w:eastAsia="Calibri" w:hAnsi="Calibri"/>
          <w:b w:val="false"/>
          <w:bCs w:val="false"/>
          <w:i w:val="false"/>
          <w:iCs w:val="false"/>
          <w:color w:val="1A1A1A"/>
          <w:sz w:val="22"/>
          <w:szCs w:val="22"/>
        </w:rPr>
        <w:t xml:space="preserve"> and </w:t>
      </w:r>
      <w:r>
        <w:rPr>
          <w:rFonts w:ascii="Calibri" w:cs="Calibri" w:eastAsia="Calibri" w:hAnsi="Calibri"/>
          <w:b w:val="false"/>
          <w:bCs w:val="false"/>
          <w:i w:val="false"/>
          <w:iCs w:val="false"/>
          <w:color w:val="1A1A1A"/>
          <w:sz w:val="22"/>
          <w:szCs w:val="22"/>
        </w:rPr>
        <w:t xml:space="preserve">Scenarios</w:t>
      </w:r>
      <w:r>
        <w:rPr>
          <w:rFonts w:ascii="Calibri" w:cs="Calibri" w:eastAsia="Calibri" w:hAnsi="Calibri"/>
          <w:b w:val="false"/>
          <w:bCs w:val="false"/>
          <w:i w:val="false"/>
          <w:iCs w:val="false"/>
          <w:color w:val="1A1A1A"/>
          <w:sz w:val="22"/>
          <w:szCs w:val="22"/>
        </w:rPr>
        <w:t xml:space="preserve"> (feeding Section 9), </w:t>
      </w:r>
      <w:r>
        <w:rPr>
          <w:rFonts w:ascii="Calibri" w:cs="Calibri" w:eastAsia="Calibri" w:hAnsi="Calibri"/>
          <w:b w:val="false"/>
          <w:bCs w:val="false"/>
          <w:i w:val="false"/>
          <w:iCs w:val="false"/>
          <w:color w:val="1A1A1A"/>
          <w:sz w:val="22"/>
          <w:szCs w:val="22"/>
        </w:rPr>
        <w:t xml:space="preserve">KPI Tree</w:t>
      </w:r>
      <w:r>
        <w:rPr>
          <w:rFonts w:ascii="Calibri" w:cs="Calibri" w:eastAsia="Calibri" w:hAnsi="Calibri"/>
          <w:b w:val="false"/>
          <w:bCs w:val="false"/>
          <w:i w:val="false"/>
          <w:iCs w:val="false"/>
          <w:color w:val="1A1A1A"/>
          <w:sz w:val="22"/>
          <w:szCs w:val="22"/>
        </w:rPr>
        <w:t xml:space="preserve"> (feeding Section 13).</w:t>
      </w:r>
    </w:p>
    <w:p>
      <w:pPr>
        <w:spacing w:after="160" w:before="120" w:line="276"/>
      </w:pPr>
      <w:r>
        <w:rPr>
          <w:rFonts w:ascii="Calibri" w:cs="Calibri" w:eastAsia="Calibri" w:hAnsi="Calibri"/>
          <w:b/>
          <w:bCs/>
          <w:i w:val="false"/>
          <w:iCs w:val="false"/>
          <w:color w:val="1A1A1A"/>
          <w:sz w:val="22"/>
          <w:szCs w:val="22"/>
        </w:rPr>
        <w:t xml:space="preserve">Per-section traceability (each Business Plan section carries its own Traceability summary table, mapping every claim class in that section to its resolving source and citation status):</w:t>
      </w:r>
      <w:r>
        <w:rPr>
          <w:rFonts w:ascii="Calibri" w:cs="Calibri" w:eastAsia="Calibri" w:hAnsi="Calibri"/>
          <w:b w:val="false"/>
          <w:bCs w:val="false"/>
          <w:i w:val="false"/>
          <w:iCs w:val="false"/>
          <w:color w:val="1A1A1A"/>
          <w:sz w:val="22"/>
          <w:szCs w:val="22"/>
        </w:rPr>
        <w:t xml:space="preserve"> Sections 2, 3, 4, 5, 6, 7, 8, 9, 10, 11, 12, and 13 each end with a "Traceability summary (for Appendix/Section 14 use)" table. This appendix indexes them rather than reproducing sixteen tables' worth of content: </w:t>
      </w:r>
      <w:r>
        <w:rPr>
          <w:rFonts w:ascii="Calibri" w:cs="Calibri" w:eastAsia="Calibri" w:hAnsi="Calibri"/>
          <w:b w:val="false"/>
          <w:bCs w:val="false"/>
          <w:i w:val="false"/>
          <w:iCs w:val="false"/>
          <w:color w:val="1A1A1A"/>
          <w:sz w:val="22"/>
          <w:szCs w:val="22"/>
        </w:rPr>
        <w:t xml:space="preserve">Section 2</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6</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 Section 7</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8</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9</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10</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11</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val="false"/>
          <w:bCs w:val="false"/>
          <w:i w:val="false"/>
          <w:iCs w:val="false"/>
          <w:color w:val="1A1A1A"/>
          <w:sz w:val="22"/>
          <w:szCs w:val="22"/>
        </w:rPr>
        <w:t xml:space="preserve">Section 13</w:t>
      </w:r>
      <w:r>
        <w:rPr>
          <w:rFonts w:ascii="Calibri" w:cs="Calibri" w:eastAsia="Calibri" w:hAnsi="Calibri"/>
          <w:b w:val="false"/>
          <w:bCs w:val="false"/>
          <w:i w:val="false"/>
          <w:iCs w:val="false"/>
          <w:color w:val="1A1A1A"/>
          <w:sz w:val="22"/>
          <w:szCs w:val="22"/>
        </w:rPr>
        <w:t xml:space="preserve">.</w:t>
      </w:r>
    </w:p>
    <w:p>
      <w:pPr>
        <w:spacing w:after="160" w:before="120" w:line="276"/>
      </w:pPr>
      <w:r>
        <w:rPr>
          <w:rFonts w:ascii="Calibri" w:cs="Calibri" w:eastAsia="Calibri" w:hAnsi="Calibri"/>
          <w:b/>
          <w:bCs/>
          <w:i w:val="false"/>
          <w:iCs w:val="false"/>
          <w:color w:val="1A1A1A"/>
          <w:sz w:val="22"/>
          <w:szCs w:val="22"/>
        </w:rPr>
        <w:t xml:space="preserve">Validation trail (every fail/fix/re-verify cycle, per section):</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Citation Audit Section 02</w:t>
      </w:r>
      <w:r>
        <w:rPr>
          <w:rFonts w:ascii="Calibri" w:cs="Calibri" w:eastAsia="Calibri" w:hAnsi="Calibri"/>
          <w:b w:val="false"/>
          <w:bCs w:val="false"/>
          <w:i w:val="false"/>
          <w:iCs w:val="false"/>
          <w:color w:val="1A1A1A"/>
          <w:sz w:val="22"/>
          <w:szCs w:val="22"/>
        </w:rPr>
        <w:t xml:space="preserve"> through </w:t>
      </w:r>
      <w:r>
        <w:rPr>
          <w:rFonts w:ascii="Calibri" w:cs="Calibri" w:eastAsia="Calibri" w:hAnsi="Calibri"/>
          <w:b w:val="false"/>
          <w:bCs w:val="false"/>
          <w:i w:val="false"/>
          <w:iCs w:val="false"/>
          <w:color w:val="1A1A1A"/>
          <w:sz w:val="22"/>
          <w:szCs w:val="22"/>
        </w:rPr>
        <w:t xml:space="preserve">Citation Audit Section 13</w:t>
      </w:r>
      <w:r>
        <w:rPr>
          <w:rFonts w:ascii="Calibri" w:cs="Calibri" w:eastAsia="Calibri" w:hAnsi="Calibri"/>
          <w:b w:val="false"/>
          <w:bCs w:val="false"/>
          <w:i w:val="false"/>
          <w:iCs w:val="false"/>
          <w:color w:val="1A1A1A"/>
          <w:sz w:val="22"/>
          <w:szCs w:val="22"/>
        </w:rPr>
        <w:t xml:space="preserve"> and </w:t>
      </w:r>
      <w:r>
        <w:rPr>
          <w:rFonts w:ascii="Calibri" w:cs="Calibri" w:eastAsia="Calibri" w:hAnsi="Calibri"/>
          <w:b w:val="false"/>
          <w:bCs w:val="false"/>
          <w:i w:val="false"/>
          <w:iCs w:val="false"/>
          <w:color w:val="1A1A1A"/>
          <w:sz w:val="22"/>
          <w:szCs w:val="22"/>
        </w:rPr>
        <w:t xml:space="preserve">QA Review Section 02</w:t>
      </w:r>
      <w:r>
        <w:rPr>
          <w:rFonts w:ascii="Calibri" w:cs="Calibri" w:eastAsia="Calibri" w:hAnsi="Calibri"/>
          <w:b w:val="false"/>
          <w:bCs w:val="false"/>
          <w:i w:val="false"/>
          <w:iCs w:val="false"/>
          <w:color w:val="1A1A1A"/>
          <w:sz w:val="22"/>
          <w:szCs w:val="22"/>
        </w:rPr>
        <w:t xml:space="preserve"> through </w:t>
      </w:r>
      <w:r>
        <w:rPr>
          <w:rFonts w:ascii="Calibri" w:cs="Calibri" w:eastAsia="Calibri" w:hAnsi="Calibri"/>
          <w:b w:val="false"/>
          <w:bCs w:val="false"/>
          <w:i w:val="false"/>
          <w:iCs w:val="false"/>
          <w:color w:val="1A1A1A"/>
          <w:sz w:val="22"/>
          <w:szCs w:val="22"/>
        </w:rPr>
        <w:t xml:space="preserve">QA Review Section 13</w:t>
      </w:r>
      <w:r>
        <w:rPr>
          <w:rFonts w:ascii="Calibri" w:cs="Calibri" w:eastAsia="Calibri" w:hAnsi="Calibri"/>
          <w:b w:val="false"/>
          <w:bCs w:val="false"/>
          <w:i w:val="false"/>
          <w:iCs w:val="false"/>
          <w:color w:val="1A1A1A"/>
          <w:sz w:val="22"/>
          <w:szCs w:val="22"/>
        </w:rPr>
        <w:t xml:space="preserve"> (Section 10 alone has two independent QA passes, </w:t>
      </w:r>
      <w:r>
        <w:rPr>
          <w:rFonts w:ascii="Calibri" w:cs="Calibri" w:eastAsia="Calibri" w:hAnsi="Calibri"/>
          <w:b w:val="false"/>
          <w:bCs w:val="false"/>
          <w:i w:val="false"/>
          <w:iCs w:val="false"/>
          <w:color w:val="1A1A1A"/>
          <w:sz w:val="22"/>
          <w:szCs w:val="22"/>
        </w:rPr>
        <w:t xml:space="preserve">QA Review Section 10 Pass1</w:t>
      </w:r>
      <w:r>
        <w:rPr>
          <w:rFonts w:ascii="Calibri" w:cs="Calibri" w:eastAsia="Calibri" w:hAnsi="Calibri"/>
          <w:b w:val="false"/>
          <w:bCs w:val="false"/>
          <w:i w:val="false"/>
          <w:iCs w:val="false"/>
          <w:color w:val="1A1A1A"/>
          <w:sz w:val="22"/>
          <w:szCs w:val="22"/>
        </w:rPr>
        <w:t xml:space="preserve">/</w:t>
      </w:r>
      <w:r>
        <w:rPr>
          <w:rFonts w:ascii="Calibri" w:cs="Calibri" w:eastAsia="Calibri" w:hAnsi="Calibri"/>
          <w:b w:val="false"/>
          <w:bCs w:val="false"/>
          <w:i w:val="false"/>
          <w:iCs w:val="false"/>
          <w:color w:val="1A1A1A"/>
          <w:sz w:val="22"/>
          <w:szCs w:val="22"/>
        </w:rPr>
        <w:t xml:space="preserve">QA Review Section 10 Pass2</w:t>
      </w:r>
      <w:r>
        <w:rPr>
          <w:rFonts w:ascii="Calibri" w:cs="Calibri" w:eastAsia="Calibri" w:hAnsi="Calibri"/>
          <w:b w:val="false"/>
          <w:bCs w:val="false"/>
          <w:i w:val="false"/>
          <w:iCs w:val="false"/>
          <w:color w:val="1A1A1A"/>
          <w:sz w:val="22"/>
          <w:szCs w:val="22"/>
        </w:rPr>
        <w:t xml:space="preserve">, plus a comparison note, </w:t>
      </w:r>
      <w:r>
        <w:rPr>
          <w:rFonts w:ascii="Calibri" w:cs="Calibri" w:eastAsia="Calibri" w:hAnsi="Calibri"/>
          <w:b w:val="false"/>
          <w:bCs w:val="false"/>
          <w:i w:val="false"/>
          <w:iCs w:val="false"/>
          <w:color w:val="1A1A1A"/>
          <w:sz w:val="22"/>
          <w:szCs w:val="22"/>
        </w:rPr>
        <w:t xml:space="preserve">QA Review Section 10 Comparison</w:t>
      </w:r>
      <w:r>
        <w:rPr>
          <w:rFonts w:ascii="Calibri" w:cs="Calibri" w:eastAsia="Calibri" w:hAnsi="Calibri"/>
          <w:b w:val="false"/>
          <w:bCs w:val="false"/>
          <w:i w:val="false"/>
          <w:iCs w:val="false"/>
          <w:color w:val="1A1A1A"/>
          <w:sz w:val="22"/>
          <w:szCs w:val="22"/>
        </w:rPr>
        <w:t xml:space="preserve">). This is the evidentiary record that every claim in Sections 2–13 was independently checked, not merely drafted and left unverified.</w:t>
      </w:r>
    </w:p>
    <w:p>
      <w:pPr>
        <w:spacing w:after="160" w:before="120" w:line="276"/>
      </w:pPr>
      <w:r>
        <w:rPr>
          <w:rFonts w:ascii="Calibri" w:cs="Calibri" w:eastAsia="Calibri" w:hAnsi="Calibri"/>
          <w:b/>
          <w:bCs/>
          <w:i w:val="false"/>
          <w:iCs w:val="false"/>
          <w:color w:val="1A1A1A"/>
          <w:sz w:val="22"/>
          <w:szCs w:val="22"/>
        </w:rPr>
        <w:t xml:space="preserve">Known open items carried forward, not silently dropped:</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The one genuinely deferred decision:</w:t>
      </w:r>
      <w:r>
        <w:rPr>
          <w:rFonts w:ascii="Calibri" w:cs="Calibri" w:eastAsia="Calibri" w:hAnsi="Calibri"/>
          <w:b w:val="false"/>
          <w:bCs w:val="false"/>
          <w:i w:val="false"/>
          <w:iCs w:val="false"/>
          <w:color w:val="1A1A1A"/>
          <w:sz w:val="22"/>
          <w:szCs w:val="22"/>
        </w:rPr>
        <w:t xml:space="preserve"> per </w:t>
      </w:r>
      <w:r>
        <w:rPr>
          <w:rFonts w:ascii="Consolas" w:cs="Consolas" w:eastAsia="Consolas" w:hAnsi="Consolas"/>
          <w:b w:val="false"/>
          <w:bCs w:val="false"/>
          <w:i w:val="false"/>
          <w:iCs w:val="false"/>
          <w:color w:val="1A1A1A"/>
          <w:sz w:val="22"/>
          <w:szCs w:val="22"/>
        </w:rPr>
        <w:t xml:space="preserve">DEC-007</w:t>
      </w:r>
      <w:r>
        <w:rPr>
          <w:rFonts w:ascii="Calibri" w:cs="Calibri" w:eastAsia="Calibri" w:hAnsi="Calibri"/>
          <w:b w:val="false"/>
          <w:bCs w:val="false"/>
          <w:i w:val="false"/>
          <w:iCs w:val="false"/>
          <w:color w:val="1A1A1A"/>
          <w:sz w:val="22"/>
          <w:szCs w:val="22"/>
        </w:rPr>
        <w:t xml:space="preserve">, setting an actual numeric kill-criteria threshold for the seven kill-criteria-bearing KPIs (K5–K9, K13–K14) becomes possible only once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's H1 pilot produces real Egypt baseline data — this is a future Decision Log entry (</w:t>
      </w:r>
      <w:r>
        <w:rPr>
          <w:rFonts w:ascii="Consolas" w:cs="Consolas" w:eastAsia="Consolas" w:hAnsi="Consolas"/>
          <w:b w:val="false"/>
          <w:bCs w:val="false"/>
          <w:i w:val="false"/>
          <w:iCs w:val="false"/>
          <w:color w:val="1A1A1A"/>
          <w:sz w:val="22"/>
          <w:szCs w:val="22"/>
        </w:rPr>
        <w:t xml:space="preserve">DEC-008</w:t>
      </w:r>
      <w:r>
        <w:rPr>
          <w:rFonts w:ascii="Calibri" w:cs="Calibri" w:eastAsia="Calibri" w:hAnsi="Calibri"/>
          <w:b w:val="false"/>
          <w:bCs w:val="false"/>
          <w:i w:val="false"/>
          <w:iCs w:val="false"/>
          <w:color w:val="1A1A1A"/>
          <w:sz w:val="22"/>
          <w:szCs w:val="22"/>
        </w:rPr>
        <w:t xml:space="preserve"> or later), explicitly not resolved in this plan.</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Team role assignments</w:t>
      </w:r>
      <w:r>
        <w:rPr>
          <w:rFonts w:ascii="Calibri" w:cs="Calibri" w:eastAsia="Calibri" w:hAnsi="Calibri"/>
          <w:b w:val="false"/>
          <w:bCs w:val="false"/>
          <w:i w:val="false"/>
          <w:iCs w:val="false"/>
          <w:color w:val="1A1A1A"/>
          <w:sz w:val="22"/>
          <w:szCs w:val="22"/>
        </w:rPr>
        <w:t xml:space="preserve"> (which of the six capstone members owns which of the guide's five defined roles) remain unassigned — see §14.2.</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The MCP-integration decision for this capstone's own Agentic OS</w:t>
      </w:r>
      <w:r>
        <w:rPr>
          <w:rFonts w:ascii="Calibri" w:cs="Calibri" w:eastAsia="Calibri" w:hAnsi="Calibri"/>
          <w:b w:val="false"/>
          <w:bCs w:val="false"/>
          <w:i w:val="false"/>
          <w:iCs w:val="false"/>
          <w:color w:val="1A1A1A"/>
          <w:sz w:val="22"/>
          <w:szCs w:val="22"/>
        </w:rPr>
        <w:t xml:space="preserve"> (distinction credit vs. fragility) remains open past its original Phase 2 deadline — noted here for completeness since it concerns this plan's own drafting process, not talabat's business.</w:t>
      </w:r>
    </w:p>
    <w:p>
      <w:pPr>
        <w:pStyle w:val="Heading2"/>
        <w:spacing w:after="120" w:before="280"/>
      </w:pPr>
      <w:r>
        <w:t xml:space="preserve">14.2 Resumes of Key Team Members</w:t>
      </w:r>
    </w:p>
    <w:p>
      <w:pPr>
        <w:spacing w:after="160" w:before="120" w:line="276"/>
      </w:pPr>
      <w:r>
        <w:rPr>
          <w:rFonts w:ascii="Calibri" w:cs="Calibri" w:eastAsia="Calibri" w:hAnsi="Calibri"/>
          <w:b w:val="false"/>
          <w:bCs w:val="false"/>
          <w:i w:val="false"/>
          <w:iCs w:val="false"/>
          <w:color w:val="1A1A1A"/>
          <w:sz w:val="22"/>
          <w:szCs w:val="22"/>
        </w:rPr>
        <w:t xml:space="preserve">This capstone is produced by a six-member AASTMT MBA team (Group G02), not a company with disclosed employees — there is no corpus source this section could cite for "team member resumes" in the template's literal sense, and this section does not fabricate professional biography for real, named individuals. That would be a materially different, and more serious, act than any labeled-synthetic business figure elsewhere in this plan (Section 7's illustrative funnel table, Section 10's synthetic probability–impact ratings) — those are framework-exposition devices about a business; a fabricated resume would be an invented biographical claim about a real person.</w:t>
      </w:r>
    </w:p>
    <w:p>
      <w:pPr>
        <w:spacing w:after="160" w:before="120" w:line="276"/>
      </w:pPr>
      <w:r>
        <w:rPr>
          <w:rFonts w:ascii="Calibri" w:cs="Calibri" w:eastAsia="Calibri" w:hAnsi="Calibri"/>
          <w:b/>
          <w:bCs/>
          <w:i w:val="false"/>
          <w:iCs w:val="false"/>
          <w:color w:val="1A1A1A"/>
          <w:sz w:val="22"/>
          <w:szCs w:val="22"/>
        </w:rPr>
        <w:t xml:space="preserve">What is honestly known:</w:t>
      </w:r>
      <w:r>
        <w:rPr>
          <w:rFonts w:ascii="Calibri" w:cs="Calibri" w:eastAsia="Calibri" w:hAnsi="Calibri"/>
          <w:b w:val="false"/>
          <w:bCs w:val="false"/>
          <w:i w:val="false"/>
          <w:iCs w:val="false"/>
          <w:color w:val="1A1A1A"/>
          <w:sz w:val="22"/>
          <w:szCs w:val="22"/>
        </w:rPr>
        <w:t xml:space="preserve"> a six-person roster exists (project tracking record, not reproduced here in full to avoid embedding personal identifiers in a document intended for grading distribution); role assignment against the project guide's five defined roles (OS Architect, Data &amp; Research Lead, Business Plan Lead, Strategy &amp; Risk Lead, Integration &amp; Delivery Lead) remains </w:t>
      </w:r>
      <w:r>
        <w:rPr>
          <w:rFonts w:ascii="Calibri" w:cs="Calibri" w:eastAsia="Calibri" w:hAnsi="Calibri"/>
          <w:b/>
          <w:bCs/>
          <w:i w:val="false"/>
          <w:iCs w:val="false"/>
          <w:color w:val="1A1A1A"/>
          <w:sz w:val="22"/>
          <w:szCs w:val="22"/>
        </w:rPr>
        <w:t xml:space="preserve">unassigned</w:t>
      </w:r>
      <w:r>
        <w:rPr>
          <w:rFonts w:ascii="Calibri" w:cs="Calibri" w:eastAsia="Calibri" w:hAnsi="Calibri"/>
          <w:b w:val="false"/>
          <w:bCs w:val="false"/>
          <w:i w:val="false"/>
          <w:iCs w:val="false"/>
          <w:color w:val="1A1A1A"/>
          <w:sz w:val="22"/>
          <w:szCs w:val="22"/>
        </w:rPr>
        <w:t xml:space="preserve"> for five of six members as of this drafting session. </w:t>
      </w:r>
      <w:r>
        <w:rPr>
          <w:rFonts w:ascii="Calibri" w:cs="Calibri" w:eastAsia="Calibri" w:hAnsi="Calibri"/>
          <w:b/>
          <w:bCs/>
          <w:i w:val="false"/>
          <w:iCs w:val="false"/>
          <w:color w:val="1A1A1A"/>
          <w:sz w:val="22"/>
          <w:szCs w:val="22"/>
        </w:rPr>
        <w:t xml:space="preserve">This is a required, not optional, action item for the human team before final submission to </w:t>
      </w:r>
      <w:r>
        <w:rPr>
          <w:rFonts w:ascii="Consolas" w:cs="Consolas" w:eastAsia="Consolas" w:hAnsi="Consolas"/>
          <w:b/>
          <w:bCs/>
          <w:i w:val="false"/>
          <w:iCs w:val="false"/>
          <w:color w:val="1A1A1A"/>
          <w:sz w:val="22"/>
          <w:szCs w:val="22"/>
        </w:rPr>
        <w:t xml:space="preserve">Outputs/</w:t>
      </w:r>
      <w:r>
        <w:rPr>
          <w:rFonts w:ascii="Calibri" w:cs="Calibri" w:eastAsia="Calibri" w:hAnsi="Calibri"/>
          <w:b w:val="false"/>
          <w:bCs w:val="false"/>
          <w:i w:val="false"/>
          <w:iCs w:val="false"/>
          <w:color w:val="1A1A1A"/>
          <w:sz w:val="22"/>
          <w:szCs w:val="22"/>
        </w:rPr>
        <w:t xml:space="preserve"> — resumes/CVs must be supplied by each member individually; this capstone's Agentic OS has no legitimate way to generate them.</w:t>
      </w:r>
    </w:p>
    <w:p>
      <w:pPr>
        <w:pStyle w:val="Heading2"/>
        <w:spacing w:after="120" w:before="280"/>
      </w:pPr>
      <w:r>
        <w:t xml:space="preserve">14.3 Technical Specifications of the AI Product</w:t>
      </w:r>
    </w:p>
    <w:p>
      <w:pPr>
        <w:spacing w:after="160" w:before="120" w:line="276"/>
      </w:pPr>
      <w:r>
        <w:rPr>
          <w:rFonts w:ascii="Calibri" w:cs="Calibri" w:eastAsia="Calibri" w:hAnsi="Calibri"/>
          <w:b w:val="false"/>
          <w:bCs w:val="false"/>
          <w:i w:val="false"/>
          <w:iCs w:val="false"/>
          <w:color w:val="1A1A1A"/>
          <w:sz w:val="22"/>
          <w:szCs w:val="22"/>
        </w:rPr>
        <w:t xml:space="preserve">This section compiles rather than restates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's full technical treatment. Summary: talabat's AI/ML capability spans four disclosed functional areas (personalisation, logistics, advertising, internal operations); processes 235TB/day of data (TLB-002, page 15); activates its personalisation/ranking algorithm after ~6 orders from a given customer; is substantially inherited from parent Delivery Hero's shared technology stack (dispatch/logistics infrastructure) with a proprietary personalisation/ranking layer built on top; and discloses no specific cloud platform, no patent filing, and no MCP/agentic/LLM-based tooling anywhere in the corpus. This plan's recommendation (</w:t>
      </w:r>
      <w:r>
        <w:rPr>
          <w:rFonts w:ascii="Consolas" w:cs="Consolas" w:eastAsia="Consolas" w:hAnsi="Consolas"/>
          <w:b w:val="false"/>
          <w:bCs w:val="false"/>
          <w:i w:val="false"/>
          <w:iCs w:val="false"/>
          <w:color w:val="1A1A1A"/>
          <w:sz w:val="22"/>
          <w:szCs w:val="22"/>
        </w:rPr>
        <w:t xml:space="preserve">DEC-003</w:t>
      </w:r>
      <w:r>
        <w:rPr>
          <w:rFonts w:ascii="Calibri" w:cs="Calibri" w:eastAsia="Calibri" w:hAnsi="Calibri"/>
          <w:b w:val="false"/>
          <w:bCs w:val="false"/>
          <w:i w:val="false"/>
          <w:iCs w:val="false"/>
          <w:color w:val="1A1A1A"/>
          <w:sz w:val="22"/>
          <w:szCs w:val="22"/>
        </w:rPr>
        <w:t xml:space="preserve">'s Option 2) redeploys this existing capability to Egypt rather than building or licensing new technology — see </w:t>
      </w:r>
      <w:r>
        <w:rPr>
          <w:rFonts w:ascii="Calibri" w:cs="Calibri" w:eastAsia="Calibri" w:hAnsi="Calibri"/>
          <w:b w:val="false"/>
          <w:bCs w:val="false"/>
          <w:i w:val="false"/>
          <w:iCs w:val="false"/>
          <w:color w:val="1A1A1A"/>
          <w:sz w:val="22"/>
          <w:szCs w:val="22"/>
        </w:rPr>
        <w:t xml:space="preserve">Section 5</w:t>
      </w:r>
      <w:r>
        <w:rPr>
          <w:rFonts w:ascii="Calibri" w:cs="Calibri" w:eastAsia="Calibri" w:hAnsi="Calibri"/>
          <w:b w:val="false"/>
          <w:bCs w:val="false"/>
          <w:i w:val="false"/>
          <w:iCs w:val="false"/>
          <w:color w:val="1A1A1A"/>
          <w:sz w:val="22"/>
          <w:szCs w:val="22"/>
        </w:rPr>
        <w:t xml:space="preserve"> §5.2's full build/buy/partner analysis for the complete specification and rationale.</w:t>
      </w:r>
    </w:p>
    <w:p>
      <w:pPr>
        <w:pStyle w:val="Heading2"/>
        <w:spacing w:after="120" w:before="280"/>
      </w:pPr>
      <w:r>
        <w:t xml:space="preserve">14.4 Case Studies or Pilot Program Results</w:t>
      </w:r>
    </w:p>
    <w:p>
      <w:pPr>
        <w:spacing w:after="160" w:before="120" w:line="276"/>
      </w:pPr>
      <w:r>
        <w:rPr>
          <w:rFonts w:ascii="Calibri" w:cs="Calibri" w:eastAsia="Calibri" w:hAnsi="Calibri"/>
          <w:b/>
          <w:bCs/>
          <w:i w:val="false"/>
          <w:iCs w:val="false"/>
          <w:color w:val="1A1A1A"/>
          <w:sz w:val="22"/>
          <w:szCs w:val="22"/>
        </w:rPr>
        <w:t xml:space="preserve">No completed Egypt pilot exists at the time of this drafting</w:t>
      </w:r>
      <w:r>
        <w:rPr>
          <w:rFonts w:ascii="Calibri" w:cs="Calibri" w:eastAsia="Calibri" w:hAnsi="Calibri"/>
          <w:b w:val="false"/>
          <w:bCs w:val="false"/>
          <w:i w:val="false"/>
          <w:iCs w:val="false"/>
          <w:color w:val="1A1A1A"/>
          <w:sz w:val="22"/>
          <w:szCs w:val="22"/>
        </w:rPr>
        <w:t xml:space="preserve"> — this plan's own recommended pilot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's Horizon 1) has not yet launched, so there are no pilot </w:t>
      </w:r>
      <w:r>
        <w:rPr>
          <w:rFonts w:ascii="Calibri" w:cs="Calibri" w:eastAsia="Calibri" w:hAnsi="Calibri"/>
          <w:b w:val="false"/>
          <w:bCs w:val="false"/>
          <w:i/>
          <w:iCs/>
          <w:color w:val="1A1A1A"/>
          <w:sz w:val="22"/>
          <w:szCs w:val="22"/>
        </w:rPr>
        <w:t xml:space="preserve">results</w:t>
      </w:r>
      <w:r>
        <w:rPr>
          <w:rFonts w:ascii="Calibri" w:cs="Calibri" w:eastAsia="Calibri" w:hAnsi="Calibri"/>
          <w:b w:val="false"/>
          <w:bCs w:val="false"/>
          <w:i w:val="false"/>
          <w:iCs w:val="false"/>
          <w:color w:val="1A1A1A"/>
          <w:sz w:val="22"/>
          <w:szCs w:val="22"/>
        </w:rPr>
        <w:t xml:space="preserve"> to report here. This section does not invent them. Two genuine, already-evidenced reference points exist instead:</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GEMs (internal precedent, not an Egypt pilot).</w:t>
      </w:r>
      <w:r>
        <w:rPr>
          <w:rFonts w:ascii="Calibri" w:cs="Calibri" w:eastAsia="Calibri" w:hAnsi="Calibri"/>
          <w:b w:val="false"/>
          <w:bCs w:val="false"/>
          <w:i w:val="false"/>
          <w:iCs w:val="false"/>
          <w:color w:val="1A1A1A"/>
          <w:sz w:val="22"/>
          <w:szCs w:val="22"/>
        </w:rPr>
        <w:t xml:space="preserve"> talabat's own AI-supported Partner-level tool flags Restaurants with "low/declining customer acquisition or retention rates" for targeted win-back (TLB-026, page 138, first cited in </w:t>
      </w:r>
      <w:r>
        <w:rPr>
          <w:rFonts w:ascii="Calibri" w:cs="Calibri" w:eastAsia="Calibri" w:hAnsi="Calibri"/>
          <w:b w:val="false"/>
          <w:bCs w:val="false"/>
          <w:i w:val="false"/>
          <w:iCs w:val="false"/>
          <w:color w:val="1A1A1A"/>
          <w:sz w:val="22"/>
          <w:szCs w:val="22"/>
        </w:rPr>
        <w:t xml:space="preserve">Section 3</w:t>
      </w:r>
      <w:r>
        <w:rPr>
          <w:rFonts w:ascii="Calibri" w:cs="Calibri" w:eastAsia="Calibri" w:hAnsi="Calibri"/>
          <w:b w:val="false"/>
          <w:bCs w:val="false"/>
          <w:i w:val="false"/>
          <w:iCs w:val="false"/>
          <w:color w:val="1A1A1A"/>
          <w:sz w:val="22"/>
          <w:szCs w:val="22"/>
        </w:rPr>
        <w:t xml:space="preserve"> §3.4) — the closest real, operating "case study" of AI-driven retention-adjacent tooling inside talabat today, on the Partner side rather than the consumer side this plan targets.</w:t>
      </w:r>
    </w:p>
    <w:p>
      <w:pPr>
        <w:pStyle w:val="ListParagraph"/>
        <w:numPr>
          <w:ilvl w:val="0"/>
          <w:numId w:val="3"/>
        </w:numPr>
        <w:spacing w:after="80" w:before="40" w:line="276"/>
      </w:pPr>
      <w:r>
        <w:rPr>
          <w:rFonts w:ascii="Calibri" w:cs="Calibri" w:eastAsia="Calibri" w:hAnsi="Calibri"/>
          <w:b/>
          <w:bCs/>
          <w:i w:val="false"/>
          <w:iCs w:val="false"/>
          <w:color w:val="1A1A1A"/>
          <w:sz w:val="22"/>
          <w:szCs w:val="22"/>
        </w:rPr>
        <w:t xml:space="preserve">The planned H1 pilot design (not yet executed).</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2"/>
          <w:szCs w:val="22"/>
        </w:rPr>
        <w:t xml:space="preserve">Section 12</w:t>
      </w:r>
      <w:r>
        <w:rPr>
          <w:rFonts w:ascii="Calibri" w:cs="Calibri" w:eastAsia="Calibri" w:hAnsi="Calibri"/>
          <w:b w:val="false"/>
          <w:bCs w:val="false"/>
          <w:i w:val="false"/>
          <w:iCs w:val="false"/>
          <w:color w:val="1A1A1A"/>
          <w:sz w:val="22"/>
          <w:szCs w:val="22"/>
        </w:rPr>
        <w:t xml:space="preserve">'s Horizon 1 specifies the pilot's scope, instrumentation, and go/no-go checkpoints in detail — this is the plan's </w:t>
      </w:r>
      <w:r>
        <w:rPr>
          <w:rFonts w:ascii="Calibri" w:cs="Calibri" w:eastAsia="Calibri" w:hAnsi="Calibri"/>
          <w:b w:val="false"/>
          <w:bCs w:val="false"/>
          <w:i/>
          <w:iCs/>
          <w:color w:val="1A1A1A"/>
          <w:sz w:val="22"/>
          <w:szCs w:val="22"/>
        </w:rPr>
        <w:t xml:space="preserve">proposed</w:t>
      </w:r>
      <w:r>
        <w:rPr>
          <w:rFonts w:ascii="Calibri" w:cs="Calibri" w:eastAsia="Calibri" w:hAnsi="Calibri"/>
          <w:b w:val="false"/>
          <w:bCs w:val="false"/>
          <w:i w:val="false"/>
          <w:iCs w:val="false"/>
          <w:color w:val="1A1A1A"/>
          <w:sz w:val="22"/>
          <w:szCs w:val="22"/>
        </w:rPr>
        <w:t xml:space="preserve"> case study, explicitly framed as a future evidence-generation step, not a completed program with reportable results.</w:t>
      </w:r>
    </w:p>
    <w:p>
      <w:pPr>
        <w:pStyle w:val="Heading2"/>
        <w:spacing w:after="120" w:before="280"/>
      </w:pPr>
      <w:r>
        <w:t xml:space="preserve">14.5 Legal and Compliance Documents</w:t>
      </w:r>
    </w:p>
    <w:p>
      <w:pPr>
        <w:spacing w:after="160" w:before="120" w:line="276"/>
      </w:pPr>
      <w:r>
        <w:rPr>
          <w:rFonts w:ascii="Calibri" w:cs="Calibri" w:eastAsia="Calibri" w:hAnsi="Calibri"/>
          <w:b w:val="false"/>
          <w:bCs w:val="false"/>
          <w:i w:val="false"/>
          <w:iCs w:val="false"/>
          <w:color w:val="1A1A1A"/>
          <w:sz w:val="22"/>
          <w:szCs w:val="22"/>
        </w:rPr>
        <w:t xml:space="preserve">No dedicated legal/compliance filing is included as a standalone appendix item, because the corpus discloses none specific to an Egypt AI-retention programme. The relevant disclosed compliance framework is compiled in </w:t>
      </w:r>
      <w:r>
        <w:rPr>
          <w:rFonts w:ascii="Calibri" w:cs="Calibri" w:eastAsia="Calibri" w:hAnsi="Calibri"/>
          <w:b w:val="false"/>
          <w:bCs w:val="false"/>
          <w:i w:val="false"/>
          <w:iCs w:val="false"/>
          <w:color w:val="1A1A1A"/>
          <w:sz w:val="22"/>
          <w:szCs w:val="22"/>
        </w:rPr>
        <w:t xml:space="preserve">Section 8</w:t>
      </w:r>
      <w:r>
        <w:rPr>
          <w:rFonts w:ascii="Calibri" w:cs="Calibri" w:eastAsia="Calibri" w:hAnsi="Calibri"/>
          <w:b w:val="false"/>
          <w:bCs w:val="false"/>
          <w:i w:val="false"/>
          <w:iCs w:val="false"/>
          <w:color w:val="1A1A1A"/>
          <w:sz w:val="22"/>
          <w:szCs w:val="22"/>
        </w:rPr>
        <w:t xml:space="preserve">'s Security and Compliance subsection: a Group-wide data-protection and cybersecurity framework, a specialised information security team, "regional data protection professionals," and the one specifically named law in the entire corpus — the </w:t>
      </w:r>
      <w:r>
        <w:rPr>
          <w:rFonts w:ascii="Calibri" w:cs="Calibri" w:eastAsia="Calibri" w:hAnsi="Calibri"/>
          <w:b/>
          <w:bCs/>
          <w:i w:val="false"/>
          <w:iCs w:val="false"/>
          <w:color w:val="1A1A1A"/>
          <w:sz w:val="22"/>
          <w:szCs w:val="22"/>
        </w:rPr>
        <w:t xml:space="preserve">Data Protection Regulation 2021 in the ADGM</w:t>
      </w:r>
      <w:r>
        <w:rPr>
          <w:rFonts w:ascii="Calibri" w:cs="Calibri" w:eastAsia="Calibri" w:hAnsi="Calibri"/>
          <w:b w:val="false"/>
          <w:bCs w:val="false"/>
          <w:i w:val="false"/>
          <w:iCs w:val="false"/>
          <w:color w:val="1A1A1A"/>
          <w:sz w:val="22"/>
          <w:szCs w:val="22"/>
        </w:rPr>
        <w:t xml:space="preserve"> (Abu Dhabi Global Market, where Talabat Holding PLC is incorporated). No Egypt-specific data protection law (e.g., Egypt's Personal Data Protection Law, Law No. 151 of 2020) is named anywhere in the corpus — Section 8 states this gap plainly, and this appendix does not add a legal citation the corpus does not support.</w:t>
      </w:r>
    </w:p>
    <w:sectPr>
      <w:headerReference w:type="default" r:id="rId37"/>
      <w:footerReference w:type="default" r:id="rId3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595959"/>
        <w:sz w:val="16"/>
        <w:szCs w:val="16"/>
      </w:rPr>
      <w:t xml:space="preserve">Draft — AASTMT MBA Capstone, Group G02</w:t>
    </w:r>
    <w: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22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Document Control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Table of Contents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1. Executive Summary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2. Business Description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3. Market Analysis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4. Value Proposition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5. AI Technology and Development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6. Business Model and Revenue Streams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7. Marketing and Sales Strategy</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8. Operations Plan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9. Financial Plan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10. Risk Analysis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11. Corporate Social Responsibility &amp; Responsible AI</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12. Implementation Plan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13. Monitoring and Evaluation</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talabat Egypt — AI-Driven Customer Retention Business Plan</w:t>
    </w:r>
    <w:r>
      <w:t xml:space="preserve">	</w:t>
    </w:r>
    <w:r>
      <w:rPr>
        <w:rFonts w:ascii="Calibri" w:cs="Calibri" w:eastAsia="Calibri" w:hAnsi="Calibri"/>
        <w:i/>
        <w:iCs/>
        <w:color w:val="595959"/>
        <w:sz w:val="16"/>
        <w:szCs w:val="16"/>
      </w:rPr>
      <w:t xml:space="preserve">14. Appendices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bullet"/>
      <w:lvlText w:val="–"/>
      <w:lvlJc w:val="left"/>
      <w:pPr>
        <w:ind w:left="920" w:hanging="260"/>
      </w:pPr>
    </w:lvl>
    <w:lvl w:ilvl="1" w15:tentative="1">
      <w:start w:val="1"/>
      <w:numFmt w:val="bullet"/>
      <w:lvlText w:val="–"/>
      <w:lvlJc w:val="left"/>
      <w:pPr>
        <w:ind w:left="92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mbria" w:cs="Cambria" w:eastAsia="Cambria" w:hAnsi="Cambria"/>
      <w:b/>
      <w:bCs/>
      <w:color w:val="1A1A1A"/>
      <w:sz w:val="34"/>
      <w:szCs w:val="34"/>
    </w:rPr>
  </w:style>
  <w:style w:type="paragraph" w:styleId="Heading2">
    <w:name w:val="Heading 2"/>
    <w:basedOn w:val="Normal"/>
    <w:next w:val="Normal"/>
    <w:qFormat/>
    <w:pPr>
      <w:spacing w:after="120" w:before="260"/>
      <w:outlineLvl w:val="1"/>
    </w:pPr>
    <w:rPr>
      <w:rFonts w:ascii="Cambria" w:cs="Cambria" w:eastAsia="Cambria" w:hAnsi="Cambria"/>
      <w:b/>
      <w:bCs/>
      <w:color w:val="FF5A00"/>
      <w:sz w:val="27"/>
      <w:szCs w:val="27"/>
    </w:rPr>
  </w:style>
  <w:style w:type="paragraph" w:styleId="Heading3">
    <w:name w:val="Heading 3"/>
    <w:basedOn w:val="Normal"/>
    <w:next w:val="Normal"/>
    <w:qFormat/>
    <w:pPr>
      <w:spacing w:after="100" w:before="200"/>
      <w:outlineLvl w:val="2"/>
    </w:pPr>
    <w:rPr>
      <w:rFonts w:ascii="Cambria" w:cs="Cambria" w:eastAsia="Cambria" w:hAnsi="Cambria"/>
      <w:b/>
      <w:bCs/>
      <w:i/>
      <w:i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Customer Retention Strategy for talabat Egypt</dc:title>
  <dc:creator>AASTMT MBA Capstone, Group G02</dc:creator>
  <dc:description>AI Business Plan (GSB Template v2.0, McKinsey Edition) — Draft, pending instructor submission</dc:description>
  <cp:lastModifiedBy>Un-named</cp:lastModifiedBy>
  <cp:revision>1</cp:revision>
  <dcterms:created xsi:type="dcterms:W3CDTF">2026-07-22T20:07:42.310Z</dcterms:created>
  <dcterms:modified xsi:type="dcterms:W3CDTF">2026-07-22T20:07:42.320Z</dcterms:modified>
</cp:coreProperties>
</file>

<file path=docProps/custom.xml><?xml version="1.0" encoding="utf-8"?>
<Properties xmlns="http://schemas.openxmlformats.org/officeDocument/2006/custom-properties" xmlns:vt="http://schemas.openxmlformats.org/officeDocument/2006/docPropsVTypes"/>
</file>