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color w:val="666666"/>
          <w:sz w:val="32"/>
        </w:rPr>
        <w:t>talabat Group</w:t>
      </w:r>
    </w:p>
    <w:p>
      <w:pPr>
        <w:spacing w:after="120"/>
        <w:jc w:val="center"/>
      </w:pPr>
      <w:r>
        <w:rPr>
          <w:rFonts w:ascii="Calibri" w:hAnsi="Calibri"/>
          <w:b/>
          <w:color w:val="FF6B00"/>
          <w:sz w:val="60"/>
        </w:rPr>
        <w:t>Agentic OS — Structure Document</w:t>
      </w:r>
    </w:p>
    <w:p>
      <w:pPr>
        <w:spacing w:after="800"/>
        <w:jc w:val="center"/>
      </w:pPr>
      <w:r>
        <w:rPr>
          <w:rFonts w:ascii="Calibri" w:hAnsi="Calibri"/>
          <w:i/>
          <w:color w:val="333333"/>
          <w:sz w:val="25"/>
        </w:rPr>
        <w:t>The AI system built to produce the AI Business Plan for talabat's 2026 USD 175 million Everyday App vs. Food-leadership capital-allocation decision</w:t>
      </w:r>
    </w:p>
    <w:p>
      <w:pPr>
        <w:spacing w:after="80"/>
        <w:jc w:val="center"/>
      </w:pPr>
      <w:r>
        <w:rPr>
          <w:rFonts w:ascii="Calibri" w:hAnsi="Calibri"/>
          <w:b/>
          <w:color w:val="333333"/>
          <w:sz w:val="22"/>
        </w:rPr>
        <w:t xml:space="preserve">Capstone:  </w:t>
      </w:r>
      <w:r>
        <w:rPr>
          <w:rFonts w:ascii="Calibri" w:hAnsi="Calibri"/>
          <w:color w:val="333333"/>
          <w:sz w:val="22"/>
        </w:rPr>
        <w:t>AASTMT MBA · Group G02</w:t>
      </w:r>
    </w:p>
    <w:p>
      <w:pPr>
        <w:spacing w:after="80"/>
        <w:jc w:val="center"/>
      </w:pPr>
      <w:r>
        <w:rPr>
          <w:rFonts w:ascii="Calibri" w:hAnsi="Calibri"/>
          <w:b/>
          <w:color w:val="333333"/>
          <w:sz w:val="22"/>
        </w:rPr>
        <w:t xml:space="preserve">Guide reference:  </w:t>
      </w:r>
      <w:r>
        <w:rPr>
          <w:rFonts w:ascii="Calibri" w:hAnsi="Calibri"/>
          <w:color w:val="333333"/>
          <w:sz w:val="22"/>
        </w:rPr>
        <w:t>Section 6, Deliverable 1 — OS Structure Document (3–5 pages)</w:t>
      </w:r>
    </w:p>
    <w:p>
      <w:pPr>
        <w:spacing w:after="80"/>
        <w:jc w:val="center"/>
      </w:pPr>
      <w:r>
        <w:rPr>
          <w:rFonts w:ascii="Calibri" w:hAnsi="Calibri"/>
          <w:b/>
          <w:color w:val="333333"/>
          <w:sz w:val="22"/>
        </w:rPr>
        <w:t xml:space="preserve">OS Owner:  </w:t>
      </w:r>
      <w:r>
        <w:rPr>
          <w:rFonts w:ascii="Calibri" w:hAnsi="Calibri"/>
          <w:color w:val="333333"/>
          <w:sz w:val="22"/>
        </w:rPr>
        <w:t>Sherif Samy Karoub</w:t>
      </w:r>
    </w:p>
    <w:p>
      <w:pPr>
        <w:spacing w:after="80"/>
        <w:jc w:val="center"/>
      </w:pPr>
      <w:r>
        <w:rPr>
          <w:rFonts w:ascii="Calibri" w:hAnsi="Calibri"/>
          <w:b/>
          <w:color w:val="333333"/>
          <w:sz w:val="22"/>
        </w:rPr>
        <w:t xml:space="preserve">Document author:  </w:t>
      </w:r>
      <w:r>
        <w:rPr>
          <w:rFonts w:ascii="Calibri" w:hAnsi="Calibri"/>
          <w:color w:val="333333"/>
          <w:sz w:val="22"/>
        </w:rPr>
        <w:t>Omar Mohamed</w:t>
      </w:r>
    </w:p>
    <w:p>
      <w:pPr>
        <w:spacing w:after="80"/>
        <w:jc w:val="center"/>
      </w:pPr>
      <w:r>
        <w:rPr>
          <w:rFonts w:ascii="Calibri" w:hAnsi="Calibri"/>
          <w:b/>
          <w:color w:val="333333"/>
          <w:sz w:val="22"/>
        </w:rPr>
        <w:t xml:space="preserve">Date:  </w:t>
      </w:r>
      <w:r>
        <w:rPr>
          <w:rFonts w:ascii="Calibri" w:hAnsi="Calibri"/>
          <w:color w:val="333333"/>
          <w:sz w:val="22"/>
        </w:rPr>
        <w:t>25 July 2026</w:t>
      </w:r>
    </w:p>
    <w:p>
      <w:r>
        <w:br w:type="page"/>
      </w:r>
    </w:p>
    <w:p>
      <w:pPr>
        <w:pStyle w:val="Heading1"/>
        <w:spacing w:before="360" w:after="160"/>
      </w:pPr>
      <w:r>
        <w:rPr>
          <w:rFonts w:ascii="Calibri" w:hAnsi="Calibri"/>
          <w:b/>
          <w:color w:val="FF6B00"/>
          <w:sz w:val="40"/>
        </w:rPr>
        <w:t>1. Purpose of This Document</w:t>
      </w:r>
    </w:p>
    <w:p>
      <w:pPr>
        <w:spacing w:after="160" w:line="276" w:lineRule="auto"/>
      </w:pPr>
      <w:r>
        <w:rPr>
          <w:rFonts w:ascii="Calibri" w:hAnsi="Calibri"/>
          <w:b w:val="0"/>
          <w:i w:val="0"/>
          <w:color w:val="333333"/>
          <w:sz w:val="22"/>
        </w:rPr>
        <w:t>This capstone's primary product is not the AI Business Plan by itself — it is the Agentic OS that produced it: a Claude Code–native system of a persistent knowledge base (“Second Brain”), eight specialist agents, ten skills, and a governed evidence-decision pipeline, purpose-built so that every claim in the final plan can be traced back to a disclosed source, a labeled assumption, or a dated management decision. This document describes that system: its six required components, what was adapted from the generic starting template and why, the LLM and MCP platform decisions and their rationale, and the governance guardrails that constrain how the system is allowed to operate.</w:t>
      </w:r>
    </w:p>
    <w:p>
      <w:pPr>
        <w:spacing w:after="160" w:line="276" w:lineRule="auto"/>
      </w:pPr>
      <w:r>
        <w:rPr>
          <w:rFonts w:ascii="Calibri" w:hAnsi="Calibri"/>
          <w:b w:val="0"/>
          <w:i/>
          <w:color w:val="333333"/>
          <w:sz w:val="22"/>
        </w:rPr>
        <w:t>Scope note: this document describes the OS's architecture and governance, not the Business Plan's content. It can be read, evaluated, and defended independently of the plan's own publication and review status.</w:t>
      </w:r>
    </w:p>
    <w:p>
      <w:pPr>
        <w:pStyle w:val="Heading1"/>
        <w:spacing w:before="360" w:after="160"/>
      </w:pPr>
      <w:r>
        <w:rPr>
          <w:rFonts w:ascii="Calibri" w:hAnsi="Calibri"/>
          <w:b/>
          <w:color w:val="FF6B00"/>
          <w:sz w:val="40"/>
        </w:rPr>
        <w:t>2. System Overview</w:t>
      </w:r>
    </w:p>
    <w:p>
      <w:pPr>
        <w:spacing w:after="160" w:line="276" w:lineRule="auto"/>
      </w:pPr>
      <w:r>
        <w:rPr>
          <w:rFonts w:ascii="Calibri" w:hAnsi="Calibri"/>
          <w:b w:val="0"/>
          <w:i w:val="0"/>
          <w:color w:val="333333"/>
          <w:sz w:val="22"/>
        </w:rPr>
        <w:t>Mental model: public source documents are extracted into the Brain, organized into a cited knowledge layer, then consumed by specialist Agents (each invoked via a documented Skill) that resolve research gaps, build forecasts, log management decisions, rank conflicting evidence, and draft plan sections — all recorded in persistent Memory so the system survives across sessions. Nothing reaches the Business Plan output without passing through this evidence chain.</w:t>
      </w:r>
    </w:p>
    <w:p>
      <w:pPr>
        <w:spacing w:after="160" w:line="276" w:lineRule="auto"/>
      </w:pPr>
      <w:r>
        <w:rPr>
          <w:rFonts w:ascii="Calibri" w:hAnsi="Calibri"/>
          <w:b w:val="0"/>
          <w:i w:val="0"/>
          <w:color w:val="333333"/>
          <w:sz w:val="22"/>
        </w:rPr>
        <w:t>Five evidence tiers, each only permitted to cite the tiers above it: (1) Repository Facts — disclosed, cited, immutable; (2) External Research — sourced this project, dated, confidence-scored; (3) Forecasts — derived, method-stated, scenario-tagged; (4) Management Decisions — team judgment calls, dated and owned; (5) the Business Plan itself — the only tier allowed to read from all four below it. This is what makes any sentence in the final plan traceable backward to a page-numbered source or an explicitly labeled assumption.</w:t>
      </w:r>
    </w:p>
    <w:p>
      <w:pPr>
        <w:pStyle w:val="Heading1"/>
        <w:spacing w:before="360" w:after="160"/>
      </w:pPr>
      <w:r>
        <w:rPr>
          <w:rFonts w:ascii="Calibri" w:hAnsi="Calibri"/>
          <w:b/>
          <w:color w:val="FF6B00"/>
          <w:sz w:val="40"/>
        </w:rPr>
        <w:t>3. The Six Required Components</w:t>
      </w:r>
    </w:p>
    <w:p>
      <w:pPr>
        <w:pStyle w:val="Heading2"/>
        <w:spacing w:before="200" w:after="160"/>
      </w:pPr>
      <w:r>
        <w:rPr>
          <w:rFonts w:ascii="Calibri" w:hAnsi="Calibri"/>
          <w:b/>
          <w:color w:val="333333"/>
          <w:sz w:val="28"/>
        </w:rPr>
        <w:t>3.1 Brain</w:t>
      </w:r>
    </w:p>
    <w:p>
      <w:pPr>
        <w:spacing w:after="160" w:line="276" w:lineRule="auto"/>
      </w:pPr>
      <w:r>
        <w:rPr>
          <w:rFonts w:ascii="Calibri" w:hAnsi="Calibri"/>
          <w:b w:val="0"/>
          <w:i w:val="0"/>
          <w:color w:val="333333"/>
          <w:sz w:val="22"/>
        </w:rPr>
        <w:t>An Obsidian “second brain” vault (vault/) holding the Knowledge layer (Facts, Sources, Entities extracted from Input_Data/), a Semantic layer (Topic and Strategic notes that consolidate raw facts into analysis-ready themes), and a Map of Content (vault/MOC/) that indexes the whole graph. This is where every citation in the plan ultimately resolves to.</w:t>
      </w:r>
    </w:p>
    <w:p>
      <w:pPr>
        <w:pStyle w:val="Heading2"/>
        <w:spacing w:before="200" w:after="160"/>
      </w:pPr>
      <w:r>
        <w:rPr>
          <w:rFonts w:ascii="Calibri" w:hAnsi="Calibri"/>
          <w:b/>
          <w:color w:val="333333"/>
          <w:sz w:val="28"/>
        </w:rPr>
        <w:t>3.2 Memory</w:t>
      </w:r>
    </w:p>
    <w:p>
      <w:pPr>
        <w:spacing w:after="160" w:line="276" w:lineRule="auto"/>
      </w:pPr>
      <w:r>
        <w:rPr>
          <w:rFonts w:ascii="Calibri" w:hAnsi="Calibri"/>
          <w:b w:val="0"/>
          <w:i w:val="0"/>
          <w:color w:val="333333"/>
          <w:sz w:val="22"/>
        </w:rPr>
        <w:t>Three root-level files — MEMORY.md (facts and standing instructions), PROJECT_PROGRESS.md (milestone tracker), and SESSION_LOG.md (dated session-by-session history) — give the OS continuity across separate Claude Code sessions and separate human contributors. A /session-end skill updates all three automatically at the close of each working session.</w:t>
      </w:r>
    </w:p>
    <w:p>
      <w:pPr>
        <w:pStyle w:val="Heading2"/>
        <w:spacing w:before="200" w:after="160"/>
      </w:pPr>
      <w:r>
        <w:rPr>
          <w:rFonts w:ascii="Calibri" w:hAnsi="Calibri"/>
          <w:b/>
          <w:color w:val="333333"/>
          <w:sz w:val="28"/>
        </w:rPr>
        <w:t>3.3 Agents</w:t>
      </w:r>
    </w:p>
    <w:p>
      <w:pPr>
        <w:spacing w:after="160" w:line="276" w:lineRule="auto"/>
      </w:pPr>
      <w:r>
        <w:rPr>
          <w:rFonts w:ascii="Calibri" w:hAnsi="Calibri"/>
          <w:b w:val="0"/>
          <w:i w:val="0"/>
          <w:color w:val="333333"/>
          <w:sz w:val="22"/>
        </w:rPr>
        <w:t>Eight named specialist agents (.claude/agents/), each owning specific stages of the 19-stage generation pipeline (vault/Architecture/Business_Plan_Generation_Pipeline.md):</w:t>
      </w:r>
    </w:p>
    <w:tbl>
      <w:tblPr>
        <w:tblStyle w:val="TableGrid"/>
        <w:tblW w:type="auto" w:w="0"/>
        <w:jc w:val="center"/>
        <w:tblLook w:firstColumn="1" w:firstRow="1" w:lastColumn="0" w:lastRow="0" w:noHBand="0" w:noVBand="1" w:val="04A0"/>
      </w:tblPr>
      <w:tblGrid>
        <w:gridCol w:w="4680"/>
        <w:gridCol w:w="4680"/>
      </w:tblGrid>
      <w:tr>
        <w:tc>
          <w:tcPr>
            <w:tcW w:type="dxa" w:w="2880"/>
            <w:shd w:fill="333333"/>
          </w:tcPr>
          <w:p>
            <w:r/>
            <w:r>
              <w:rPr>
                <w:rFonts w:ascii="Calibri" w:hAnsi="Calibri"/>
                <w:b/>
                <w:color w:val="FFFFFF"/>
                <w:sz w:val="20"/>
              </w:rPr>
              <w:t>Agent</w:t>
            </w:r>
          </w:p>
        </w:tc>
        <w:tc>
          <w:tcPr>
            <w:tcW w:type="dxa" w:w="6480"/>
            <w:shd w:fill="333333"/>
          </w:tcPr>
          <w:p>
            <w:r/>
            <w:r>
              <w:rPr>
                <w:rFonts w:ascii="Calibri" w:hAnsi="Calibri"/>
                <w:b/>
                <w:color w:val="FFFFFF"/>
                <w:sz w:val="20"/>
              </w:rPr>
              <w:t>Owns</w:t>
            </w:r>
          </w:p>
        </w:tc>
      </w:tr>
      <w:tr>
        <w:tc>
          <w:tcPr>
            <w:tcW w:type="dxa" w:w="2880"/>
          </w:tcPr>
          <w:p>
            <w:r/>
            <w:r>
              <w:rPr>
                <w:rFonts w:ascii="Calibri" w:hAnsi="Calibri"/>
                <w:color w:val="333333"/>
                <w:sz w:val="19"/>
              </w:rPr>
              <w:t>bp-orchestrator</w:t>
            </w:r>
          </w:p>
        </w:tc>
        <w:tc>
          <w:tcPr>
            <w:tcW w:type="dxa" w:w="6480"/>
          </w:tcPr>
          <w:p>
            <w:r/>
            <w:r>
              <w:rPr>
                <w:rFonts w:ascii="Calibri" w:hAnsi="Calibri"/>
                <w:color w:val="333333"/>
                <w:sz w:val="19"/>
              </w:rPr>
              <w:t>Stage sequencing, intake/scoping, drafting synthesis</w:t>
            </w:r>
          </w:p>
        </w:tc>
      </w:tr>
      <w:tr>
        <w:tc>
          <w:tcPr>
            <w:tcW w:type="dxa" w:w="2880"/>
          </w:tcPr>
          <w:p>
            <w:r/>
            <w:r>
              <w:rPr>
                <w:rFonts w:ascii="Calibri" w:hAnsi="Calibri"/>
                <w:color w:val="333333"/>
                <w:sz w:val="19"/>
              </w:rPr>
              <w:t>research-agent</w:t>
            </w:r>
          </w:p>
        </w:tc>
        <w:tc>
          <w:tcPr>
            <w:tcW w:type="dxa" w:w="6480"/>
          </w:tcPr>
          <w:p>
            <w:r/>
            <w:r>
              <w:rPr>
                <w:rFonts w:ascii="Calibri" w:hAnsi="Calibri"/>
                <w:color w:val="333333"/>
                <w:sz w:val="19"/>
              </w:rPr>
              <w:t>External research resolution, Research Register</w:t>
            </w:r>
          </w:p>
        </w:tc>
      </w:tr>
      <w:tr>
        <w:tc>
          <w:tcPr>
            <w:tcW w:type="dxa" w:w="2880"/>
          </w:tcPr>
          <w:p>
            <w:r/>
            <w:r>
              <w:rPr>
                <w:rFonts w:ascii="Calibri" w:hAnsi="Calibri"/>
                <w:color w:val="333333"/>
                <w:sz w:val="19"/>
              </w:rPr>
              <w:t>forecasting-agent</w:t>
            </w:r>
          </w:p>
        </w:tc>
        <w:tc>
          <w:tcPr>
            <w:tcW w:type="dxa" w:w="6480"/>
          </w:tcPr>
          <w:p>
            <w:r/>
            <w:r>
              <w:rPr>
                <w:rFonts w:ascii="Calibri" w:hAnsi="Calibri"/>
                <w:color w:val="333333"/>
                <w:sz w:val="19"/>
              </w:rPr>
              <w:t>Value driver trees, base/upside/downside scenarios</w:t>
            </w:r>
          </w:p>
        </w:tc>
      </w:tr>
      <w:tr>
        <w:tc>
          <w:tcPr>
            <w:tcW w:type="dxa" w:w="2880"/>
          </w:tcPr>
          <w:p>
            <w:r/>
            <w:r>
              <w:rPr>
                <w:rFonts w:ascii="Calibri" w:hAnsi="Calibri"/>
                <w:color w:val="333333"/>
                <w:sz w:val="19"/>
              </w:rPr>
              <w:t>decision-steward</w:t>
            </w:r>
          </w:p>
        </w:tc>
        <w:tc>
          <w:tcPr>
            <w:tcW w:type="dxa" w:w="6480"/>
          </w:tcPr>
          <w:p>
            <w:r/>
            <w:r>
              <w:rPr>
                <w:rFonts w:ascii="Calibri" w:hAnsi="Calibri"/>
                <w:color w:val="333333"/>
                <w:sz w:val="19"/>
              </w:rPr>
              <w:t>Decision Log, Assumptions Register, Investment Options</w:t>
            </w:r>
          </w:p>
        </w:tc>
      </w:tr>
      <w:tr>
        <w:tc>
          <w:tcPr>
            <w:tcW w:type="dxa" w:w="2880"/>
          </w:tcPr>
          <w:p>
            <w:r/>
            <w:r>
              <w:rPr>
                <w:rFonts w:ascii="Calibri" w:hAnsi="Calibri"/>
                <w:color w:val="333333"/>
                <w:sz w:val="19"/>
              </w:rPr>
              <w:t>evidence-citation-agent</w:t>
            </w:r>
          </w:p>
        </w:tc>
        <w:tc>
          <w:tcPr>
            <w:tcW w:type="dxa" w:w="6480"/>
          </w:tcPr>
          <w:p>
            <w:r/>
            <w:r>
              <w:rPr>
                <w:rFonts w:ascii="Calibri" w:hAnsi="Calibri"/>
                <w:color w:val="333333"/>
                <w:sz w:val="19"/>
              </w:rPr>
              <w:t>Evidence ranking/conflict resolution, citation audits</w:t>
            </w:r>
          </w:p>
        </w:tc>
      </w:tr>
      <w:tr>
        <w:tc>
          <w:tcPr>
            <w:tcW w:type="dxa" w:w="2880"/>
          </w:tcPr>
          <w:p>
            <w:r/>
            <w:r>
              <w:rPr>
                <w:rFonts w:ascii="Calibri" w:hAnsi="Calibri"/>
                <w:color w:val="333333"/>
                <w:sz w:val="19"/>
              </w:rPr>
              <w:t>kpi-agent</w:t>
            </w:r>
          </w:p>
        </w:tc>
        <w:tc>
          <w:tcPr>
            <w:tcW w:type="dxa" w:w="6480"/>
          </w:tcPr>
          <w:p>
            <w:r/>
            <w:r>
              <w:rPr>
                <w:rFonts w:ascii="Calibri" w:hAnsi="Calibri"/>
                <w:color w:val="333333"/>
                <w:sz w:val="19"/>
              </w:rPr>
              <w:t>Cross-section KPI consistency and the KPI Tree</w:t>
            </w:r>
          </w:p>
        </w:tc>
      </w:tr>
      <w:tr>
        <w:tc>
          <w:tcPr>
            <w:tcW w:type="dxa" w:w="2880"/>
          </w:tcPr>
          <w:p>
            <w:r/>
            <w:r>
              <w:rPr>
                <w:rFonts w:ascii="Calibri" w:hAnsi="Calibri"/>
                <w:color w:val="333333"/>
                <w:sz w:val="19"/>
              </w:rPr>
              <w:t>exec-summary-agent</w:t>
            </w:r>
          </w:p>
        </w:tc>
        <w:tc>
          <w:tcPr>
            <w:tcW w:type="dxa" w:w="6480"/>
          </w:tcPr>
          <w:p>
            <w:r/>
            <w:r>
              <w:rPr>
                <w:rFonts w:ascii="Calibri" w:hAnsi="Calibri"/>
                <w:color w:val="333333"/>
                <w:sz w:val="19"/>
              </w:rPr>
              <w:t>Section 1 synthesis — gated until all other sections reach ≥🟡</w:t>
            </w:r>
          </w:p>
        </w:tc>
      </w:tr>
      <w:tr>
        <w:tc>
          <w:tcPr>
            <w:tcW w:type="dxa" w:w="2880"/>
          </w:tcPr>
          <w:p>
            <w:r/>
            <w:r>
              <w:rPr>
                <w:rFonts w:ascii="Calibri" w:hAnsi="Calibri"/>
                <w:color w:val="333333"/>
                <w:sz w:val="19"/>
              </w:rPr>
              <w:t>qa-review-agent</w:t>
            </w:r>
          </w:p>
        </w:tc>
        <w:tc>
          <w:tcPr>
            <w:tcW w:type="dxa" w:w="6480"/>
          </w:tcPr>
          <w:p>
            <w:r/>
            <w:r>
              <w:rPr>
                <w:rFonts w:ascii="Calibri" w:hAnsi="Calibri"/>
                <w:color w:val="333333"/>
                <w:sz w:val="19"/>
              </w:rPr>
              <w:t>Final per-section and whole-plan QA gates</w:t>
            </w:r>
          </w:p>
        </w:tc>
      </w:tr>
    </w:tbl>
    <w:p>
      <w:pPr>
        <w:pStyle w:val="Heading2"/>
        <w:spacing w:before="200" w:after="160"/>
      </w:pPr>
      <w:r>
        <w:rPr>
          <w:rFonts w:ascii="Calibri" w:hAnsi="Calibri"/>
          <w:b/>
          <w:color w:val="333333"/>
          <w:sz w:val="28"/>
        </w:rPr>
        <w:t>3.4 Skills</w:t>
      </w:r>
    </w:p>
    <w:p>
      <w:pPr>
        <w:spacing w:after="160" w:line="276" w:lineRule="auto"/>
      </w:pPr>
      <w:r>
        <w:rPr>
          <w:rFonts w:ascii="Calibri" w:hAnsi="Calibri"/>
          <w:b w:val="0"/>
          <w:i w:val="0"/>
          <w:color w:val="333333"/>
          <w:sz w:val="22"/>
        </w:rPr>
        <w:t>Ten documented skills (.claude/skills/) encode the procedures agents must follow rather than leaving them to free-form judgment each time:</w:t>
      </w:r>
    </w:p>
    <w:tbl>
      <w:tblPr>
        <w:tblStyle w:val="TableGrid"/>
        <w:tblW w:type="auto" w:w="0"/>
        <w:jc w:val="center"/>
        <w:tblLook w:firstColumn="1" w:firstRow="1" w:lastColumn="0" w:lastRow="0" w:noHBand="0" w:noVBand="1" w:val="04A0"/>
      </w:tblPr>
      <w:tblGrid>
        <w:gridCol w:w="4680"/>
        <w:gridCol w:w="4680"/>
      </w:tblGrid>
      <w:tr>
        <w:tc>
          <w:tcPr>
            <w:tcW w:type="dxa" w:w="3168"/>
            <w:shd w:fill="333333"/>
          </w:tcPr>
          <w:p>
            <w:r/>
            <w:r>
              <w:rPr>
                <w:rFonts w:ascii="Calibri" w:hAnsi="Calibri"/>
                <w:b/>
                <w:color w:val="FFFFFF"/>
                <w:sz w:val="20"/>
              </w:rPr>
              <w:t>Skill</w:t>
            </w:r>
          </w:p>
        </w:tc>
        <w:tc>
          <w:tcPr>
            <w:tcW w:type="dxa" w:w="6192"/>
            <w:shd w:fill="333333"/>
          </w:tcPr>
          <w:p>
            <w:r/>
            <w:r>
              <w:rPr>
                <w:rFonts w:ascii="Calibri" w:hAnsi="Calibri"/>
                <w:b/>
                <w:color w:val="FFFFFF"/>
                <w:sz w:val="20"/>
              </w:rPr>
              <w:t>Purpose</w:t>
            </w:r>
          </w:p>
        </w:tc>
      </w:tr>
      <w:tr>
        <w:tc>
          <w:tcPr>
            <w:tcW w:type="dxa" w:w="3168"/>
          </w:tcPr>
          <w:p>
            <w:r/>
            <w:r>
              <w:rPr>
                <w:rFonts w:ascii="Calibri" w:hAnsi="Calibri"/>
                <w:color w:val="333333"/>
                <w:sz w:val="19"/>
              </w:rPr>
              <w:t>business-plan-drafting</w:t>
            </w:r>
          </w:p>
        </w:tc>
        <w:tc>
          <w:tcPr>
            <w:tcW w:type="dxa" w:w="6192"/>
          </w:tcPr>
          <w:p>
            <w:r/>
            <w:r>
              <w:rPr>
                <w:rFonts w:ascii="Calibri" w:hAnsi="Calibri"/>
                <w:color w:val="333333"/>
                <w:sz w:val="19"/>
              </w:rPr>
              <w:t>The 14-section content map and McKinsey Lens requirements</w:t>
            </w:r>
          </w:p>
        </w:tc>
      </w:tr>
      <w:tr>
        <w:tc>
          <w:tcPr>
            <w:tcW w:type="dxa" w:w="3168"/>
          </w:tcPr>
          <w:p>
            <w:r/>
            <w:r>
              <w:rPr>
                <w:rFonts w:ascii="Calibri" w:hAnsi="Calibri"/>
                <w:color w:val="333333"/>
                <w:sz w:val="19"/>
              </w:rPr>
              <w:t>citation-audit</w:t>
            </w:r>
          </w:p>
        </w:tc>
        <w:tc>
          <w:tcPr>
            <w:tcW w:type="dxa" w:w="6192"/>
          </w:tcPr>
          <w:p>
            <w:r/>
            <w:r>
              <w:rPr>
                <w:rFonts w:ascii="Calibri" w:hAnsi="Calibri"/>
                <w:color w:val="333333"/>
                <w:sz w:val="19"/>
              </w:rPr>
              <w:t>Traces every number/claim to a Facts citation or Approved assumption</w:t>
            </w:r>
          </w:p>
        </w:tc>
      </w:tr>
      <w:tr>
        <w:tc>
          <w:tcPr>
            <w:tcW w:type="dxa" w:w="3168"/>
          </w:tcPr>
          <w:p>
            <w:r/>
            <w:r>
              <w:rPr>
                <w:rFonts w:ascii="Calibri" w:hAnsi="Calibri"/>
                <w:color w:val="333333"/>
                <w:sz w:val="19"/>
              </w:rPr>
              <w:t>decision-log</w:t>
            </w:r>
          </w:p>
        </w:tc>
        <w:tc>
          <w:tcPr>
            <w:tcW w:type="dxa" w:w="6192"/>
          </w:tcPr>
          <w:p>
            <w:r/>
            <w:r>
              <w:rPr>
                <w:rFonts w:ascii="Calibri" w:hAnsi="Calibri"/>
                <w:color w:val="333333"/>
                <w:sz w:val="19"/>
              </w:rPr>
              <w:t>Template and procedure for recording a judgment call as a Decision</w:t>
            </w:r>
          </w:p>
        </w:tc>
      </w:tr>
      <w:tr>
        <w:tc>
          <w:tcPr>
            <w:tcW w:type="dxa" w:w="3168"/>
          </w:tcPr>
          <w:p>
            <w:r/>
            <w:r>
              <w:rPr>
                <w:rFonts w:ascii="Calibri" w:hAnsi="Calibri"/>
                <w:color w:val="333333"/>
                <w:sz w:val="19"/>
              </w:rPr>
              <w:t>evidence-ranking</w:t>
            </w:r>
          </w:p>
        </w:tc>
        <w:tc>
          <w:tcPr>
            <w:tcW w:type="dxa" w:w="6192"/>
          </w:tcPr>
          <w:p>
            <w:r/>
            <w:r>
              <w:rPr>
                <w:rFonts w:ascii="Calibri" w:hAnsi="Calibri"/>
                <w:color w:val="333333"/>
                <w:sz w:val="19"/>
              </w:rPr>
              <w:t>Primary-over-secondary hierarchy for resolving source conflicts</w:t>
            </w:r>
          </w:p>
        </w:tc>
      </w:tr>
      <w:tr>
        <w:tc>
          <w:tcPr>
            <w:tcW w:type="dxa" w:w="3168"/>
          </w:tcPr>
          <w:p>
            <w:r/>
            <w:r>
              <w:rPr>
                <w:rFonts w:ascii="Calibri" w:hAnsi="Calibri"/>
                <w:color w:val="333333"/>
                <w:sz w:val="19"/>
              </w:rPr>
              <w:t>external-research</w:t>
            </w:r>
          </w:p>
        </w:tc>
        <w:tc>
          <w:tcPr>
            <w:tcW w:type="dxa" w:w="6192"/>
          </w:tcPr>
          <w:p>
            <w:r/>
            <w:r>
              <w:rPr>
                <w:rFonts w:ascii="Calibri" w:hAnsi="Calibri"/>
                <w:color w:val="333333"/>
                <w:sz w:val="19"/>
              </w:rPr>
              <w:t>Sourcing, citing, and confidence-scoring new external data</w:t>
            </w:r>
          </w:p>
        </w:tc>
      </w:tr>
      <w:tr>
        <w:tc>
          <w:tcPr>
            <w:tcW w:type="dxa" w:w="3168"/>
          </w:tcPr>
          <w:p>
            <w:r/>
            <w:r>
              <w:rPr>
                <w:rFonts w:ascii="Calibri" w:hAnsi="Calibri"/>
                <w:color w:val="333333"/>
                <w:sz w:val="19"/>
              </w:rPr>
              <w:t>forecast-builder</w:t>
            </w:r>
          </w:p>
        </w:tc>
        <w:tc>
          <w:tcPr>
            <w:tcW w:type="dxa" w:w="6192"/>
          </w:tcPr>
          <w:p>
            <w:r/>
            <w:r>
              <w:rPr>
                <w:rFonts w:ascii="Calibri" w:hAnsi="Calibri"/>
                <w:color w:val="333333"/>
                <w:sz w:val="19"/>
              </w:rPr>
              <w:t>Turning a disclosed fact into a method-transparent forecast</w:t>
            </w:r>
          </w:p>
        </w:tc>
      </w:tr>
      <w:tr>
        <w:tc>
          <w:tcPr>
            <w:tcW w:type="dxa" w:w="3168"/>
          </w:tcPr>
          <w:p>
            <w:r/>
            <w:r>
              <w:rPr>
                <w:rFonts w:ascii="Calibri" w:hAnsi="Calibri"/>
                <w:color w:val="333333"/>
                <w:sz w:val="19"/>
              </w:rPr>
              <w:t>qa-review</w:t>
            </w:r>
          </w:p>
        </w:tc>
        <w:tc>
          <w:tcPr>
            <w:tcW w:type="dxa" w:w="6192"/>
          </w:tcPr>
          <w:p>
            <w:r/>
            <w:r>
              <w:rPr>
                <w:rFonts w:ascii="Calibri" w:hAnsi="Calibri"/>
                <w:color w:val="333333"/>
                <w:sz w:val="19"/>
              </w:rPr>
              <w:t>Final-gate checklist — template, McKinsey Lens, consistency gates</w:t>
            </w:r>
          </w:p>
        </w:tc>
      </w:tr>
      <w:tr>
        <w:tc>
          <w:tcPr>
            <w:tcW w:type="dxa" w:w="3168"/>
          </w:tcPr>
          <w:p>
            <w:r/>
            <w:r>
              <w:rPr>
                <w:rFonts w:ascii="Calibri" w:hAnsi="Calibri"/>
                <w:color w:val="333333"/>
                <w:sz w:val="19"/>
              </w:rPr>
              <w:t>template-compliance-gate</w:t>
            </w:r>
          </w:p>
        </w:tc>
        <w:tc>
          <w:tcPr>
            <w:tcW w:type="dxa" w:w="6192"/>
          </w:tcPr>
          <w:p>
            <w:r/>
            <w:r>
              <w:rPr>
                <w:rFonts w:ascii="Calibri" w:hAnsi="Calibri"/>
                <w:color w:val="333333"/>
                <w:sz w:val="19"/>
              </w:rPr>
              <w:t>Structural check: section count/order/titles before export</w:t>
            </w:r>
          </w:p>
        </w:tc>
      </w:tr>
      <w:tr>
        <w:tc>
          <w:tcPr>
            <w:tcW w:type="dxa" w:w="3168"/>
          </w:tcPr>
          <w:p>
            <w:r/>
            <w:r>
              <w:rPr>
                <w:rFonts w:ascii="Calibri" w:hAnsi="Calibri"/>
                <w:color w:val="333333"/>
                <w:sz w:val="19"/>
              </w:rPr>
              <w:t>executive-document-formatting</w:t>
            </w:r>
          </w:p>
        </w:tc>
        <w:tc>
          <w:tcPr>
            <w:tcW w:type="dxa" w:w="6192"/>
          </w:tcPr>
          <w:p>
            <w:r/>
            <w:r>
              <w:rPr>
                <w:rFonts w:ascii="Calibri" w:hAnsi="Calibri"/>
                <w:color w:val="333333"/>
                <w:sz w:val="19"/>
              </w:rPr>
              <w:t>Formats the approved plan into DOCX/PDF — content-blind</w:t>
            </w:r>
          </w:p>
        </w:tc>
      </w:tr>
      <w:tr>
        <w:tc>
          <w:tcPr>
            <w:tcW w:type="dxa" w:w="3168"/>
          </w:tcPr>
          <w:p>
            <w:r/>
            <w:r>
              <w:rPr>
                <w:rFonts w:ascii="Calibri" w:hAnsi="Calibri"/>
                <w:color w:val="333333"/>
                <w:sz w:val="19"/>
              </w:rPr>
              <w:t>session-end</w:t>
            </w:r>
          </w:p>
        </w:tc>
        <w:tc>
          <w:tcPr>
            <w:tcW w:type="dxa" w:w="6192"/>
          </w:tcPr>
          <w:p>
            <w:r/>
            <w:r>
              <w:rPr>
                <w:rFonts w:ascii="Calibri" w:hAnsi="Calibri"/>
                <w:color w:val="333333"/>
                <w:sz w:val="19"/>
              </w:rPr>
              <w:t>Updates Memory/Progress/Session-Log at the close of a session</w:t>
            </w:r>
          </w:p>
        </w:tc>
      </w:tr>
    </w:tbl>
    <w:p>
      <w:pPr>
        <w:pStyle w:val="Heading2"/>
        <w:spacing w:before="200" w:after="160"/>
      </w:pPr>
      <w:r>
        <w:rPr>
          <w:rFonts w:ascii="Calibri" w:hAnsi="Calibri"/>
          <w:b/>
          <w:color w:val="333333"/>
          <w:sz w:val="28"/>
        </w:rPr>
        <w:t>3.5 MCP (Model Context Protocol)</w:t>
      </w:r>
    </w:p>
    <w:p>
      <w:pPr>
        <w:spacing w:after="160" w:line="276" w:lineRule="auto"/>
      </w:pPr>
      <w:r>
        <w:rPr>
          <w:rFonts w:ascii="Calibri" w:hAnsi="Calibri"/>
          <w:b w:val="0"/>
          <w:i w:val="0"/>
          <w:color w:val="333333"/>
          <w:sz w:val="22"/>
        </w:rPr>
        <w:t>Status: genuinely undecided, reported honestly rather than resolved after the fact. MEMORY.md has carried this exact status since Phase 2 — “MCP decision: none integrated yet; optional distinction credit — decide by end of Phase 2” — and the decision has sat open past that original deadline. The Guide treats MCP integration as explicitly optional distinction credit, not a required component, so the OS's core function was never blocked by leaving it open; every drafting task to date has been fully served by Claude Code's native file, skill, and agent tooling alone, with no external system (a live database, a project-management API, a search index) that this capstone's scope has actually needed. What this section does not do is fabricate a closed decision where none exists: an internal compliance review of this OS (vault/Validation/Independent_Project_Compliance_Report.md) scored this specifically as a decision-hygiene gap (“Needs Improvement”) — the item has sat undecided past its own deadline without being closed either way, which the review scored as a process gap, not a capability gap — and that assessment is repeated here rather than smoothed over, because this OS's own governing rule is to report an honest “undecided” over a fabricated one, exactly as the drafting skill's own standing instruction requires for every Business Plan section that touches this same question (see e.g. Section 5, AI Technology and Development).</w:t>
      </w:r>
    </w:p>
    <w:p>
      <w:pPr>
        <w:pStyle w:val="Heading2"/>
        <w:spacing w:before="200" w:after="160"/>
      </w:pPr>
      <w:r>
        <w:rPr>
          <w:rFonts w:ascii="Calibri" w:hAnsi="Calibri"/>
          <w:b/>
          <w:color w:val="333333"/>
          <w:sz w:val="28"/>
        </w:rPr>
        <w:t>3.6 LLMs</w:t>
      </w:r>
    </w:p>
    <w:p>
      <w:pPr>
        <w:spacing w:after="160" w:line="276" w:lineRule="auto"/>
      </w:pPr>
      <w:r>
        <w:rPr>
          <w:rFonts w:ascii="Calibri" w:hAnsi="Calibri"/>
          <w:b w:val="0"/>
          <w:i w:val="0"/>
          <w:color w:val="333333"/>
          <w:sz w:val="22"/>
        </w:rPr>
        <w:t>Decision: Claude (via a Claude Code / Cowork subscription), not the raw Anthropic API. Rationale, as recorded in MEMORY.md: this is the platform the starting template (“ProjectX”) was natively built around; the source corpus is entirely public (see Section 7 below), so the confidentiality risk that would justify a stricter API-key/self-hosted setup is low; the team already holds subscription access; and a subscription gives predictable cost against an unknown, iteration-heavy document-drafting workload versus metered API billing. This decision is explicitly flagged for revisit if confidential interview or proprietary operational data is ever added to the corpus.</w:t>
      </w:r>
    </w:p>
    <w:p>
      <w:pPr>
        <w:pStyle w:val="Heading1"/>
        <w:spacing w:before="360" w:after="160"/>
      </w:pPr>
      <w:r>
        <w:rPr>
          <w:rFonts w:ascii="Calibri" w:hAnsi="Calibri"/>
          <w:b/>
          <w:color w:val="FF6B00"/>
          <w:sz w:val="40"/>
        </w:rPr>
        <w:t>4. What Was Adapted From the ProjectX Template, and Why</w:t>
      </w:r>
    </w:p>
    <w:p>
      <w:pPr>
        <w:spacing w:after="160" w:line="276" w:lineRule="auto"/>
      </w:pPr>
      <w:r>
        <w:rPr>
          <w:rFonts w:ascii="Calibri" w:hAnsi="Calibri"/>
          <w:b w:val="0"/>
          <w:i w:val="0"/>
          <w:color w:val="333333"/>
          <w:sz w:val="22"/>
        </w:rPr>
        <w:t>The repository was started from “ProjectX,” a generic Claude-Code-native “Agentic Second-Brain OS” scaffold: a source-extraction convention, an Obsidian vault skeleton, a nightly propose-only maintenance script, and a small set of generic drafting guardrails. That scaffold assumes a single research topic drafted into a single linear document — it has no concept of comparing multiple candidate options against a shared decision, and no built-in mechanism for keeping many independently-drafted sections consistent with each other.</w:t>
      </w:r>
    </w:p>
    <w:p>
      <w:pPr>
        <w:spacing w:after="160" w:line="276" w:lineRule="auto"/>
      </w:pPr>
      <w:r>
        <w:rPr>
          <w:rFonts w:ascii="Calibri" w:hAnsi="Calibri"/>
          <w:b w:val="0"/>
          <w:i w:val="0"/>
          <w:color w:val="333333"/>
          <w:sz w:val="22"/>
        </w:rPr>
        <w:t>This capstone's actual assignment — recommending how talabat allocates a single USD 175 million envelope across competing Everyday App and Food-leadership initiatives, across eight operating markets — needed more than the generic scaffold provided. Four layers were purpose-built on top of it:</w:t>
      </w:r>
    </w:p>
    <w:p>
      <w:pPr>
        <w:pStyle w:val="ListBullet"/>
        <w:spacing w:after="80"/>
      </w:pPr>
      <w:r>
        <w:rPr>
          <w:rFonts w:ascii="Calibri" w:hAnsi="Calibri"/>
          <w:color w:val="333333"/>
          <w:sz w:val="22"/>
        </w:rPr>
        <w:t>Decision Management Layer — the five-tier evidence model, the Assumptions Register, and a dated, owned Decision Log, so a genuine source conflict (e.g. two corpus documents disagreeing on Egypt's category share) is resolved by a recorded management judgment call, never silently picked.</w:t>
      </w:r>
    </w:p>
    <w:p>
      <w:pPr>
        <w:pStyle w:val="ListBullet"/>
        <w:spacing w:after="80"/>
      </w:pPr>
      <w:r>
        <w:rPr>
          <w:rFonts w:ascii="Calibri" w:hAnsi="Calibri"/>
          <w:color w:val="333333"/>
          <w:sz w:val="22"/>
        </w:rPr>
        <w:t>External Research &amp; Forecasting Layers — a Research Register with confidence scoring, and a Value Driver Tree / scenario model (base, upside, downside), because a capital-allocation recommendation cannot rest on disclosed history alone — it requires forward-looking, method-transparent projections.</w:t>
      </w:r>
    </w:p>
    <w:p>
      <w:pPr>
        <w:pStyle w:val="ListBullet"/>
        <w:spacing w:after="80"/>
      </w:pPr>
      <w:r>
        <w:rPr>
          <w:rFonts w:ascii="Calibri" w:hAnsi="Calibri"/>
          <w:color w:val="333333"/>
          <w:sz w:val="22"/>
        </w:rPr>
        <w:t>Geographic Evidence Rules — an explicit rule set forbidding “MENA” as a stand-in for talabat's actual eight-market footprint, added because the Group-wide scope makes geography-mislabeling a live, catchable error class the single-country original design never had to guard against.</w:t>
      </w:r>
    </w:p>
    <w:p>
      <w:pPr>
        <w:pStyle w:val="ListBullet"/>
        <w:spacing w:after="80"/>
      </w:pPr>
      <w:r>
        <w:rPr>
          <w:rFonts w:ascii="Calibri" w:hAnsi="Calibri"/>
          <w:color w:val="333333"/>
          <w:sz w:val="22"/>
        </w:rPr>
        <w:t>The 19-stage Business Plan Generation Pipeline — a 12-step, run-once plan-level setup phase (confirm the business question, assemble evidence, identify candidate investment options, rank them) wrapped around the original per-section drafting loop, plus three whole-plan consistency gates (Problem Consistency, Financial Integrity, Geographic Evidence) that run once, after all 14 sections, and check that they agree with each other — a check a single-document scaffold never needed.</w:t>
      </w:r>
    </w:p>
    <w:p>
      <w:pPr>
        <w:spacing w:after="160" w:line="276" w:lineRule="auto"/>
      </w:pPr>
      <w:r>
        <w:rPr>
          <w:rFonts w:ascii="Calibri" w:hAnsi="Calibri"/>
          <w:b w:val="0"/>
          <w:i w:val="0"/>
          <w:color w:val="333333"/>
          <w:sz w:val="22"/>
        </w:rPr>
        <w:t>Everything else — the source-extraction convention, the vault structure, the propose-then-approve rule for destructive edits, the nightly maintenance script — was kept unchanged from ProjectX; it was already fit for purpose.</w:t>
      </w:r>
    </w:p>
    <w:p>
      <w:pPr>
        <w:pStyle w:val="Heading1"/>
        <w:spacing w:before="360" w:after="160"/>
      </w:pPr>
      <w:r>
        <w:rPr>
          <w:rFonts w:ascii="Calibri" w:hAnsi="Calibri"/>
          <w:b/>
          <w:color w:val="FF6B00"/>
          <w:sz w:val="40"/>
        </w:rPr>
        <w:t>5. Governance Guardrails in Force</w:t>
      </w:r>
    </w:p>
    <w:p>
      <w:pPr>
        <w:pStyle w:val="ListBullet"/>
        <w:spacing w:after="80"/>
      </w:pPr>
      <w:r>
        <w:rPr>
          <w:rFonts w:ascii="Calibri" w:hAnsi="Calibri"/>
          <w:b/>
          <w:color w:val="333333"/>
          <w:sz w:val="22"/>
        </w:rPr>
        <w:t xml:space="preserve">Never mix evidence categories: </w:t>
      </w:r>
      <w:r>
        <w:rPr>
          <w:rFonts w:ascii="Calibri" w:hAnsi="Calibri"/>
          <w:color w:val="333333"/>
          <w:sz w:val="22"/>
        </w:rPr>
        <w:t>a disclosed Fact, a reasoned inference, an approved Decision, an undisclosed Assumption, a Forecast, and a synthetic illustrative example are five distinct things and must never be presented as one another (never a Group-level number as country-specific; never an assumption as a fact).</w:t>
      </w:r>
    </w:p>
    <w:p>
      <w:pPr>
        <w:pStyle w:val="ListBullet"/>
        <w:spacing w:after="80"/>
      </w:pPr>
      <w:r>
        <w:rPr>
          <w:rFonts w:ascii="Calibri" w:hAnsi="Calibri"/>
          <w:b/>
          <w:color w:val="333333"/>
          <w:sz w:val="22"/>
        </w:rPr>
        <w:t xml:space="preserve">Synthetic-data labeling: </w:t>
      </w:r>
      <w:r>
        <w:rPr>
          <w:rFonts w:ascii="Calibri" w:hAnsi="Calibri"/>
          <w:color w:val="333333"/>
          <w:sz w:val="22"/>
        </w:rPr>
        <w:t>synthetic or primary-research data may only be used where genuinely proprietary data is unavailable, and must be explicitly labeled every time it appears — never blended with real disclosed figures.</w:t>
      </w:r>
    </w:p>
    <w:p>
      <w:pPr>
        <w:pStyle w:val="ListBullet"/>
        <w:spacing w:after="80"/>
      </w:pPr>
      <w:r>
        <w:rPr>
          <w:rFonts w:ascii="Calibri" w:hAnsi="Calibri"/>
          <w:b/>
          <w:color w:val="333333"/>
          <w:sz w:val="22"/>
        </w:rPr>
        <w:t xml:space="preserve">Propose, don't execute: </w:t>
      </w:r>
      <w:r>
        <w:rPr>
          <w:rFonts w:ascii="Calibri" w:hAnsi="Calibri"/>
          <w:color w:val="333333"/>
          <w:sz w:val="22"/>
        </w:rPr>
        <w:t>any destructive edit to the vault (merges, deletions, rewrites of existing notes) is handed to the human owner as a changelist for approval — never applied unilaterally. Superseded content is marked, never deleted.</w:t>
      </w:r>
    </w:p>
    <w:p>
      <w:pPr>
        <w:pStyle w:val="ListBullet"/>
        <w:spacing w:after="80"/>
      </w:pPr>
      <w:r>
        <w:rPr>
          <w:rFonts w:ascii="Calibri" w:hAnsi="Calibri"/>
          <w:b/>
          <w:color w:val="333333"/>
          <w:sz w:val="22"/>
        </w:rPr>
        <w:t xml:space="preserve">Extract before reading: </w:t>
      </w:r>
      <w:r>
        <w:rPr>
          <w:rFonts w:ascii="Calibri" w:hAnsi="Calibri"/>
          <w:color w:val="333333"/>
          <w:sz w:val="22"/>
        </w:rPr>
        <w:t>binary sources are converted to text/Markdown before any agent reads them; binaries are never read as raw text.</w:t>
      </w:r>
    </w:p>
    <w:p>
      <w:pPr>
        <w:pStyle w:val="ListBullet"/>
        <w:spacing w:after="80"/>
      </w:pPr>
      <w:r>
        <w:rPr>
          <w:rFonts w:ascii="Calibri" w:hAnsi="Calibri"/>
          <w:b/>
          <w:color w:val="333333"/>
          <w:sz w:val="22"/>
        </w:rPr>
        <w:t xml:space="preserve">Two-pass independent verification: </w:t>
      </w:r>
      <w:r>
        <w:rPr>
          <w:rFonts w:ascii="Calibri" w:hAnsi="Calibri"/>
          <w:color w:val="333333"/>
          <w:sz w:val="22"/>
        </w:rPr>
        <w:t>a section drafted and reviewed in the same working context may only be marked “Done (self-reviewed)”; “Done (independently verified)” — the bar for submission — requires a fresh, separately-invoked review pass with no access to the drafting context's own reasoning.</w:t>
      </w:r>
    </w:p>
    <w:p>
      <w:pPr>
        <w:pStyle w:val="Heading1"/>
        <w:spacing w:before="360" w:after="160"/>
      </w:pPr>
      <w:r>
        <w:rPr>
          <w:rFonts w:ascii="Calibri" w:hAnsi="Calibri"/>
          <w:b/>
          <w:color w:val="FF6B00"/>
          <w:sz w:val="40"/>
        </w:rPr>
        <w:t>6. Runtime Adaptations — An Evidence-Driven, Self-Correcting System</w:t>
      </w:r>
    </w:p>
    <w:p>
      <w:pPr>
        <w:spacing w:after="160" w:line="276" w:lineRule="auto"/>
      </w:pPr>
      <w:r>
        <w:rPr>
          <w:rFonts w:ascii="Calibri" w:hAnsi="Calibri"/>
          <w:b w:val="0"/>
          <w:i w:val="0"/>
          <w:color w:val="333333"/>
          <w:sz w:val="22"/>
        </w:rPr>
        <w:t>The architecture was revised once, after its first real pilot execution, and the revision is itself evidence that the governance model works under real conditions rather than only on paper. The original design assumed the orchestrator agent could recursively delegate to the seven specialist agents inside its own execution thread. The pilot run showed this runtime does not support that: a spawned orchestrator has no further delegation tool available to it. Rather than silently working around the gap, the finding was logged, classified as a genuine Architecture Issue, and the design was revised: the top-level session now invokes each specialist directly, following the orchestrator's stage table as a checklist, and a genuinely independent second review pass is deliberately invoked — not assumed — before any section is treated as submission-final. This same pilot found that citation discipline, the evidence-ranking hierarchy, and the Decision Layer all performed exactly as designed under real analytical pressure, including correctly catching two genuine source conflicts in the underlying corpus rather than silently resolving them.</w:t>
      </w:r>
    </w:p>
    <w:p>
      <w:pPr>
        <w:pStyle w:val="Heading1"/>
        <w:spacing w:before="360" w:after="160"/>
      </w:pPr>
      <w:r>
        <w:rPr>
          <w:rFonts w:ascii="Calibri" w:hAnsi="Calibri"/>
          <w:b/>
          <w:color w:val="FF6B00"/>
          <w:sz w:val="40"/>
        </w:rPr>
        <w:t>7. Corpus and Confidentiality Statement</w:t>
      </w:r>
    </w:p>
    <w:p>
      <w:pPr>
        <w:spacing w:after="160" w:line="276" w:lineRule="auto"/>
      </w:pPr>
      <w:r>
        <w:rPr>
          <w:rFonts w:ascii="Calibri" w:hAnsi="Calibri"/>
          <w:b w:val="0"/>
          <w:i w:val="0"/>
          <w:color w:val="333333"/>
          <w:sz w:val="22"/>
        </w:rPr>
        <w:t>The source corpus (Input_Data/) consists exclusively of public material: talabat investor-relations filings and annual reports, official newsroom press releases, and named third-party market-research publications (e.g. IMARC, Mordor Intelligence), each retained with its retrieval date and source URL in Input_Data/_CORPUS_INDEX.md. No confidential, proprietary, or non-public data of any kind is used anywhere in this OS or its output. Where the corpus does not disclose a figure at the required level (notably, talabat does not break out Egypt-only financials — Egypt is reported inside a combined “non-GCC” segment with Jordan and Iraq), that gap is estimated with the estimation logic shown, or illustrated with clearly labeled synthetic data — never presented as an equivalent to a disclosed figure. This corpus's fully public status is also the stated rationale (Section 3.6 above) for why a standard subscription LLM platform, rather than a more restrictive self-hosted or access-controlled setup, was an appropriate and sufficient choice.</w:t>
      </w:r>
    </w:p>
    <w:p>
      <w:pPr>
        <w:pStyle w:val="Heading1"/>
        <w:spacing w:before="360" w:after="160"/>
      </w:pPr>
      <w:r>
        <w:rPr>
          <w:rFonts w:ascii="Calibri" w:hAnsi="Calibri"/>
          <w:b/>
          <w:color w:val="FF6B00"/>
          <w:sz w:val="40"/>
        </w:rPr>
        <w:t>8. Current Maturity Snapshot</w:t>
      </w:r>
    </w:p>
    <w:p>
      <w:pPr>
        <w:spacing w:after="160" w:line="276" w:lineRule="auto"/>
      </w:pPr>
      <w:r>
        <w:rPr>
          <w:rFonts w:ascii="Calibri" w:hAnsi="Calibri"/>
          <w:b w:val="0"/>
          <w:i w:val="0"/>
          <w:color w:val="333333"/>
          <w:sz w:val="22"/>
        </w:rPr>
        <w:t>In keeping with this OS's own “never present a number with false precision” rule, its own maturity is tracked honestly rather than rounded up, and dated rather than presented as timeless.</w:t>
      </w:r>
    </w:p>
    <w:p>
      <w:pPr>
        <w:spacing w:after="160" w:line="276" w:lineRule="auto"/>
      </w:pPr>
      <w:r>
        <w:rPr>
          <w:rFonts w:ascii="Calibri" w:hAnsi="Calibri"/>
          <w:b w:val="0"/>
          <w:i w:val="0"/>
          <w:color w:val="333333"/>
          <w:sz w:val="22"/>
        </w:rPr>
        <w:t>The last formal engineering-maturity recalculation (vault/Architecture/Agentic_OS_Architecture_v2.md, 23 July 2026) followed the pipeline's first full pilot execution — one section (Section 3) drafted end to end — and read: Structural Maturity 92% (layer schemas proven usable with real entries, not just consistent on paper); Operational Maturity 45% (pipeline stages exercised for real, but full multi-agent thread isolation still unproven); Skill validation 75% (6 of 8 core skills exercised); Agent validation 62.5% at the procedure level (5 of 8), reported separately from thread-isolation-level validation (still 1 of 8) to avoid conflating the two.</w:t>
      </w:r>
    </w:p>
    <w:p>
      <w:pPr>
        <w:spacing w:after="160" w:line="276" w:lineRule="auto"/>
      </w:pPr>
      <w:r>
        <w:rPr>
          <w:rFonts w:ascii="Calibri" w:hAnsi="Calibri"/>
          <w:b w:val="0"/>
          <w:i w:val="0"/>
          <w:color w:val="333333"/>
          <w:sz w:val="22"/>
        </w:rPr>
        <w:t>Since that pilot, per PROJECT_PROGRESS.md (25 July 2026), the pipeline has been run across all 14 sections and a final DOCX/PDF has been published — a substantial further step this document does not re-score with a new percentage, because no formal re-run of the same audit methodology has happened yet to justify one. One caveat is disclosed here rather than smoothed over: independent Pass-2 review work exists on branches not yet merged into `main` that found real, specific defects in several sections `main` currently marks “Done (independently verified).” Until that work is reconciled, “14/14 sections published” should be read as mechanically complete, not yet fully cross-checked against every independent review this project has produced — the same honest-disclosure standard this OS applies throughout (e.g. Formatting_QA_Report.md's “PASS WITH DISCLOSED TOOLING LIMITATION” verdict) is applied to its own status here.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