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9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143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2026-05-13</w:t>
            </w:r>
          </w:p>
        </w:tc>
        <w:tc>
          <w:tcPr>
            <w:tcW w:type="dxa" w:w="5933"/>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2026-08-05</w:t>
            </w:r>
          </w:p>
        </w:tc>
        <w:tc>
          <w:tcPr>
            <w:tcW w:type="dxa" w:w="5933"/>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123"/>
          </w:tcPr>
          <w:p>
            <w:pPr>
              <w:spacing w:after="20"/>
            </w:pPr>
            <w:r>
              <w:rPr>
                <w:color w:val="1C3A36"/>
                <w:sz w:val="15"/>
              </w:rPr>
              <w:t>2026-08-05</w:t>
            </w:r>
          </w:p>
        </w:tc>
        <w:tc>
          <w:tcPr>
            <w:tcW w:type="dxa" w:w="5933"/>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so — unlike the previous build — this is NOT a burn-rate-on-a-backlog construction; it is a direct taper on the segment's own revenue history</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123"/>
          </w:tcPr>
          <w:p>
            <w:pPr>
              <w:spacing w:after="20"/>
            </w:pPr>
            <w:r>
              <w:rPr>
                <w:color w:val="1C3A36"/>
                <w:sz w:val="15"/>
              </w:rPr>
              <w:t>2026-08-05</w:t>
            </w:r>
          </w:p>
        </w:tc>
        <w:tc>
          <w:tcPr>
            <w:tcW w:type="dxa" w:w="5933"/>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Capex as a share of revenue, tapering from the FY2025 disclosed level of 4.7% (up from 3.1% FY2023 and 3.7% FY2024) toward a lower maintenance-plus-modest-capacity level as the current expansion cycle completes</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2026-08-05</w:t>
            </w:r>
          </w:p>
        </w:tc>
        <w:tc>
          <w:tcPr>
            <w:tcW w:type="dxa" w:w="5933"/>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w:t>
            </w:r>
          </w:p>
        </w:tc>
        <w:tc>
          <w:tcPr>
            <w:tcW w:type="dxa" w:w="1123"/>
          </w:tcPr>
          <w:p>
            <w:pPr>
              <w:spacing w:after="20"/>
            </w:pPr>
            <w:r>
              <w:rPr>
                <w:color w:val="1C3A36"/>
                <w:sz w:val="15"/>
              </w:rPr>
              <w:t>2026-09-04</w:t>
            </w:r>
          </w:p>
        </w:tc>
        <w:tc>
          <w:tcPr>
            <w:tcW w:type="dxa" w:w="5933"/>
          </w:tcPr>
          <w:p>
            <w:pPr>
              <w:spacing w:after="20"/>
            </w:pPr>
            <w:r>
              <w:rPr>
                <w:color w:val="1C3A36"/>
                <w:sz w:val="15"/>
              </w:rPr>
              <w:t>STATED real terminal growth: zero. A mature diversified industrial holding its real scale in perpetuity; real growth costs incremental capital and none is assumed. The nominal rate is DERIVED from this and the house path's terminal inflation, never quoted beside it</w:t>
            </w:r>
          </w:p>
        </w:tc>
      </w:tr>
      <w:tr>
        <w:tc>
          <w:tcPr>
            <w:tcW w:type="dxa" w:w="1656"/>
          </w:tcPr>
          <w:p>
            <w:pPr>
              <w:spacing w:after="20"/>
            </w:pPr>
            <w:r>
              <w:rPr>
                <w:color w:val="1C3A36"/>
                <w:sz w:val="15"/>
              </w:rPr>
              <w:t>g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Terminal NOMINAL growth, DERIVED rather than chosen: (1 + 0.0 real growth) x (1 + 7.0% long-run Egyptian inflation) - 1 = 7.0%. The house macroeconomic path is the only source of an inflation rate in this study. The first edition's 5.0% was struck against an assumed 5% inflation and was therefore a real decline of 1.87% a year in perpetuity</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