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A limitation to state at the top</w:t>
      </w:r>
    </w:p>
    <w:p>
      <w:pPr>
        <w:spacing w:after="100" w:before="0"/>
      </w:pPr>
      <w:r>
        <w:rPr>
          <w:b w:val="0"/>
          <w:i w:val="0"/>
          <w:color w:val="1C3A36"/>
          <w:sz w:val="19"/>
        </w:rPr>
        <w:t>No source document was opened. That is a stronger statement than the usual caveat and it is the accurate one. The audited consolidated financial statements were not read; neither was the annual report, the FY2025 investor presentation, the exchange filing, nor even the press articles reporting them. Every attempt to retrieve a page — the company's own website, the exchange's disclosure portal, and eleven financial data and press hosts — was refused by the egress policy governing this environment, which returns a refusal at the connection stage rather than serving a page.</w:t>
      </w:r>
    </w:p>
    <w:p>
      <w:pPr>
        <w:spacing w:after="100" w:before="0"/>
      </w:pPr>
      <w:r>
        <w:rPr>
          <w:b w:val="0"/>
          <w:i w:val="0"/>
          <w:color w:val="1C3A36"/>
          <w:sz w:val="19"/>
        </w:rPr>
        <w:t>What WAS available was a web search tool returning synthesised summaries that quote figures from those pages, together with the daily price series supplied with the engagement. Every company figure in this register therefore reaches the model at one further remove than a citation normally implies: it is a figure as RELAYED in a search result about the reporting, not a figure read in the reporting, and certainly not one read in the audited print. The source names below identify where each figure ORIGINATES, which is genuine and worth recording; they do not claim the page was retrieved.</w:t>
      </w:r>
    </w:p>
    <w:p>
      <w:pPr>
        <w:spacing w:after="100" w:before="0"/>
      </w:pPr>
      <w:r>
        <w:rPr>
          <w:b w:val="0"/>
          <w:i w:val="0"/>
          <w:color w:val="1C3A36"/>
          <w:sz w:val="19"/>
        </w:rPr>
        <w:t>The consequence is stated rather than hidden. Revenue, attributable profit, operating income, the balance-sheet totals and both dividend distributions are carried as relayed from coverage of the company's exchange filings and from aggregations of commercial financial data — two steps removed from the audited print. Every line between them is DERIVED by closing the disclosed profit, and is labelled as derived wherever it appears. Section 3 lists each derivation and its method. A reader with access to the audited statements should re-run the model against them; the workbook is built so that changing an input reprices everything downstream, and that property is tested rather than asserted.</w:t>
      </w:r>
    </w:p>
    <w:p>
      <w:pPr>
        <w:spacing w:after="100" w:before="0"/>
      </w:pPr>
      <w:r>
        <w:rPr>
          <w:b w:val="0"/>
          <w:i w:val="0"/>
          <w:color w:val="1C3A36"/>
          <w:sz w:val="19"/>
        </w:rPr>
        <w:t>One disagreement between sources is carried openly rather than resolved. Total assets of EGP 8,783.72mn less reported equity of EGP 4,642.73mn implies total liabilities of EGP 4,140.99mn; a separate aggregation prints EGP 2,894.13mn for the same line. The figure that closes against total assets is the one carried, and the gap is shown on the balance sheet of the model rather than averaged away.</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59</w:t>
            </w:r>
          </w:p>
        </w:tc>
        <w:tc>
          <w:tcPr>
            <w:tcW w:type="dxa" w:w="1066"/>
          </w:tcPr>
          <w:p>
            <w:pPr>
              <w:spacing w:after="20"/>
            </w:pPr>
            <w:r>
              <w:rPr>
                <w:color w:val="1C3A36"/>
                <w:sz w:val="14"/>
              </w:rPr>
              <w:t>Market</w:t>
            </w:r>
          </w:p>
        </w:tc>
        <w:tc>
          <w:tcPr>
            <w:tcW w:type="dxa" w:w="7171"/>
          </w:tcPr>
          <w:p>
            <w:pPr>
              <w:spacing w:after="20"/>
            </w:pPr>
            <w:r>
              <w:rPr>
                <w:color w:val="1C3A36"/>
                <w:sz w:val="14"/>
              </w:rPr>
              <w:t>Closing price 06-Aug-2026 from the supplied EGX daily series (open 58.40, high 59.90, low 58.25, volume 1.34mn)</w:t>
            </w:r>
          </w:p>
        </w:tc>
        <w:tc>
          <w:tcPr>
            <w:tcW w:type="dxa" w:w="1210"/>
          </w:tcPr>
          <w:p>
            <w:pPr>
              <w:spacing w:after="20"/>
            </w:pPr>
            <w:r>
              <w:rPr>
                <w:color w:val="1C3A36"/>
                <w:sz w:val="14"/>
              </w:rPr>
              <w:t>2026-08-06</w:t>
            </w:r>
          </w:p>
        </w:tc>
      </w:tr>
      <w:tr>
        <w:tc>
          <w:tcPr>
            <w:tcW w:type="dxa" w:w="432"/>
          </w:tcPr>
          <w:p>
            <w:pPr>
              <w:spacing w:after="20"/>
            </w:pPr>
            <w:r>
              <w:rPr>
                <w:color w:val="1C3A36"/>
                <w:sz w:val="14"/>
              </w:rPr>
              <w:t>2</w:t>
            </w:r>
          </w:p>
        </w:tc>
        <w:tc>
          <w:tcPr>
            <w:tcW w:type="dxa" w:w="2448"/>
          </w:tcPr>
          <w:p>
            <w:pPr>
              <w:spacing w:after="20"/>
            </w:pPr>
            <w:r>
              <w:rPr>
                <w:color w:val="1C3A36"/>
                <w:sz w:val="14"/>
              </w:rPr>
              <w:t>af_share</w:t>
            </w:r>
          </w:p>
        </w:tc>
        <w:tc>
          <w:tcPr>
            <w:tcW w:type="dxa" w:w="1325"/>
          </w:tcPr>
          <w:p>
            <w:pPr>
              <w:spacing w:after="20"/>
            </w:pPr>
            <w:r>
              <w:rPr>
                <w:color w:val="1C3A36"/>
                <w:sz w:val="14"/>
              </w:rPr>
              <w:t>0.52, 0.55, 0.58, 0.6, 0.62, 0.64</w:t>
            </w:r>
          </w:p>
        </w:tc>
        <w:tc>
          <w:tcPr>
            <w:tcW w:type="dxa" w:w="1066"/>
          </w:tcPr>
          <w:p>
            <w:pPr>
              <w:spacing w:after="20"/>
            </w:pPr>
            <w:r>
              <w:rPr>
                <w:color w:val="1C3A36"/>
                <w:sz w:val="14"/>
              </w:rPr>
              <w:t>Company</w:t>
            </w:r>
          </w:p>
        </w:tc>
        <w:tc>
          <w:tcPr>
            <w:tcW w:type="dxa" w:w="7171"/>
          </w:tcPr>
          <w:p>
            <w:pPr>
              <w:spacing w:after="20"/>
            </w:pPr>
            <w:r>
              <w:rPr>
                <w:color w:val="1C3A36"/>
                <w:sz w:val="14"/>
              </w:rPr>
              <w:t>Alternative-fuel substitution rate — the share of the thermal requirement met by refuse-derived fuel and biomass rather than petcoke or coal. This is the single most company-specific line in the model: the producer is Egypt's alternative-fuel leader and is targeting a 120,000-tonne annual emissions reduction through it</w:t>
            </w:r>
          </w:p>
        </w:tc>
        <w:tc>
          <w:tcPr>
            <w:tcW w:type="dxa" w:w="1210"/>
          </w:tcPr>
          <w:p>
            <w:pPr>
              <w:spacing w:after="20"/>
            </w:pPr>
            <w:r>
              <w:rPr>
                <w:color w:val="1C3A36"/>
                <w:sz w:val="14"/>
              </w:rPr>
              <w:t>2026-01-01</w:t>
            </w:r>
          </w:p>
        </w:tc>
      </w:tr>
      <w:tr>
        <w:tc>
          <w:tcPr>
            <w:tcW w:type="dxa" w:w="432"/>
          </w:tcPr>
          <w:p>
            <w:pPr>
              <w:spacing w:after="20"/>
            </w:pPr>
            <w:r>
              <w:rPr>
                <w:color w:val="1C3A36"/>
                <w:sz w:val="14"/>
              </w:rPr>
              <w:t>3</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Cement capacity. Two production lines in Suez governorate producing on average about five million tonnes of first-quality clinker and cement a year. Cross-check: the same disclosure puts the plant at about 6% of Egypt's nominal capacity, and 6% of 76Mt is 4.6Mt, so the nameplate is corroborated to within 9% by an independent route</w:t>
            </w:r>
          </w:p>
        </w:tc>
        <w:tc>
          <w:tcPr>
            <w:tcW w:type="dxa" w:w="1210"/>
          </w:tcPr>
          <w:p>
            <w:pPr>
              <w:spacing w:after="20"/>
            </w:pPr>
            <w:r>
              <w:rPr>
                <w:color w:val="1C3A36"/>
                <w:sz w:val="14"/>
              </w:rPr>
              <w:t>2026-01-01</w:t>
            </w:r>
          </w:p>
        </w:tc>
      </w:tr>
      <w:tr>
        <w:tc>
          <w:tcPr>
            <w:tcW w:type="dxa" w:w="432"/>
          </w:tcPr>
          <w:p>
            <w:pPr>
              <w:spacing w:after="20"/>
            </w:pPr>
            <w:r>
              <w:rPr>
                <w:color w:val="1C3A36"/>
                <w:sz w:val="14"/>
              </w:rPr>
              <w:t>4</w:t>
            </w:r>
          </w:p>
        </w:tc>
        <w:tc>
          <w:tcPr>
            <w:tcW w:type="dxa" w:w="2448"/>
          </w:tcPr>
          <w:p>
            <w:pPr>
              <w:spacing w:after="20"/>
            </w:pPr>
            <w:r>
              <w:rPr>
                <w:color w:val="1C3A36"/>
                <w:sz w:val="14"/>
              </w:rPr>
              <w:t>cap_clinker_mt</w:t>
            </w:r>
          </w:p>
        </w:tc>
        <w:tc>
          <w:tcPr>
            <w:tcW w:type="dxa" w:w="1325"/>
          </w:tcPr>
          <w:p>
            <w:pPr>
              <w:spacing w:after="20"/>
            </w:pPr>
            <w:r>
              <w:rPr>
                <w:color w:val="1C3A36"/>
                <w:sz w:val="14"/>
              </w:rPr>
              <w:t>3.6</w:t>
            </w:r>
          </w:p>
        </w:tc>
        <w:tc>
          <w:tcPr>
            <w:tcW w:type="dxa" w:w="1066"/>
          </w:tcPr>
          <w:p>
            <w:pPr>
              <w:spacing w:after="20"/>
            </w:pPr>
            <w:r>
              <w:rPr>
                <w:color w:val="1C3A36"/>
                <w:sz w:val="14"/>
              </w:rPr>
              <w:t>Company</w:t>
            </w:r>
          </w:p>
        </w:tc>
        <w:tc>
          <w:tcPr>
            <w:tcW w:type="dxa" w:w="7171"/>
          </w:tcPr>
          <w:p>
            <w:pPr>
              <w:spacing w:after="20"/>
            </w:pPr>
            <w:r>
              <w:rPr>
                <w:color w:val="1C3A36"/>
                <w:sz w:val="14"/>
              </w:rPr>
              <w:t>Kiln clinker capacity. The PAIR with cement capacity OBSERVES the clinker factor rather than assuming it</w:t>
            </w:r>
          </w:p>
        </w:tc>
        <w:tc>
          <w:tcPr>
            <w:tcW w:type="dxa" w:w="1210"/>
          </w:tcPr>
          <w:p>
            <w:pPr>
              <w:spacing w:after="20"/>
            </w:pPr>
            <w:r>
              <w:rPr>
                <w:color w:val="1C3A36"/>
                <w:sz w:val="14"/>
              </w:rPr>
              <w:t>2026-01-01</w:t>
            </w:r>
          </w:p>
        </w:tc>
      </w:tr>
      <w:tr>
        <w:tc>
          <w:tcPr>
            <w:tcW w:type="dxa" w:w="432"/>
          </w:tcPr>
          <w:p>
            <w:pPr>
              <w:spacing w:after="20"/>
            </w:pPr>
            <w:r>
              <w:rPr>
                <w:color w:val="1C3A36"/>
                <w:sz w:val="14"/>
              </w:rPr>
              <w:t>5</w:t>
            </w:r>
          </w:p>
        </w:tc>
        <w:tc>
          <w:tcPr>
            <w:tcW w:type="dxa" w:w="2448"/>
          </w:tcPr>
          <w:p>
            <w:pPr>
              <w:spacing w:after="20"/>
            </w:pPr>
            <w:r>
              <w:rPr>
                <w:color w:val="1C3A36"/>
                <w:sz w:val="14"/>
              </w:rPr>
              <w:t>cash_fy25</w:t>
            </w:r>
          </w:p>
        </w:tc>
        <w:tc>
          <w:tcPr>
            <w:tcW w:type="dxa" w:w="1325"/>
          </w:tcPr>
          <w:p>
            <w:pPr>
              <w:spacing w:after="20"/>
            </w:pPr>
            <w:r>
              <w:rPr>
                <w:color w:val="1C3A36"/>
                <w:sz w:val="14"/>
              </w:rPr>
              <w:t>3,459.39</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cash and equivalents</w:t>
            </w:r>
          </w:p>
        </w:tc>
        <w:tc>
          <w:tcPr>
            <w:tcW w:type="dxa" w:w="1210"/>
          </w:tcPr>
          <w:p>
            <w:pPr>
              <w:spacing w:after="20"/>
            </w:pPr>
            <w:r>
              <w:rPr>
                <w:color w:val="1C3A36"/>
                <w:sz w:val="14"/>
              </w:rPr>
              <w:t>2026-03-01</w:t>
            </w:r>
          </w:p>
        </w:tc>
      </w:tr>
      <w:tr>
        <w:tc>
          <w:tcPr>
            <w:tcW w:type="dxa" w:w="432"/>
          </w:tcPr>
          <w:p>
            <w:pPr>
              <w:spacing w:after="20"/>
            </w:pPr>
            <w:r>
              <w:rPr>
                <w:color w:val="1C3A36"/>
                <w:sz w:val="14"/>
              </w:rPr>
              <w:t>6</w:t>
            </w:r>
          </w:p>
        </w:tc>
        <w:tc>
          <w:tcPr>
            <w:tcW w:type="dxa" w:w="2448"/>
          </w:tcPr>
          <w:p>
            <w:pPr>
              <w:spacing w:after="20"/>
            </w:pPr>
            <w:r>
              <w:rPr>
                <w:color w:val="1C3A36"/>
                <w:sz w:val="14"/>
              </w:rPr>
              <w:t>clinker_factor</w:t>
            </w:r>
          </w:p>
        </w:tc>
        <w:tc>
          <w:tcPr>
            <w:tcW w:type="dxa" w:w="1325"/>
          </w:tcPr>
          <w:p>
            <w:pPr>
              <w:spacing w:after="20"/>
            </w:pPr>
            <w:r>
              <w:rPr>
                <w:color w:val="1C3A36"/>
                <w:sz w:val="14"/>
              </w:rPr>
              <w:t>0.72</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Anchored on the capacity pair (3.60/5.00 = 0.720) but carried as an INDEPENDENT lever, because blending is a real operating decision: a lower factor means more cement per tonne of clinker and less fuel per tonne of cement. This company is pursuing exactly that, through supplementary cementitious materials, calcined clay and a 50%-slag CEM III product</w:t>
            </w:r>
          </w:p>
        </w:tc>
        <w:tc>
          <w:tcPr>
            <w:tcW w:type="dxa" w:w="1210"/>
          </w:tcPr>
          <w:p>
            <w:pPr>
              <w:spacing w:after="20"/>
            </w:pPr>
            <w:r>
              <w:rPr>
                <w:color w:val="1C3A36"/>
                <w:sz w:val="14"/>
              </w:rPr>
              <w:t>2026-01-01</w:t>
            </w:r>
          </w:p>
        </w:tc>
      </w:tr>
      <w:tr>
        <w:tc>
          <w:tcPr>
            <w:tcW w:type="dxa" w:w="432"/>
          </w:tcPr>
          <w:p>
            <w:pPr>
              <w:spacing w:after="20"/>
            </w:pPr>
            <w:r>
              <w:rPr>
                <w:color w:val="1C3A36"/>
                <w:sz w:val="14"/>
              </w:rPr>
              <w:t>7</w:t>
            </w:r>
          </w:p>
        </w:tc>
        <w:tc>
          <w:tcPr>
            <w:tcW w:type="dxa" w:w="2448"/>
          </w:tcPr>
          <w:p>
            <w:pPr>
              <w:spacing w:after="20"/>
            </w:pPr>
            <w:r>
              <w:rPr>
                <w:color w:val="1C3A36"/>
                <w:sz w:val="14"/>
              </w:rPr>
              <w:t>debt_fy25</w:t>
            </w:r>
          </w:p>
        </w:tc>
        <w:tc>
          <w:tcPr>
            <w:tcW w:type="dxa" w:w="1325"/>
          </w:tcPr>
          <w:p>
            <w:pPr>
              <w:spacing w:after="20"/>
            </w:pPr>
            <w:r>
              <w:rPr>
                <w:color w:val="1C3A36"/>
                <w:sz w:val="14"/>
              </w:rPr>
              <w:t>1,035.19</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total interest-bearing debt. The company is NET CASH by roughly EGP 2.42bn</w:t>
            </w:r>
          </w:p>
        </w:tc>
        <w:tc>
          <w:tcPr>
            <w:tcW w:type="dxa" w:w="1210"/>
          </w:tcPr>
          <w:p>
            <w:pPr>
              <w:spacing w:after="20"/>
            </w:pPr>
            <w:r>
              <w:rPr>
                <w:color w:val="1C3A36"/>
                <w:sz w:val="14"/>
              </w:rPr>
              <w:t>2026-03-01</w:t>
            </w:r>
          </w:p>
        </w:tc>
      </w:tr>
      <w:tr>
        <w:tc>
          <w:tcPr>
            <w:tcW w:type="dxa" w:w="432"/>
          </w:tcPr>
          <w:p>
            <w:pPr>
              <w:spacing w:after="20"/>
            </w:pPr>
            <w:r>
              <w:rPr>
                <w:color w:val="1C3A36"/>
                <w:sz w:val="14"/>
              </w:rPr>
              <w:t>8</w:t>
            </w:r>
          </w:p>
        </w:tc>
        <w:tc>
          <w:tcPr>
            <w:tcW w:type="dxa" w:w="2448"/>
          </w:tcPr>
          <w:p>
            <w:pPr>
              <w:spacing w:after="20"/>
            </w:pPr>
            <w:r>
              <w:rPr>
                <w:color w:val="1C3A36"/>
                <w:sz w:val="14"/>
              </w:rPr>
              <w:t>div_fy24_total</w:t>
            </w:r>
          </w:p>
        </w:tc>
        <w:tc>
          <w:tcPr>
            <w:tcW w:type="dxa" w:w="1325"/>
          </w:tcPr>
          <w:p>
            <w:pPr>
              <w:spacing w:after="20"/>
            </w:pPr>
            <w:r>
              <w:rPr>
                <w:color w:val="1C3A36"/>
                <w:sz w:val="14"/>
              </w:rPr>
              <w:t>1,100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FY2024 total cash distribution</w:t>
            </w:r>
          </w:p>
        </w:tc>
        <w:tc>
          <w:tcPr>
            <w:tcW w:type="dxa" w:w="1210"/>
          </w:tcPr>
          <w:p>
            <w:pPr>
              <w:spacing w:after="20"/>
            </w:pPr>
            <w:r>
              <w:rPr>
                <w:color w:val="1C3A36"/>
                <w:sz w:val="14"/>
              </w:rPr>
              <w:t>2025-04-01</w:t>
            </w:r>
          </w:p>
        </w:tc>
      </w:tr>
      <w:tr>
        <w:tc>
          <w:tcPr>
            <w:tcW w:type="dxa" w:w="432"/>
          </w:tcPr>
          <w:p>
            <w:pPr>
              <w:spacing w:after="20"/>
            </w:pPr>
            <w:r>
              <w:rPr>
                <w:color w:val="1C3A36"/>
                <w:sz w:val="14"/>
              </w:rPr>
              <w:t>9</w:t>
            </w:r>
          </w:p>
        </w:tc>
        <w:tc>
          <w:tcPr>
            <w:tcW w:type="dxa" w:w="2448"/>
          </w:tcPr>
          <w:p>
            <w:pPr>
              <w:spacing w:after="20"/>
            </w:pPr>
            <w:r>
              <w:rPr>
                <w:color w:val="1C3A36"/>
                <w:sz w:val="14"/>
              </w:rPr>
              <w:t>div_fy25_total</w:t>
            </w:r>
          </w:p>
        </w:tc>
        <w:tc>
          <w:tcPr>
            <w:tcW w:type="dxa" w:w="1325"/>
          </w:tcPr>
          <w:p>
            <w:pPr>
              <w:spacing w:after="20"/>
            </w:pPr>
            <w:r>
              <w:rPr>
                <w:color w:val="1C3A36"/>
                <w:sz w:val="14"/>
              </w:rPr>
              <w:t>2,000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FY2025 total cash distribution</w:t>
            </w:r>
          </w:p>
        </w:tc>
        <w:tc>
          <w:tcPr>
            <w:tcW w:type="dxa" w:w="1210"/>
          </w:tcPr>
          <w:p>
            <w:pPr>
              <w:spacing w:after="20"/>
            </w:pPr>
            <w:r>
              <w:rPr>
                <w:color w:val="1C3A36"/>
                <w:sz w:val="14"/>
              </w:rPr>
              <w:t>2026-04-01</w:t>
            </w:r>
          </w:p>
        </w:tc>
      </w:tr>
      <w:tr>
        <w:tc>
          <w:tcPr>
            <w:tcW w:type="dxa" w:w="432"/>
          </w:tcPr>
          <w:p>
            <w:pPr>
              <w:spacing w:after="20"/>
            </w:pPr>
            <w:r>
              <w:rPr>
                <w:color w:val="1C3A36"/>
                <w:sz w:val="14"/>
              </w:rPr>
              <w:t>10</w:t>
            </w:r>
          </w:p>
        </w:tc>
        <w:tc>
          <w:tcPr>
            <w:tcW w:type="dxa" w:w="2448"/>
          </w:tcPr>
          <w:p>
            <w:pPr>
              <w:spacing w:after="20"/>
            </w:pPr>
            <w:r>
              <w:rPr>
                <w:color w:val="1C3A36"/>
                <w:sz w:val="14"/>
              </w:rPr>
              <w:t>dps_fy24</w:t>
            </w:r>
          </w:p>
        </w:tc>
        <w:tc>
          <w:tcPr>
            <w:tcW w:type="dxa" w:w="1325"/>
          </w:tcPr>
          <w:p>
            <w:pPr>
              <w:spacing w:after="20"/>
            </w:pPr>
            <w:r>
              <w:rPr>
                <w:color w:val="1C3A36"/>
                <w:sz w:val="14"/>
              </w:rPr>
              <w:t>2.94</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FY2024 dividend per share, EGP 1.10bn in total</w:t>
            </w:r>
          </w:p>
        </w:tc>
        <w:tc>
          <w:tcPr>
            <w:tcW w:type="dxa" w:w="1210"/>
          </w:tcPr>
          <w:p>
            <w:pPr>
              <w:spacing w:after="20"/>
            </w:pPr>
            <w:r>
              <w:rPr>
                <w:color w:val="1C3A36"/>
                <w:sz w:val="14"/>
              </w:rPr>
              <w:t>2025-04-01</w:t>
            </w:r>
          </w:p>
        </w:tc>
      </w:tr>
      <w:tr>
        <w:tc>
          <w:tcPr>
            <w:tcW w:type="dxa" w:w="432"/>
          </w:tcPr>
          <w:p>
            <w:pPr>
              <w:spacing w:after="20"/>
            </w:pPr>
            <w:r>
              <w:rPr>
                <w:color w:val="1C3A36"/>
                <w:sz w:val="14"/>
              </w:rPr>
              <w:t>11</w:t>
            </w:r>
          </w:p>
        </w:tc>
        <w:tc>
          <w:tcPr>
            <w:tcW w:type="dxa" w:w="2448"/>
          </w:tcPr>
          <w:p>
            <w:pPr>
              <w:spacing w:after="20"/>
            </w:pPr>
            <w:r>
              <w:rPr>
                <w:color w:val="1C3A36"/>
                <w:sz w:val="14"/>
              </w:rPr>
              <w:t>dps_fy25</w:t>
            </w:r>
          </w:p>
        </w:tc>
        <w:tc>
          <w:tcPr>
            <w:tcW w:type="dxa" w:w="1325"/>
          </w:tcPr>
          <w:p>
            <w:pPr>
              <w:spacing w:after="20"/>
            </w:pPr>
            <w:r>
              <w:rPr>
                <w:color w:val="1C3A36"/>
                <w:sz w:val="14"/>
              </w:rPr>
              <w:t>5.34</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FY2025 dividend per share, EGP 2.00bn in total</w:t>
            </w:r>
          </w:p>
        </w:tc>
        <w:tc>
          <w:tcPr>
            <w:tcW w:type="dxa" w:w="1210"/>
          </w:tcPr>
          <w:p>
            <w:pPr>
              <w:spacing w:after="20"/>
            </w:pPr>
            <w:r>
              <w:rPr>
                <w:color w:val="1C3A36"/>
                <w:sz w:val="14"/>
              </w:rPr>
              <w:t>2026-04-01</w:t>
            </w:r>
          </w:p>
        </w:tc>
      </w:tr>
      <w:tr>
        <w:tc>
          <w:tcPr>
            <w:tcW w:type="dxa" w:w="432"/>
          </w:tcPr>
          <w:p>
            <w:pPr>
              <w:spacing w:after="20"/>
            </w:pPr>
            <w:r>
              <w:rPr>
                <w:color w:val="1C3A36"/>
                <w:sz w:val="14"/>
              </w:rPr>
              <w:t>12</w:t>
            </w:r>
          </w:p>
        </w:tc>
        <w:tc>
          <w:tcPr>
            <w:tcW w:type="dxa" w:w="2448"/>
          </w:tcPr>
          <w:p>
            <w:pPr>
              <w:spacing w:after="20"/>
            </w:pPr>
            <w:r>
              <w:rPr>
                <w:color w:val="1C3A36"/>
                <w:sz w:val="14"/>
              </w:rPr>
              <w:t>ebit_fy25</w:t>
            </w:r>
          </w:p>
        </w:tc>
        <w:tc>
          <w:tcPr>
            <w:tcW w:type="dxa" w:w="1325"/>
          </w:tcPr>
          <w:p>
            <w:pPr>
              <w:spacing w:after="20"/>
            </w:pPr>
            <w:r>
              <w:rPr>
                <w:color w:val="1C3A36"/>
                <w:sz w:val="14"/>
              </w:rPr>
              <w:t>4,595.82</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FY2025 operating income. This is the disclosed anchor the bottom-up cost stack is calibrated to reproduce</w:t>
            </w:r>
          </w:p>
        </w:tc>
        <w:tc>
          <w:tcPr>
            <w:tcW w:type="dxa" w:w="1210"/>
          </w:tcPr>
          <w:p>
            <w:pPr>
              <w:spacing w:after="20"/>
            </w:pPr>
            <w:r>
              <w:rPr>
                <w:color w:val="1C3A36"/>
                <w:sz w:val="14"/>
              </w:rPr>
              <w:t>2026-03-01</w:t>
            </w:r>
          </w:p>
        </w:tc>
      </w:tr>
      <w:tr>
        <w:tc>
          <w:tcPr>
            <w:tcW w:type="dxa" w:w="432"/>
          </w:tcPr>
          <w:p>
            <w:pPr>
              <w:spacing w:after="20"/>
            </w:pPr>
            <w:r>
              <w:rPr>
                <w:color w:val="1C3A36"/>
                <w:sz w:val="14"/>
              </w:rPr>
              <w:t>13</w:t>
            </w:r>
          </w:p>
        </w:tc>
        <w:tc>
          <w:tcPr>
            <w:tcW w:type="dxa" w:w="2448"/>
          </w:tcPr>
          <w:p>
            <w:pPr>
              <w:spacing w:after="20"/>
            </w:pPr>
            <w:r>
              <w:rPr>
                <w:color w:val="1C3A36"/>
                <w:sz w:val="14"/>
              </w:rPr>
              <w:t>ebitda_q4_25</w:t>
            </w:r>
          </w:p>
        </w:tc>
        <w:tc>
          <w:tcPr>
            <w:tcW w:type="dxa" w:w="1325"/>
          </w:tcPr>
          <w:p>
            <w:pPr>
              <w:spacing w:after="20"/>
            </w:pPr>
            <w:r>
              <w:rPr>
                <w:color w:val="1C3A36"/>
                <w:sz w:val="14"/>
              </w:rPr>
              <w:t>1,393.01</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fourth-quarter 2025 EBITDA. One of the three legs of the depreciation triangulation</w:t>
            </w:r>
          </w:p>
        </w:tc>
        <w:tc>
          <w:tcPr>
            <w:tcW w:type="dxa" w:w="1210"/>
          </w:tcPr>
          <w:p>
            <w:pPr>
              <w:spacing w:after="20"/>
            </w:pPr>
            <w:r>
              <w:rPr>
                <w:color w:val="1C3A36"/>
                <w:sz w:val="14"/>
              </w:rPr>
              <w:t>2026-03-01</w:t>
            </w:r>
          </w:p>
        </w:tc>
      </w:tr>
      <w:tr>
        <w:tc>
          <w:tcPr>
            <w:tcW w:type="dxa" w:w="432"/>
          </w:tcPr>
          <w:p>
            <w:pPr>
              <w:spacing w:after="20"/>
            </w:pPr>
            <w:r>
              <w:rPr>
                <w:color w:val="1C3A36"/>
                <w:sz w:val="14"/>
              </w:rPr>
              <w:t>14</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FY2024 disclosed earnings per share</w:t>
            </w:r>
          </w:p>
        </w:tc>
        <w:tc>
          <w:tcPr>
            <w:tcW w:type="dxa" w:w="1210"/>
          </w:tcPr>
          <w:p>
            <w:pPr>
              <w:spacing w:after="20"/>
            </w:pPr>
            <w:r>
              <w:rPr>
                <w:color w:val="1C3A36"/>
                <w:sz w:val="14"/>
              </w:rPr>
              <w:t>2026-03-01</w:t>
            </w:r>
          </w:p>
        </w:tc>
      </w:tr>
      <w:tr>
        <w:tc>
          <w:tcPr>
            <w:tcW w:type="dxa" w:w="432"/>
          </w:tcPr>
          <w:p>
            <w:pPr>
              <w:spacing w:after="20"/>
            </w:pPr>
            <w:r>
              <w:rPr>
                <w:color w:val="1C3A36"/>
                <w:sz w:val="14"/>
              </w:rPr>
              <w:t>15</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FY2025 disclosed earnings per share</w:t>
            </w:r>
          </w:p>
        </w:tc>
        <w:tc>
          <w:tcPr>
            <w:tcW w:type="dxa" w:w="1210"/>
          </w:tcPr>
          <w:p>
            <w:pPr>
              <w:spacing w:after="20"/>
            </w:pPr>
            <w:r>
              <w:rPr>
                <w:color w:val="1C3A36"/>
                <w:sz w:val="14"/>
              </w:rPr>
              <w:t>2026-03-01</w:t>
            </w:r>
          </w:p>
        </w:tc>
      </w:tr>
      <w:tr>
        <w:tc>
          <w:tcPr>
            <w:tcW w:type="dxa" w:w="432"/>
          </w:tcPr>
          <w:p>
            <w:pPr>
              <w:spacing w:after="20"/>
            </w:pPr>
            <w:r>
              <w:rPr>
                <w:color w:val="1C3A36"/>
                <w:sz w:val="14"/>
              </w:rPr>
              <w:t>16</w:t>
            </w:r>
          </w:p>
        </w:tc>
        <w:tc>
          <w:tcPr>
            <w:tcW w:type="dxa" w:w="2448"/>
          </w:tcPr>
          <w:p>
            <w:pPr>
              <w:spacing w:after="20"/>
            </w:pPr>
            <w:r>
              <w:rPr>
                <w:color w:val="1C3A36"/>
                <w:sz w:val="14"/>
              </w:rPr>
              <w:t>eq_fy25_rep</w:t>
            </w:r>
          </w:p>
        </w:tc>
        <w:tc>
          <w:tcPr>
            <w:tcW w:type="dxa" w:w="1325"/>
          </w:tcPr>
          <w:p>
            <w:pPr>
              <w:spacing w:after="20"/>
            </w:pPr>
            <w:r>
              <w:rPr>
                <w:color w:val="1C3A36"/>
                <w:sz w:val="14"/>
              </w:rPr>
              <w:t>4,642.73</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total equity as reported. A separate aggregation prints total liabilities of EGP 2,894.13mn, which does NOT close against this total-asset and equity pair; liabilities are therefore DERIVED on the sheet as assets less equity and the disagreement is disclosed rather than averaged away</w:t>
            </w:r>
          </w:p>
        </w:tc>
        <w:tc>
          <w:tcPr>
            <w:tcW w:type="dxa" w:w="1210"/>
          </w:tcPr>
          <w:p>
            <w:pPr>
              <w:spacing w:after="20"/>
            </w:pPr>
            <w:r>
              <w:rPr>
                <w:color w:val="1C3A36"/>
                <w:sz w:val="14"/>
              </w:rPr>
              <w:t>2026-03-01</w:t>
            </w:r>
          </w:p>
        </w:tc>
      </w:tr>
      <w:tr>
        <w:tc>
          <w:tcPr>
            <w:tcW w:type="dxa" w:w="432"/>
          </w:tcPr>
          <w:p>
            <w:pPr>
              <w:spacing w:after="20"/>
            </w:pPr>
            <w:r>
              <w:rPr>
                <w:color w:val="1C3A36"/>
                <w:sz w:val="14"/>
              </w:rPr>
              <w:t>17</w:t>
            </w:r>
          </w:p>
        </w:tc>
        <w:tc>
          <w:tcPr>
            <w:tcW w:type="dxa" w:w="2448"/>
          </w:tcPr>
          <w:p>
            <w:pPr>
              <w:spacing w:after="20"/>
            </w:pPr>
            <w:r>
              <w:rPr>
                <w:color w:val="1C3A36"/>
                <w:sz w:val="14"/>
              </w:rPr>
              <w:t>gross_margin</w:t>
            </w:r>
          </w:p>
        </w:tc>
        <w:tc>
          <w:tcPr>
            <w:tcW w:type="dxa" w:w="1325"/>
          </w:tcPr>
          <w:p>
            <w:pPr>
              <w:spacing w:after="20"/>
            </w:pPr>
            <w:r>
              <w:rPr>
                <w:color w:val="1C3A36"/>
                <w:sz w:val="14"/>
              </w:rPr>
              <w:t>0.4077</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trailing gross margin. Used to derive cost of sales and, through it, the inventory leg of the property estimate</w:t>
            </w:r>
          </w:p>
        </w:tc>
        <w:tc>
          <w:tcPr>
            <w:tcW w:type="dxa" w:w="1210"/>
          </w:tcPr>
          <w:p>
            <w:pPr>
              <w:spacing w:after="20"/>
            </w:pPr>
            <w:r>
              <w:rPr>
                <w:color w:val="1C3A36"/>
                <w:sz w:val="14"/>
              </w:rPr>
              <w:t>2026-03-01</w:t>
            </w:r>
          </w:p>
        </w:tc>
      </w:tr>
      <w:tr>
        <w:tc>
          <w:tcPr>
            <w:tcW w:type="dxa" w:w="432"/>
          </w:tcPr>
          <w:p>
            <w:pPr>
              <w:spacing w:after="20"/>
            </w:pPr>
            <w:r>
              <w:rPr>
                <w:color w:val="1C3A36"/>
                <w:sz w:val="14"/>
              </w:rPr>
              <w:t>18</w:t>
            </w:r>
          </w:p>
        </w:tc>
        <w:tc>
          <w:tcPr>
            <w:tcW w:type="dxa" w:w="2448"/>
          </w:tcPr>
          <w:p>
            <w:pPr>
              <w:spacing w:after="20"/>
            </w:pPr>
            <w:r>
              <w:rPr>
                <w:color w:val="1C3A36"/>
                <w:sz w:val="14"/>
              </w:rPr>
              <w:t>pat_fy23</w:t>
            </w:r>
          </w:p>
        </w:tc>
        <w:tc>
          <w:tcPr>
            <w:tcW w:type="dxa" w:w="1325"/>
          </w:tcPr>
          <w:p>
            <w:pPr>
              <w:spacing w:after="20"/>
            </w:pPr>
            <w:r>
              <w:rPr>
                <w:color w:val="1C3A36"/>
                <w:sz w:val="14"/>
              </w:rPr>
              <w:t>697.49</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FY2023 attributable profit, up from EGP 358.98mn in FY2022</w:t>
            </w:r>
          </w:p>
        </w:tc>
        <w:tc>
          <w:tcPr>
            <w:tcW w:type="dxa" w:w="1210"/>
          </w:tcPr>
          <w:p>
            <w:pPr>
              <w:spacing w:after="20"/>
            </w:pPr>
            <w:r>
              <w:rPr>
                <w:color w:val="1C3A36"/>
                <w:sz w:val="14"/>
              </w:rPr>
              <w:t>2025-03-01</w:t>
            </w:r>
          </w:p>
        </w:tc>
      </w:tr>
      <w:tr>
        <w:tc>
          <w:tcPr>
            <w:tcW w:type="dxa" w:w="432"/>
          </w:tcPr>
          <w:p>
            <w:pPr>
              <w:spacing w:after="20"/>
            </w:pPr>
            <w:r>
              <w:rPr>
                <w:color w:val="1C3A36"/>
                <w:sz w:val="14"/>
              </w:rPr>
              <w:t>19</w:t>
            </w:r>
          </w:p>
        </w:tc>
        <w:tc>
          <w:tcPr>
            <w:tcW w:type="dxa" w:w="2448"/>
          </w:tcPr>
          <w:p>
            <w:pPr>
              <w:spacing w:after="20"/>
            </w:pPr>
            <w:r>
              <w:rPr>
                <w:color w:val="1C3A36"/>
                <w:sz w:val="14"/>
              </w:rPr>
              <w:t>pat_fy24</w:t>
            </w:r>
          </w:p>
        </w:tc>
        <w:tc>
          <w:tcPr>
            <w:tcW w:type="dxa" w:w="1325"/>
          </w:tcPr>
          <w:p>
            <w:pPr>
              <w:spacing w:after="20"/>
            </w:pPr>
            <w:r>
              <w:rPr>
                <w:color w:val="1C3A36"/>
                <w:sz w:val="14"/>
              </w:rPr>
              <w:t>1,160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FY2024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20</w:t>
            </w:r>
          </w:p>
        </w:tc>
        <w:tc>
          <w:tcPr>
            <w:tcW w:type="dxa" w:w="2448"/>
          </w:tcPr>
          <w:p>
            <w:pPr>
              <w:spacing w:after="20"/>
            </w:pPr>
            <w:r>
              <w:rPr>
                <w:color w:val="1C3A36"/>
                <w:sz w:val="14"/>
              </w:rPr>
              <w:t>pat_fy25</w:t>
            </w:r>
          </w:p>
        </w:tc>
        <w:tc>
          <w:tcPr>
            <w:tcW w:type="dxa" w:w="1325"/>
          </w:tcPr>
          <w:p>
            <w:pPr>
              <w:spacing w:after="20"/>
            </w:pPr>
            <w:r>
              <w:rPr>
                <w:color w:val="1C3A36"/>
                <w:sz w:val="14"/>
              </w:rPr>
              <w:t>3,599</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FY2025 attributable profit, +210.3%</w:t>
            </w:r>
          </w:p>
        </w:tc>
        <w:tc>
          <w:tcPr>
            <w:tcW w:type="dxa" w:w="1210"/>
          </w:tcPr>
          <w:p>
            <w:pPr>
              <w:spacing w:after="20"/>
            </w:pPr>
            <w:r>
              <w:rPr>
                <w:color w:val="1C3A36"/>
                <w:sz w:val="14"/>
              </w:rPr>
              <w:t>2026-03-01</w:t>
            </w:r>
          </w:p>
        </w:tc>
      </w:tr>
      <w:tr>
        <w:tc>
          <w:tcPr>
            <w:tcW w:type="dxa" w:w="432"/>
          </w:tcPr>
          <w:p>
            <w:pPr>
              <w:spacing w:after="20"/>
            </w:pPr>
            <w:r>
              <w:rPr>
                <w:color w:val="1C3A36"/>
                <w:sz w:val="14"/>
              </w:rPr>
              <w:t>21</w:t>
            </w:r>
          </w:p>
        </w:tc>
        <w:tc>
          <w:tcPr>
            <w:tcW w:type="dxa" w:w="2448"/>
          </w:tcPr>
          <w:p>
            <w:pPr>
              <w:spacing w:after="20"/>
            </w:pPr>
            <w:r>
              <w:rPr>
                <w:color w:val="1C3A36"/>
                <w:sz w:val="14"/>
              </w:rPr>
              <w:t>pat_q1_26</w:t>
            </w:r>
          </w:p>
        </w:tc>
        <w:tc>
          <w:tcPr>
            <w:tcW w:type="dxa" w:w="1325"/>
          </w:tcPr>
          <w:p>
            <w:pPr>
              <w:spacing w:after="20"/>
            </w:pPr>
            <w:r>
              <w:rPr>
                <w:color w:val="1C3A36"/>
                <w:sz w:val="14"/>
              </w:rPr>
              <w:t>943.068</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first-quarter 2026 attributable profit, from EGP 590.347mn, +59.74%</w:t>
            </w:r>
          </w:p>
        </w:tc>
        <w:tc>
          <w:tcPr>
            <w:tcW w:type="dxa" w:w="1210"/>
          </w:tcPr>
          <w:p>
            <w:pPr>
              <w:spacing w:after="20"/>
            </w:pPr>
            <w:r>
              <w:rPr>
                <w:color w:val="1C3A36"/>
                <w:sz w:val="14"/>
              </w:rPr>
              <w:t>2026-05-12</w:t>
            </w:r>
          </w:p>
        </w:tc>
      </w:tr>
      <w:tr>
        <w:tc>
          <w:tcPr>
            <w:tcW w:type="dxa" w:w="432"/>
          </w:tcPr>
          <w:p>
            <w:pPr>
              <w:spacing w:after="20"/>
            </w:pPr>
            <w:r>
              <w:rPr>
                <w:color w:val="1C3A36"/>
                <w:sz w:val="14"/>
              </w:rPr>
              <w:t>22</w:t>
            </w:r>
          </w:p>
        </w:tc>
        <w:tc>
          <w:tcPr>
            <w:tcW w:type="dxa" w:w="2448"/>
          </w:tcPr>
          <w:p>
            <w:pPr>
              <w:spacing w:after="20"/>
            </w:pPr>
            <w:r>
              <w:rPr>
                <w:color w:val="1C3A36"/>
                <w:sz w:val="14"/>
              </w:rPr>
              <w:t>rev_fy23</w:t>
            </w:r>
          </w:p>
        </w:tc>
        <w:tc>
          <w:tcPr>
            <w:tcW w:type="dxa" w:w="1325"/>
          </w:tcPr>
          <w:p>
            <w:pPr>
              <w:spacing w:after="20"/>
            </w:pPr>
            <w:r>
              <w:rPr>
                <w:color w:val="1C3A36"/>
                <w:sz w:val="14"/>
              </w:rPr>
              <w:t>6,040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FY2023 net sales, up from EGP 4.67bn in FY2022</w:t>
            </w:r>
          </w:p>
        </w:tc>
        <w:tc>
          <w:tcPr>
            <w:tcW w:type="dxa" w:w="1210"/>
          </w:tcPr>
          <w:p>
            <w:pPr>
              <w:spacing w:after="20"/>
            </w:pPr>
            <w:r>
              <w:rPr>
                <w:color w:val="1C3A36"/>
                <w:sz w:val="14"/>
              </w:rPr>
              <w:t>2025-03-01</w:t>
            </w:r>
          </w:p>
        </w:tc>
      </w:tr>
      <w:tr>
        <w:tc>
          <w:tcPr>
            <w:tcW w:type="dxa" w:w="432"/>
          </w:tcPr>
          <w:p>
            <w:pPr>
              <w:spacing w:after="20"/>
            </w:pPr>
            <w:r>
              <w:rPr>
                <w:color w:val="1C3A36"/>
                <w:sz w:val="14"/>
              </w:rPr>
              <w:t>23</w:t>
            </w:r>
          </w:p>
        </w:tc>
        <w:tc>
          <w:tcPr>
            <w:tcW w:type="dxa" w:w="2448"/>
          </w:tcPr>
          <w:p>
            <w:pPr>
              <w:spacing w:after="20"/>
            </w:pPr>
            <w:r>
              <w:rPr>
                <w:color w:val="1C3A36"/>
                <w:sz w:val="14"/>
              </w:rPr>
              <w:t>rev_fy24</w:t>
            </w:r>
          </w:p>
        </w:tc>
        <w:tc>
          <w:tcPr>
            <w:tcW w:type="dxa" w:w="1325"/>
          </w:tcPr>
          <w:p>
            <w:pPr>
              <w:spacing w:after="20"/>
            </w:pPr>
            <w:r>
              <w:rPr>
                <w:color w:val="1C3A36"/>
                <w:sz w:val="14"/>
              </w:rPr>
              <w:t>8,729</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FY2024 net sales</w:t>
            </w:r>
          </w:p>
        </w:tc>
        <w:tc>
          <w:tcPr>
            <w:tcW w:type="dxa" w:w="1210"/>
          </w:tcPr>
          <w:p>
            <w:pPr>
              <w:spacing w:after="20"/>
            </w:pPr>
            <w:r>
              <w:rPr>
                <w:color w:val="1C3A36"/>
                <w:sz w:val="14"/>
              </w:rPr>
              <w:t>2026-03-01</w:t>
            </w:r>
          </w:p>
        </w:tc>
      </w:tr>
      <w:tr>
        <w:tc>
          <w:tcPr>
            <w:tcW w:type="dxa" w:w="432"/>
          </w:tcPr>
          <w:p>
            <w:pPr>
              <w:spacing w:after="20"/>
            </w:pPr>
            <w:r>
              <w:rPr>
                <w:color w:val="1C3A36"/>
                <w:sz w:val="14"/>
              </w:rPr>
              <w:t>24</w:t>
            </w:r>
          </w:p>
        </w:tc>
        <w:tc>
          <w:tcPr>
            <w:tcW w:type="dxa" w:w="2448"/>
          </w:tcPr>
          <w:p>
            <w:pPr>
              <w:spacing w:after="20"/>
            </w:pPr>
            <w:r>
              <w:rPr>
                <w:color w:val="1C3A36"/>
                <w:sz w:val="14"/>
              </w:rPr>
              <w:t>rev_fy25</w:t>
            </w:r>
          </w:p>
        </w:tc>
        <w:tc>
          <w:tcPr>
            <w:tcW w:type="dxa" w:w="1325"/>
          </w:tcPr>
          <w:p>
            <w:pPr>
              <w:spacing w:after="20"/>
            </w:pPr>
            <w:r>
              <w:rPr>
                <w:color w:val="1C3A36"/>
                <w:sz w:val="14"/>
              </w:rPr>
              <w:t>12,447</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FY2025 net sales, +42.58%</w:t>
            </w:r>
          </w:p>
        </w:tc>
        <w:tc>
          <w:tcPr>
            <w:tcW w:type="dxa" w:w="1210"/>
          </w:tcPr>
          <w:p>
            <w:pPr>
              <w:spacing w:after="20"/>
            </w:pPr>
            <w:r>
              <w:rPr>
                <w:color w:val="1C3A36"/>
                <w:sz w:val="14"/>
              </w:rPr>
              <w:t>2026-03-01</w:t>
            </w:r>
          </w:p>
        </w:tc>
      </w:tr>
      <w:tr>
        <w:tc>
          <w:tcPr>
            <w:tcW w:type="dxa" w:w="432"/>
          </w:tcPr>
          <w:p>
            <w:pPr>
              <w:spacing w:after="20"/>
            </w:pPr>
            <w:r>
              <w:rPr>
                <w:color w:val="1C3A36"/>
                <w:sz w:val="14"/>
              </w:rPr>
              <w:t>25</w:t>
            </w:r>
          </w:p>
        </w:tc>
        <w:tc>
          <w:tcPr>
            <w:tcW w:type="dxa" w:w="2448"/>
          </w:tcPr>
          <w:p>
            <w:pPr>
              <w:spacing w:after="20"/>
            </w:pPr>
            <w:r>
              <w:rPr>
                <w:color w:val="1C3A36"/>
                <w:sz w:val="14"/>
              </w:rPr>
              <w:t>rev_q1_25</w:t>
            </w:r>
          </w:p>
        </w:tc>
        <w:tc>
          <w:tcPr>
            <w:tcW w:type="dxa" w:w="1325"/>
          </w:tcPr>
          <w:p>
            <w:pPr>
              <w:spacing w:after="20"/>
            </w:pPr>
            <w:r>
              <w:rPr>
                <w:color w:val="1C3A36"/>
                <w:sz w:val="14"/>
              </w:rPr>
              <w:t>2,554</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first-quarter 2025 net sales</w:t>
            </w:r>
          </w:p>
        </w:tc>
        <w:tc>
          <w:tcPr>
            <w:tcW w:type="dxa" w:w="1210"/>
          </w:tcPr>
          <w:p>
            <w:pPr>
              <w:spacing w:after="20"/>
            </w:pPr>
            <w:r>
              <w:rPr>
                <w:color w:val="1C3A36"/>
                <w:sz w:val="14"/>
              </w:rPr>
              <w:t>2025-05-12</w:t>
            </w:r>
          </w:p>
        </w:tc>
      </w:tr>
      <w:tr>
        <w:tc>
          <w:tcPr>
            <w:tcW w:type="dxa" w:w="432"/>
          </w:tcPr>
          <w:p>
            <w:pPr>
              <w:spacing w:after="20"/>
            </w:pPr>
            <w:r>
              <w:rPr>
                <w:color w:val="1C3A36"/>
                <w:sz w:val="14"/>
              </w:rPr>
              <w:t>26</w:t>
            </w:r>
          </w:p>
        </w:tc>
        <w:tc>
          <w:tcPr>
            <w:tcW w:type="dxa" w:w="2448"/>
          </w:tcPr>
          <w:p>
            <w:pPr>
              <w:spacing w:after="20"/>
            </w:pPr>
            <w:r>
              <w:rPr>
                <w:color w:val="1C3A36"/>
                <w:sz w:val="14"/>
              </w:rPr>
              <w:t>rev_q1_26</w:t>
            </w:r>
          </w:p>
        </w:tc>
        <w:tc>
          <w:tcPr>
            <w:tcW w:type="dxa" w:w="1325"/>
          </w:tcPr>
          <w:p>
            <w:pPr>
              <w:spacing w:after="20"/>
            </w:pPr>
            <w:r>
              <w:rPr>
                <w:color w:val="1C3A36"/>
                <w:sz w:val="14"/>
              </w:rPr>
              <w:t>2,995</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first-quarter 2026 net sales, from EGP 2.554bn</w:t>
            </w:r>
          </w:p>
        </w:tc>
        <w:tc>
          <w:tcPr>
            <w:tcW w:type="dxa" w:w="1210"/>
          </w:tcPr>
          <w:p>
            <w:pPr>
              <w:spacing w:after="20"/>
            </w:pPr>
            <w:r>
              <w:rPr>
                <w:color w:val="1C3A36"/>
                <w:sz w:val="14"/>
              </w:rPr>
              <w:t>2026-05-12</w:t>
            </w:r>
          </w:p>
        </w:tc>
      </w:tr>
      <w:tr>
        <w:tc>
          <w:tcPr>
            <w:tcW w:type="dxa" w:w="432"/>
          </w:tcPr>
          <w:p>
            <w:pPr>
              <w:spacing w:after="20"/>
            </w:pPr>
            <w:r>
              <w:rPr>
                <w:color w:val="1C3A36"/>
                <w:sz w:val="14"/>
              </w:rPr>
              <w:t>27</w:t>
            </w:r>
          </w:p>
        </w:tc>
        <w:tc>
          <w:tcPr>
            <w:tcW w:type="dxa" w:w="2448"/>
          </w:tcPr>
          <w:p>
            <w:pPr>
              <w:spacing w:after="20"/>
            </w:pPr>
            <w:r>
              <w:rPr>
                <w:color w:val="1C3A36"/>
                <w:sz w:val="14"/>
              </w:rPr>
              <w:t>rev_q4_25</w:t>
            </w:r>
          </w:p>
        </w:tc>
        <w:tc>
          <w:tcPr>
            <w:tcW w:type="dxa" w:w="1325"/>
          </w:tcPr>
          <w:p>
            <w:pPr>
              <w:spacing w:after="20"/>
            </w:pPr>
            <w:r>
              <w:rPr>
                <w:color w:val="1C3A36"/>
                <w:sz w:val="14"/>
              </w:rPr>
              <w:t>3,645.6</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fourth-quarter 2025 net sales</w:t>
            </w:r>
          </w:p>
        </w:tc>
        <w:tc>
          <w:tcPr>
            <w:tcW w:type="dxa" w:w="1210"/>
          </w:tcPr>
          <w:p>
            <w:pPr>
              <w:spacing w:after="20"/>
            </w:pPr>
            <w:r>
              <w:rPr>
                <w:color w:val="1C3A36"/>
                <w:sz w:val="14"/>
              </w:rPr>
              <w:t>2026-03-01</w:t>
            </w:r>
          </w:p>
        </w:tc>
      </w:tr>
      <w:tr>
        <w:tc>
          <w:tcPr>
            <w:tcW w:type="dxa" w:w="432"/>
          </w:tcPr>
          <w:p>
            <w:pPr>
              <w:spacing w:after="20"/>
            </w:pPr>
            <w:r>
              <w:rPr>
                <w:color w:val="1C3A36"/>
                <w:sz w:val="14"/>
              </w:rPr>
              <w:t>28</w:t>
            </w:r>
          </w:p>
        </w:tc>
        <w:tc>
          <w:tcPr>
            <w:tcW w:type="dxa" w:w="2448"/>
          </w:tcPr>
          <w:p>
            <w:pPr>
              <w:spacing w:after="20"/>
            </w:pPr>
            <w:r>
              <w:rPr>
                <w:color w:val="1C3A36"/>
                <w:sz w:val="14"/>
              </w:rPr>
              <w:t>shares_mn</w:t>
            </w:r>
          </w:p>
        </w:tc>
        <w:tc>
          <w:tcPr>
            <w:tcW w:type="dxa" w:w="1325"/>
          </w:tcPr>
          <w:p>
            <w:pPr>
              <w:spacing w:after="20"/>
            </w:pPr>
            <w:r>
              <w:rPr>
                <w:color w:val="1C3A36"/>
                <w:sz w:val="14"/>
              </w:rPr>
              <w:t>374.87</w:t>
            </w:r>
          </w:p>
        </w:tc>
        <w:tc>
          <w:tcPr>
            <w:tcW w:type="dxa" w:w="1066"/>
          </w:tcPr>
          <w:p>
            <w:pPr>
              <w:spacing w:after="20"/>
            </w:pPr>
            <w:r>
              <w:rPr>
                <w:color w:val="1C3A36"/>
                <w:sz w:val="14"/>
              </w:rPr>
              <w:t>Company</w:t>
            </w:r>
          </w:p>
        </w:tc>
        <w:tc>
          <w:tcPr>
            <w:tcW w:type="dxa" w:w="7171"/>
          </w:tcPr>
          <w:p>
            <w:pPr>
              <w:spacing w:after="20"/>
            </w:pPr>
            <w:r>
              <w:rPr>
                <w:color w:val="1C3A36"/>
                <w:sz w:val="14"/>
              </w:rPr>
              <w:t>374.87mn shares in issue. Corroborated THREE ways and the corroboration is unusually clean: the FY2024 distribution of EGP 1.10bn at EGP 2.94 per share implies 374.15mn; the FY2025 distribution of EGP 2.00bn at EGP 5.34 per share implies 374.53mn; and the quoted share count is 374.87mn. All three agree to within 0.2%</w:t>
            </w:r>
          </w:p>
        </w:tc>
        <w:tc>
          <w:tcPr>
            <w:tcW w:type="dxa" w:w="1210"/>
          </w:tcPr>
          <w:p>
            <w:pPr>
              <w:spacing w:after="20"/>
            </w:pPr>
            <w:r>
              <w:rPr>
                <w:color w:val="1C3A36"/>
                <w:sz w:val="14"/>
              </w:rPr>
              <w:t>2026-08-06</w:t>
            </w:r>
          </w:p>
        </w:tc>
      </w:tr>
      <w:tr>
        <w:tc>
          <w:tcPr>
            <w:tcW w:type="dxa" w:w="432"/>
          </w:tcPr>
          <w:p>
            <w:pPr>
              <w:spacing w:after="20"/>
            </w:pPr>
            <w:r>
              <w:rPr>
                <w:color w:val="1C3A36"/>
                <w:sz w:val="14"/>
              </w:rPr>
              <w:t>29</w:t>
            </w:r>
          </w:p>
        </w:tc>
        <w:tc>
          <w:tcPr>
            <w:tcW w:type="dxa" w:w="2448"/>
          </w:tcPr>
          <w:p>
            <w:pPr>
              <w:spacing w:after="20"/>
            </w:pPr>
            <w:r>
              <w:rPr>
                <w:color w:val="1C3A36"/>
                <w:sz w:val="14"/>
              </w:rPr>
              <w:t>ta_fy25</w:t>
            </w:r>
          </w:p>
        </w:tc>
        <w:tc>
          <w:tcPr>
            <w:tcW w:type="dxa" w:w="1325"/>
          </w:tcPr>
          <w:p>
            <w:pPr>
              <w:spacing w:after="20"/>
            </w:pPr>
            <w:r>
              <w:rPr>
                <w:color w:val="1C3A36"/>
                <w:sz w:val="14"/>
              </w:rPr>
              <w:t>8,783.72</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total assets on the latest reported balance sheet</w:t>
            </w:r>
          </w:p>
        </w:tc>
        <w:tc>
          <w:tcPr>
            <w:tcW w:type="dxa" w:w="1210"/>
          </w:tcPr>
          <w:p>
            <w:pPr>
              <w:spacing w:after="20"/>
            </w:pPr>
            <w:r>
              <w:rPr>
                <w:color w:val="1C3A36"/>
                <w:sz w:val="14"/>
              </w:rPr>
              <w:t>2026-03-01</w:t>
            </w:r>
          </w:p>
        </w:tc>
      </w:tr>
      <w:tr>
        <w:tc>
          <w:tcPr>
            <w:tcW w:type="dxa" w:w="432"/>
          </w:tcPr>
          <w:p>
            <w:pPr>
              <w:spacing w:after="20"/>
            </w:pPr>
            <w:r>
              <w:rPr>
                <w:color w:val="1C3A36"/>
                <w:sz w:val="14"/>
              </w:rPr>
              <w:t>30</w:t>
            </w:r>
          </w:p>
        </w:tc>
        <w:tc>
          <w:tcPr>
            <w:tcW w:type="dxa" w:w="2448"/>
          </w:tcPr>
          <w:p>
            <w:pPr>
              <w:spacing w:after="20"/>
            </w:pPr>
            <w:r>
              <w:rPr>
                <w:color w:val="1C3A36"/>
                <w:sz w:val="14"/>
              </w:rPr>
              <w:t>tl_alt</w:t>
            </w:r>
          </w:p>
        </w:tc>
        <w:tc>
          <w:tcPr>
            <w:tcW w:type="dxa" w:w="1325"/>
          </w:tcPr>
          <w:p>
            <w:pPr>
              <w:spacing w:after="20"/>
            </w:pPr>
            <w:r>
              <w:rPr>
                <w:color w:val="1C3A36"/>
                <w:sz w:val="14"/>
              </w:rPr>
              <w:t>2,894.13</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the alternative total-liabilities print. Carried only so the reader can see the size of the disagreement</w:t>
            </w:r>
          </w:p>
        </w:tc>
        <w:tc>
          <w:tcPr>
            <w:tcW w:type="dxa" w:w="1210"/>
          </w:tcPr>
          <w:p>
            <w:pPr>
              <w:spacing w:after="20"/>
            </w:pPr>
            <w:r>
              <w:rPr>
                <w:color w:val="1C3A36"/>
                <w:sz w:val="14"/>
              </w:rPr>
              <w:t>2026-03-01</w:t>
            </w:r>
          </w:p>
        </w:tc>
      </w:tr>
      <w:tr>
        <w:tc>
          <w:tcPr>
            <w:tcW w:type="dxa" w:w="432"/>
          </w:tcPr>
          <w:p>
            <w:pPr>
              <w:spacing w:after="20"/>
            </w:pPr>
            <w:r>
              <w:rPr>
                <w:color w:val="1C3A36"/>
                <w:sz w:val="14"/>
              </w:rPr>
              <w:t>31</w:t>
            </w:r>
          </w:p>
        </w:tc>
        <w:tc>
          <w:tcPr>
            <w:tcW w:type="dxa" w:w="2448"/>
          </w:tcPr>
          <w:p>
            <w:pPr>
              <w:spacing w:after="20"/>
            </w:pPr>
            <w:r>
              <w:rPr>
                <w:color w:val="1C3A36"/>
                <w:sz w:val="14"/>
              </w:rPr>
              <w:t>bagged_share</w:t>
            </w:r>
          </w:p>
        </w:tc>
        <w:tc>
          <w:tcPr>
            <w:tcW w:type="dxa" w:w="1325"/>
          </w:tcPr>
          <w:p>
            <w:pPr>
              <w:spacing w:after="20"/>
            </w:pPr>
            <w:r>
              <w:rPr>
                <w:color w:val="1C3A36"/>
                <w:sz w:val="14"/>
              </w:rPr>
              <w:t>0.7</w:t>
            </w:r>
          </w:p>
        </w:tc>
        <w:tc>
          <w:tcPr>
            <w:tcW w:type="dxa" w:w="1066"/>
          </w:tcPr>
          <w:p>
            <w:pPr>
              <w:spacing w:after="20"/>
            </w:pPr>
            <w:r>
              <w:rPr>
                <w:color w:val="1C3A36"/>
                <w:sz w:val="14"/>
              </w:rPr>
              <w:t>Industry</w:t>
            </w:r>
          </w:p>
        </w:tc>
        <w:tc>
          <w:tcPr>
            <w:tcW w:type="dxa" w:w="7171"/>
          </w:tcPr>
          <w:p>
            <w:pPr>
              <w:spacing w:after="20"/>
            </w:pPr>
            <w:r>
              <w:rPr>
                <w:color w:val="1C3A36"/>
                <w:sz w:val="14"/>
              </w:rPr>
              <w:t>Bagged share of Egyptian despatches</w:t>
            </w:r>
          </w:p>
        </w:tc>
        <w:tc>
          <w:tcPr>
            <w:tcW w:type="dxa" w:w="1210"/>
          </w:tcPr>
          <w:p>
            <w:pPr>
              <w:spacing w:after="20"/>
            </w:pPr>
            <w:r>
              <w:rPr>
                <w:color w:val="1C3A36"/>
                <w:sz w:val="14"/>
              </w:rPr>
              <w:t>2026-08-06</w:t>
            </w:r>
          </w:p>
        </w:tc>
      </w:tr>
      <w:tr>
        <w:tc>
          <w:tcPr>
            <w:tcW w:type="dxa" w:w="432"/>
          </w:tcPr>
          <w:p>
            <w:pPr>
              <w:spacing w:after="20"/>
            </w:pPr>
            <w:r>
              <w:rPr>
                <w:color w:val="1C3A36"/>
                <w:sz w:val="14"/>
              </w:rPr>
              <w:t>32</w:t>
            </w:r>
          </w:p>
        </w:tc>
        <w:tc>
          <w:tcPr>
            <w:tcW w:type="dxa" w:w="2448"/>
          </w:tcPr>
          <w:p>
            <w:pPr>
              <w:spacing w:after="20"/>
            </w:pPr>
            <w:r>
              <w:rPr>
                <w:color w:val="1C3A36"/>
                <w:sz w:val="14"/>
              </w:rPr>
              <w:t>capex_usd_t_cap</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171"/>
          </w:tcPr>
          <w:p>
            <w:pPr>
              <w:spacing w:after="20"/>
            </w:pPr>
            <w:r>
              <w:rPr>
                <w:color w:val="1C3A36"/>
                <w:sz w:val="14"/>
              </w:rPr>
              <w:t>Maintenance capital expenditure in US dollars per tonne of installed capacity. Set at the ECONOMIC level rather than at book depreciation: a historic-cost asset base in a currency that has devalued several times understates what it actually costs to keep a plant running, and charging book depreciation as capex would flatter free cash flow by construction. This is deliberately conservative</w:t>
            </w:r>
          </w:p>
        </w:tc>
        <w:tc>
          <w:tcPr>
            <w:tcW w:type="dxa" w:w="1210"/>
          </w:tcPr>
          <w:p>
            <w:pPr>
              <w:spacing w:after="20"/>
            </w:pPr>
            <w:r>
              <w:rPr>
                <w:color w:val="1C3A36"/>
                <w:sz w:val="14"/>
              </w:rPr>
              <w:t>2026-08-06</w:t>
            </w:r>
          </w:p>
        </w:tc>
      </w:tr>
      <w:tr>
        <w:tc>
          <w:tcPr>
            <w:tcW w:type="dxa" w:w="432"/>
          </w:tcPr>
          <w:p>
            <w:pPr>
              <w:spacing w:after="20"/>
            </w:pPr>
            <w:r>
              <w:rPr>
                <w:color w:val="1C3A36"/>
                <w:sz w:val="14"/>
              </w:rPr>
              <w:t>33</w:t>
            </w:r>
          </w:p>
        </w:tc>
        <w:tc>
          <w:tcPr>
            <w:tcW w:type="dxa" w:w="2448"/>
          </w:tcPr>
          <w:p>
            <w:pPr>
              <w:spacing w:after="20"/>
            </w:pPr>
            <w:r>
              <w:rPr>
                <w:color w:val="1C3A36"/>
                <w:sz w:val="14"/>
              </w:rPr>
              <w:t>dna_peer_egp_t</w:t>
            </w:r>
          </w:p>
        </w:tc>
        <w:tc>
          <w:tcPr>
            <w:tcW w:type="dxa" w:w="1325"/>
          </w:tcPr>
          <w:p>
            <w:pPr>
              <w:spacing w:after="20"/>
            </w:pPr>
            <w:r>
              <w:rPr>
                <w:color w:val="1C3A36"/>
                <w:sz w:val="14"/>
              </w:rPr>
              <w:t>155</w:t>
            </w:r>
          </w:p>
        </w:tc>
        <w:tc>
          <w:tcPr>
            <w:tcW w:type="dxa" w:w="1066"/>
          </w:tcPr>
          <w:p>
            <w:pPr>
              <w:spacing w:after="20"/>
            </w:pPr>
            <w:r>
              <w:rPr>
                <w:color w:val="1C3A36"/>
                <w:sz w:val="14"/>
              </w:rPr>
              <w:t>Industry</w:t>
            </w:r>
          </w:p>
        </w:tc>
        <w:tc>
          <w:tcPr>
            <w:tcW w:type="dxa" w:w="7171"/>
          </w:tcPr>
          <w:p>
            <w:pPr>
              <w:spacing w:after="20"/>
            </w:pPr>
            <w:r>
              <w:rPr>
                <w:color w:val="1C3A36"/>
                <w:sz w:val="14"/>
              </w:rPr>
              <w:t>Peer depreciation per tonne of despatch — the disclosed FY2025 charge of a listed Egyptian cement comparator over its despatched volume. The second leg of the depreciation triangulation</w:t>
            </w:r>
          </w:p>
        </w:tc>
        <w:tc>
          <w:tcPr>
            <w:tcW w:type="dxa" w:w="1210"/>
          </w:tcPr>
          <w:p>
            <w:pPr>
              <w:spacing w:after="20"/>
            </w:pPr>
            <w:r>
              <w:rPr>
                <w:color w:val="1C3A36"/>
                <w:sz w:val="14"/>
              </w:rPr>
              <w:t>2026-08-06</w:t>
            </w:r>
          </w:p>
        </w:tc>
      </w:tr>
      <w:tr>
        <w:tc>
          <w:tcPr>
            <w:tcW w:type="dxa" w:w="432"/>
          </w:tcPr>
          <w:p>
            <w:pPr>
              <w:spacing w:after="20"/>
            </w:pPr>
            <w:r>
              <w:rPr>
                <w:color w:val="1C3A36"/>
                <w:sz w:val="14"/>
              </w:rPr>
              <w:t>34</w:t>
            </w:r>
          </w:p>
        </w:tc>
        <w:tc>
          <w:tcPr>
            <w:tcW w:type="dxa" w:w="2448"/>
          </w:tcPr>
          <w:p>
            <w:pPr>
              <w:spacing w:after="20"/>
            </w:pPr>
            <w:r>
              <w:rPr>
                <w:color w:val="1C3A36"/>
                <w:sz w:val="14"/>
              </w:rPr>
              <w:t>domestic_share</w:t>
            </w:r>
          </w:p>
        </w:tc>
        <w:tc>
          <w:tcPr>
            <w:tcW w:type="dxa" w:w="1325"/>
          </w:tcPr>
          <w:p>
            <w:pPr>
              <w:spacing w:after="20"/>
            </w:pPr>
            <w:r>
              <w:rPr>
                <w:color w:val="1C3A36"/>
                <w:sz w:val="14"/>
              </w:rPr>
              <w:t>0.88, 0.88, 0.87, 0.86, 0.85, 0.84</w:t>
            </w:r>
          </w:p>
        </w:tc>
        <w:tc>
          <w:tcPr>
            <w:tcW w:type="dxa" w:w="1066"/>
          </w:tcPr>
          <w:p>
            <w:pPr>
              <w:spacing w:after="20"/>
            </w:pPr>
            <w:r>
              <w:rPr>
                <w:color w:val="1C3A36"/>
                <w:sz w:val="14"/>
              </w:rPr>
              <w:t>Industry</w:t>
            </w:r>
          </w:p>
        </w:tc>
        <w:tc>
          <w:tcPr>
            <w:tcW w:type="dxa" w:w="7171"/>
          </w:tcPr>
          <w:p>
            <w:pPr>
              <w:spacing w:after="20"/>
            </w:pPr>
            <w:r>
              <w:rPr>
                <w:color w:val="1C3A36"/>
                <w:sz w:val="14"/>
              </w:rPr>
              <w:t>Domestic share of despatches. Drifts down as export capacity competes for the same tonnes, within the 30% statutory export cap</w:t>
            </w:r>
          </w:p>
        </w:tc>
        <w:tc>
          <w:tcPr>
            <w:tcW w:type="dxa" w:w="1210"/>
          </w:tcPr>
          <w:p>
            <w:pPr>
              <w:spacing w:after="20"/>
            </w:pPr>
            <w:r>
              <w:rPr>
                <w:color w:val="1C3A36"/>
                <w:sz w:val="14"/>
              </w:rPr>
              <w:t>2026-01-01</w:t>
            </w:r>
          </w:p>
        </w:tc>
      </w:tr>
      <w:tr>
        <w:tc>
          <w:tcPr>
            <w:tcW w:type="dxa" w:w="432"/>
          </w:tcPr>
          <w:p>
            <w:pPr>
              <w:spacing w:after="20"/>
            </w:pPr>
            <w:r>
              <w:rPr>
                <w:color w:val="1C3A36"/>
                <w:sz w:val="14"/>
              </w:rPr>
              <w:t>35</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36</w:t>
            </w:r>
          </w:p>
        </w:tc>
        <w:tc>
          <w:tcPr>
            <w:tcW w:type="dxa" w:w="2448"/>
          </w:tcPr>
          <w:p>
            <w:pPr>
              <w:spacing w:after="20"/>
            </w:pPr>
            <w:r>
              <w:rPr>
                <w:color w:val="1C3A36"/>
                <w:sz w:val="14"/>
              </w:rPr>
              <w:t>egy_cons_mt</w:t>
            </w:r>
          </w:p>
        </w:tc>
        <w:tc>
          <w:tcPr>
            <w:tcW w:type="dxa" w:w="1325"/>
          </w:tcPr>
          <w:p>
            <w:pPr>
              <w:spacing w:after="20"/>
            </w:pPr>
            <w:r>
              <w:rPr>
                <w:color w:val="1C3A36"/>
                <w:sz w:val="14"/>
              </w:rPr>
              <w:t>54</w:t>
            </w:r>
          </w:p>
        </w:tc>
        <w:tc>
          <w:tcPr>
            <w:tcW w:type="dxa" w:w="1066"/>
          </w:tcPr>
          <w:p>
            <w:pPr>
              <w:spacing w:after="20"/>
            </w:pPr>
            <w:r>
              <w:rPr>
                <w:color w:val="1C3A36"/>
                <w:sz w:val="14"/>
              </w:rPr>
              <w:t>Industry</w:t>
            </w:r>
          </w:p>
        </w:tc>
        <w:tc>
          <w:tcPr>
            <w:tcW w:type="dxa" w:w="7171"/>
          </w:tcPr>
          <w:p>
            <w:pPr>
              <w:spacing w:after="20"/>
            </w:pPr>
            <w:r>
              <w:rPr>
                <w:color w:val="1C3A36"/>
                <w:sz w:val="14"/>
              </w:rPr>
              <w:t>Egyptian domestic cement consumption 2025</w:t>
            </w:r>
          </w:p>
        </w:tc>
        <w:tc>
          <w:tcPr>
            <w:tcW w:type="dxa" w:w="1210"/>
          </w:tcPr>
          <w:p>
            <w:pPr>
              <w:spacing w:after="20"/>
            </w:pPr>
            <w:r>
              <w:rPr>
                <w:color w:val="1C3A36"/>
                <w:sz w:val="14"/>
              </w:rPr>
              <w:t>2025-10-01</w:t>
            </w:r>
          </w:p>
        </w:tc>
      </w:tr>
      <w:tr>
        <w:tc>
          <w:tcPr>
            <w:tcW w:type="dxa" w:w="432"/>
          </w:tcPr>
          <w:p>
            <w:pPr>
              <w:spacing w:after="20"/>
            </w:pPr>
            <w:r>
              <w:rPr>
                <w:color w:val="1C3A36"/>
                <w:sz w:val="14"/>
              </w:rPr>
              <w:t>37</w:t>
            </w:r>
          </w:p>
        </w:tc>
        <w:tc>
          <w:tcPr>
            <w:tcW w:type="dxa" w:w="2448"/>
          </w:tcPr>
          <w:p>
            <w:pPr>
              <w:spacing w:after="20"/>
            </w:pPr>
            <w:r>
              <w:rPr>
                <w:color w:val="1C3A36"/>
                <w:sz w:val="14"/>
              </w:rPr>
              <w:t>egy_exports_mt</w:t>
            </w:r>
          </w:p>
        </w:tc>
        <w:tc>
          <w:tcPr>
            <w:tcW w:type="dxa" w:w="1325"/>
          </w:tcPr>
          <w:p>
            <w:pPr>
              <w:spacing w:after="20"/>
            </w:pPr>
            <w:r>
              <w:rPr>
                <w:color w:val="1C3A36"/>
                <w:sz w:val="14"/>
              </w:rPr>
              <w:t>18.5</w:t>
            </w:r>
          </w:p>
        </w:tc>
        <w:tc>
          <w:tcPr>
            <w:tcW w:type="dxa" w:w="1066"/>
          </w:tcPr>
          <w:p>
            <w:pPr>
              <w:spacing w:after="20"/>
            </w:pPr>
            <w:r>
              <w:rPr>
                <w:color w:val="1C3A36"/>
                <w:sz w:val="14"/>
              </w:rPr>
              <w:t>Industry</w:t>
            </w:r>
          </w:p>
        </w:tc>
        <w:tc>
          <w:tcPr>
            <w:tcW w:type="dxa" w:w="7171"/>
          </w:tcPr>
          <w:p>
            <w:pPr>
              <w:spacing w:after="20"/>
            </w:pPr>
            <w:r>
              <w:rPr>
                <w:color w:val="1C3A36"/>
                <w:sz w:val="14"/>
              </w:rPr>
              <w:t>Egyptian cement and clinker exports 2025</w:t>
            </w:r>
          </w:p>
        </w:tc>
        <w:tc>
          <w:tcPr>
            <w:tcW w:type="dxa" w:w="1210"/>
          </w:tcPr>
          <w:p>
            <w:pPr>
              <w:spacing w:after="20"/>
            </w:pPr>
            <w:r>
              <w:rPr>
                <w:color w:val="1C3A36"/>
                <w:sz w:val="14"/>
              </w:rPr>
              <w:t>2026-01-01</w:t>
            </w:r>
          </w:p>
        </w:tc>
      </w:tr>
      <w:tr>
        <w:tc>
          <w:tcPr>
            <w:tcW w:type="dxa" w:w="432"/>
          </w:tcPr>
          <w:p>
            <w:pPr>
              <w:spacing w:after="20"/>
            </w:pPr>
            <w:r>
              <w:rPr>
                <w:color w:val="1C3A36"/>
                <w:sz w:val="14"/>
              </w:rPr>
              <w:t>38</w:t>
            </w:r>
          </w:p>
        </w:tc>
        <w:tc>
          <w:tcPr>
            <w:tcW w:type="dxa" w:w="2448"/>
          </w:tcPr>
          <w:p>
            <w:pPr>
              <w:spacing w:after="20"/>
            </w:pPr>
            <w:r>
              <w:rPr>
                <w:color w:val="1C3A36"/>
                <w:sz w:val="14"/>
              </w:rPr>
              <w:t>egy_prod_mt</w:t>
            </w:r>
          </w:p>
        </w:tc>
        <w:tc>
          <w:tcPr>
            <w:tcW w:type="dxa" w:w="1325"/>
          </w:tcPr>
          <w:p>
            <w:pPr>
              <w:spacing w:after="20"/>
            </w:pPr>
            <w:r>
              <w:rPr>
                <w:color w:val="1C3A36"/>
                <w:sz w:val="14"/>
              </w:rPr>
              <w:t>65</w:t>
            </w:r>
          </w:p>
        </w:tc>
        <w:tc>
          <w:tcPr>
            <w:tcW w:type="dxa" w:w="1066"/>
          </w:tcPr>
          <w:p>
            <w:pPr>
              <w:spacing w:after="20"/>
            </w:pPr>
            <w:r>
              <w:rPr>
                <w:color w:val="1C3A36"/>
                <w:sz w:val="14"/>
              </w:rPr>
              <w:t>Industry</w:t>
            </w:r>
          </w:p>
        </w:tc>
        <w:tc>
          <w:tcPr>
            <w:tcW w:type="dxa" w:w="7171"/>
          </w:tcPr>
          <w:p>
            <w:pPr>
              <w:spacing w:after="20"/>
            </w:pPr>
            <w:r>
              <w:rPr>
                <w:color w:val="1C3A36"/>
                <w:sz w:val="14"/>
              </w:rPr>
              <w:t>Egyptian cement production 2025</w:t>
            </w:r>
          </w:p>
        </w:tc>
        <w:tc>
          <w:tcPr>
            <w:tcW w:type="dxa" w:w="1210"/>
          </w:tcPr>
          <w:p>
            <w:pPr>
              <w:spacing w:after="20"/>
            </w:pPr>
            <w:r>
              <w:rPr>
                <w:color w:val="1C3A36"/>
                <w:sz w:val="14"/>
              </w:rPr>
              <w:t>2026-01-01</w:t>
            </w:r>
          </w:p>
        </w:tc>
      </w:tr>
      <w:tr>
        <w:tc>
          <w:tcPr>
            <w:tcW w:type="dxa" w:w="432"/>
          </w:tcPr>
          <w:p>
            <w:pPr>
              <w:spacing w:after="20"/>
            </w:pPr>
            <w:r>
              <w:rPr>
                <w:color w:val="1C3A36"/>
                <w:sz w:val="14"/>
              </w:rPr>
              <w:t>39</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40</w:t>
            </w:r>
          </w:p>
        </w:tc>
        <w:tc>
          <w:tcPr>
            <w:tcW w:type="dxa" w:w="2448"/>
          </w:tcPr>
          <w:p>
            <w:pPr>
              <w:spacing w:after="20"/>
            </w:pPr>
            <w:r>
              <w:rPr>
                <w:color w:val="1C3A36"/>
                <w:sz w:val="14"/>
              </w:rPr>
              <w:t>fuel_alt_usd_gj</w:t>
            </w:r>
          </w:p>
        </w:tc>
        <w:tc>
          <w:tcPr>
            <w:tcW w:type="dxa" w:w="1325"/>
          </w:tcPr>
          <w:p>
            <w:pPr>
              <w:spacing w:after="20"/>
            </w:pPr>
            <w:r>
              <w:rPr>
                <w:color w:val="1C3A36"/>
                <w:sz w:val="14"/>
              </w:rPr>
              <w:t>1.8</w:t>
            </w:r>
          </w:p>
        </w:tc>
        <w:tc>
          <w:tcPr>
            <w:tcW w:type="dxa" w:w="1066"/>
          </w:tcPr>
          <w:p>
            <w:pPr>
              <w:spacing w:after="20"/>
            </w:pPr>
            <w:r>
              <w:rPr>
                <w:color w:val="1C3A36"/>
                <w:sz w:val="14"/>
              </w:rPr>
              <w:t>Industry</w:t>
            </w:r>
          </w:p>
        </w:tc>
        <w:tc>
          <w:tcPr>
            <w:tcW w:type="dxa" w:w="7171"/>
          </w:tcPr>
          <w:p>
            <w:pPr>
              <w:spacing w:after="20"/>
            </w:pPr>
            <w:r>
              <w:rPr>
                <w:color w:val="1C3A36"/>
                <w:sz w:val="14"/>
              </w:rPr>
              <w:t>Delivered alternative fuel. Refuse-derived fuel and biomass cost materially less per gigajoule than imported petcoke, which is the entire economic point of the substitution programme; set at 45% of the fossil price</w:t>
            </w:r>
          </w:p>
        </w:tc>
        <w:tc>
          <w:tcPr>
            <w:tcW w:type="dxa" w:w="1210"/>
          </w:tcPr>
          <w:p>
            <w:pPr>
              <w:spacing w:after="20"/>
            </w:pPr>
            <w:r>
              <w:rPr>
                <w:color w:val="1C3A36"/>
                <w:sz w:val="14"/>
              </w:rPr>
              <w:t>2026-08-06</w:t>
            </w:r>
          </w:p>
        </w:tc>
      </w:tr>
      <w:tr>
        <w:tc>
          <w:tcPr>
            <w:tcW w:type="dxa" w:w="432"/>
          </w:tcPr>
          <w:p>
            <w:pPr>
              <w:spacing w:after="20"/>
            </w:pPr>
            <w:r>
              <w:rPr>
                <w:color w:val="1C3A36"/>
                <w:sz w:val="14"/>
              </w:rPr>
              <w:t>41</w:t>
            </w:r>
          </w:p>
        </w:tc>
        <w:tc>
          <w:tcPr>
            <w:tcW w:type="dxa" w:w="2448"/>
          </w:tcPr>
          <w:p>
            <w:pPr>
              <w:spacing w:after="20"/>
            </w:pPr>
            <w:r>
              <w:rPr>
                <w:color w:val="1C3A36"/>
                <w:sz w:val="14"/>
              </w:rPr>
              <w:t>fuel_fossil_usd_gj</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171"/>
          </w:tcPr>
          <w:p>
            <w:pPr>
              <w:spacing w:after="20"/>
            </w:pPr>
            <w:r>
              <w:rPr>
                <w:color w:val="1C3A36"/>
                <w:sz w:val="14"/>
              </w:rPr>
              <w:t>Delivered solid fossil fuel, petcoke or coal at roughly USD 128/t and about 32 GJ/t</w:t>
            </w:r>
          </w:p>
        </w:tc>
        <w:tc>
          <w:tcPr>
            <w:tcW w:type="dxa" w:w="1210"/>
          </w:tcPr>
          <w:p>
            <w:pPr>
              <w:spacing w:after="20"/>
            </w:pPr>
            <w:r>
              <w:rPr>
                <w:color w:val="1C3A36"/>
                <w:sz w:val="14"/>
              </w:rPr>
              <w:t>2026-08-06</w:t>
            </w:r>
          </w:p>
        </w:tc>
      </w:tr>
      <w:tr>
        <w:tc>
          <w:tcPr>
            <w:tcW w:type="dxa" w:w="432"/>
          </w:tcPr>
          <w:p>
            <w:pPr>
              <w:spacing w:after="20"/>
            </w:pPr>
            <w:r>
              <w:rPr>
                <w:color w:val="1C3A36"/>
                <w:sz w:val="14"/>
              </w:rPr>
              <w:t>42</w:t>
            </w:r>
          </w:p>
        </w:tc>
        <w:tc>
          <w:tcPr>
            <w:tcW w:type="dxa" w:w="2448"/>
          </w:tcPr>
          <w:p>
            <w:pPr>
              <w:spacing w:after="20"/>
            </w:pPr>
            <w:r>
              <w:rPr>
                <w:color w:val="1C3A36"/>
                <w:sz w:val="14"/>
              </w:rPr>
              <w:t>packaging_egp_t</w:t>
            </w:r>
          </w:p>
        </w:tc>
        <w:tc>
          <w:tcPr>
            <w:tcW w:type="dxa" w:w="1325"/>
          </w:tcPr>
          <w:p>
            <w:pPr>
              <w:spacing w:after="20"/>
            </w:pPr>
            <w:r>
              <w:rPr>
                <w:color w:val="1C3A36"/>
                <w:sz w:val="14"/>
              </w:rPr>
              <w:t>55</w:t>
            </w:r>
          </w:p>
        </w:tc>
        <w:tc>
          <w:tcPr>
            <w:tcW w:type="dxa" w:w="1066"/>
          </w:tcPr>
          <w:p>
            <w:pPr>
              <w:spacing w:after="20"/>
            </w:pPr>
            <w:r>
              <w:rPr>
                <w:color w:val="1C3A36"/>
                <w:sz w:val="14"/>
              </w:rPr>
              <w:t>Industry</w:t>
            </w:r>
          </w:p>
        </w:tc>
        <w:tc>
          <w:tcPr>
            <w:tcW w:type="dxa" w:w="7171"/>
          </w:tcPr>
          <w:p>
            <w:pPr>
              <w:spacing w:after="20"/>
            </w:pPr>
            <w:r>
              <w:rPr>
                <w:color w:val="1C3A36"/>
                <w:sz w:val="14"/>
              </w:rPr>
              <w:t>Bag cost per tonne of bagged cement</w:t>
            </w:r>
          </w:p>
        </w:tc>
        <w:tc>
          <w:tcPr>
            <w:tcW w:type="dxa" w:w="1210"/>
          </w:tcPr>
          <w:p>
            <w:pPr>
              <w:spacing w:after="20"/>
            </w:pPr>
            <w:r>
              <w:rPr>
                <w:color w:val="1C3A36"/>
                <w:sz w:val="14"/>
              </w:rPr>
              <w:t>2026-08-06</w:t>
            </w:r>
          </w:p>
        </w:tc>
      </w:tr>
      <w:tr>
        <w:tc>
          <w:tcPr>
            <w:tcW w:type="dxa" w:w="432"/>
          </w:tcPr>
          <w:p>
            <w:pPr>
              <w:spacing w:after="20"/>
            </w:pPr>
            <w:r>
              <w:rPr>
                <w:color w:val="1C3A36"/>
                <w:sz w:val="14"/>
              </w:rPr>
              <w:t>43</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44</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45</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46</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47</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48</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49</w:t>
            </w:r>
          </w:p>
        </w:tc>
        <w:tc>
          <w:tcPr>
            <w:tcW w:type="dxa" w:w="2448"/>
          </w:tcPr>
          <w:p>
            <w:pPr>
              <w:spacing w:after="20"/>
            </w:pPr>
            <w:r>
              <w:rPr>
                <w:color w:val="1C3A36"/>
                <w:sz w:val="14"/>
              </w:rPr>
              <w:t>power_kwh_t_cement</w:t>
            </w:r>
          </w:p>
        </w:tc>
        <w:tc>
          <w:tcPr>
            <w:tcW w:type="dxa" w:w="1325"/>
          </w:tcPr>
          <w:p>
            <w:pPr>
              <w:spacing w:after="20"/>
            </w:pPr>
            <w:r>
              <w:rPr>
                <w:color w:val="1C3A36"/>
                <w:sz w:val="14"/>
              </w:rPr>
              <w:t>100</w:t>
            </w:r>
          </w:p>
        </w:tc>
        <w:tc>
          <w:tcPr>
            <w:tcW w:type="dxa" w:w="1066"/>
          </w:tcPr>
          <w:p>
            <w:pPr>
              <w:spacing w:after="20"/>
            </w:pPr>
            <w:r>
              <w:rPr>
                <w:color w:val="1C3A36"/>
                <w:sz w:val="14"/>
              </w:rPr>
              <w:t>Industry</w:t>
            </w:r>
          </w:p>
        </w:tc>
        <w:tc>
          <w:tcPr>
            <w:tcW w:type="dxa" w:w="7171"/>
          </w:tcPr>
          <w:p>
            <w:pPr>
              <w:spacing w:after="20"/>
            </w:pPr>
            <w:r>
              <w:rPr>
                <w:color w:val="1C3A36"/>
                <w:sz w:val="14"/>
              </w:rPr>
              <w:t>Specific electrical energy. Industry band 90-110 kWh per tonne of cement</w:t>
            </w:r>
          </w:p>
        </w:tc>
        <w:tc>
          <w:tcPr>
            <w:tcW w:type="dxa" w:w="1210"/>
          </w:tcPr>
          <w:p>
            <w:pPr>
              <w:spacing w:after="20"/>
            </w:pPr>
            <w:r>
              <w:rPr>
                <w:color w:val="1C3A36"/>
                <w:sz w:val="14"/>
              </w:rPr>
              <w:t>2026-08-06</w:t>
            </w:r>
          </w:p>
        </w:tc>
      </w:tr>
      <w:tr>
        <w:tc>
          <w:tcPr>
            <w:tcW w:type="dxa" w:w="432"/>
          </w:tcPr>
          <w:p>
            <w:pPr>
              <w:spacing w:after="20"/>
            </w:pPr>
            <w:r>
              <w:rPr>
                <w:color w:val="1C3A36"/>
                <w:sz w:val="14"/>
              </w:rPr>
              <w:t>50</w:t>
            </w:r>
          </w:p>
        </w:tc>
        <w:tc>
          <w:tcPr>
            <w:tcW w:type="dxa" w:w="2448"/>
          </w:tcPr>
          <w:p>
            <w:pPr>
              <w:spacing w:after="20"/>
            </w:pPr>
            <w:r>
              <w:rPr>
                <w:color w:val="1C3A36"/>
                <w:sz w:val="14"/>
              </w:rPr>
              <w:t>price_dom_egp_t</w:t>
            </w:r>
          </w:p>
        </w:tc>
        <w:tc>
          <w:tcPr>
            <w:tcW w:type="dxa" w:w="1325"/>
          </w:tcPr>
          <w:p>
            <w:pPr>
              <w:spacing w:after="20"/>
            </w:pPr>
            <w:r>
              <w:rPr>
                <w:color w:val="1C3A36"/>
                <w:sz w:val="14"/>
              </w:rPr>
              <w:t>3,512, 3,600, 3,780, 3,950, 4,128, 4,293</w:t>
            </w:r>
          </w:p>
        </w:tc>
        <w:tc>
          <w:tcPr>
            <w:tcW w:type="dxa" w:w="1066"/>
          </w:tcPr>
          <w:p>
            <w:pPr>
              <w:spacing w:after="20"/>
            </w:pPr>
            <w:r>
              <w:rPr>
                <w:color w:val="1C3A36"/>
                <w:sz w:val="14"/>
              </w:rPr>
              <w:t>Industry</w:t>
            </w:r>
          </w:p>
        </w:tc>
        <w:tc>
          <w:tcPr>
            <w:tcW w:type="dxa" w:w="7171"/>
          </w:tcPr>
          <w:p>
            <w:pPr>
              <w:spacing w:after="20"/>
            </w:pPr>
            <w:r>
              <w:rPr>
                <w:color w:val="1C3A36"/>
                <w:sz w:val="14"/>
              </w:rPr>
              <w:t>Domestic realised price ex-works. The FY2025 figure is the level the DISCLOSED revenue implies given the volume build and the export split — it is a reconciliation, not an assumption. FY2026 is set at the EGP 3,600/t level the industry expects for 2026, and the path then grows at 4.0-5.0% a year, DELIBERATELY BELOW the assumed cost inflation, because the same decision that freed volume also removed the mechanism supporting price</w:t>
            </w:r>
          </w:p>
        </w:tc>
        <w:tc>
          <w:tcPr>
            <w:tcW w:type="dxa" w:w="1210"/>
          </w:tcPr>
          <w:p>
            <w:pPr>
              <w:spacing w:after="20"/>
            </w:pPr>
            <w:r>
              <w:rPr>
                <w:color w:val="1C3A36"/>
                <w:sz w:val="14"/>
              </w:rPr>
              <w:t>2026-01-15</w:t>
            </w:r>
          </w:p>
        </w:tc>
      </w:tr>
      <w:tr>
        <w:tc>
          <w:tcPr>
            <w:tcW w:type="dxa" w:w="432"/>
          </w:tcPr>
          <w:p>
            <w:pPr>
              <w:spacing w:after="20"/>
            </w:pPr>
            <w:r>
              <w:rPr>
                <w:color w:val="1C3A36"/>
                <w:sz w:val="14"/>
              </w:rPr>
              <w:t>51</w:t>
            </w:r>
          </w:p>
        </w:tc>
        <w:tc>
          <w:tcPr>
            <w:tcW w:type="dxa" w:w="2448"/>
          </w:tcPr>
          <w:p>
            <w:pPr>
              <w:spacing w:after="20"/>
            </w:pPr>
            <w:r>
              <w:rPr>
                <w:color w:val="1C3A36"/>
                <w:sz w:val="14"/>
              </w:rPr>
              <w:t>price_exp_usd_t</w:t>
            </w:r>
          </w:p>
        </w:tc>
        <w:tc>
          <w:tcPr>
            <w:tcW w:type="dxa" w:w="1325"/>
          </w:tcPr>
          <w:p>
            <w:pPr>
              <w:spacing w:after="20"/>
            </w:pPr>
            <w:r>
              <w:rPr>
                <w:color w:val="1C3A36"/>
                <w:sz w:val="14"/>
              </w:rPr>
              <w:t>62, 60, 58.5, 57.5, 56.5, 55.5</w:t>
            </w:r>
          </w:p>
        </w:tc>
        <w:tc>
          <w:tcPr>
            <w:tcW w:type="dxa" w:w="1066"/>
          </w:tcPr>
          <w:p>
            <w:pPr>
              <w:spacing w:after="20"/>
            </w:pPr>
            <w:r>
              <w:rPr>
                <w:color w:val="1C3A36"/>
                <w:sz w:val="14"/>
              </w:rPr>
              <w:t>Industry</w:t>
            </w:r>
          </w:p>
        </w:tc>
        <w:tc>
          <w:tcPr>
            <w:tcW w:type="dxa" w:w="7171"/>
          </w:tcPr>
          <w:p>
            <w:pPr>
              <w:spacing w:after="20"/>
            </w:pPr>
            <w:r>
              <w:rPr>
                <w:color w:val="1C3A36"/>
                <w:sz w:val="14"/>
              </w:rPr>
              <w:t>Export price free on board, US dollars per tonne. Declining because the EU carbon border mechanism raises the landed cost of Egyptian cement in Europe; the decline is set shallower than a high-clinker peer would face, because this producer's alternative-fuel and low-clinker position is worth an estimated EUR 5.4/t of relief</w:t>
            </w:r>
          </w:p>
        </w:tc>
        <w:tc>
          <w:tcPr>
            <w:tcW w:type="dxa" w:w="1210"/>
          </w:tcPr>
          <w:p>
            <w:pPr>
              <w:spacing w:after="20"/>
            </w:pPr>
            <w:r>
              <w:rPr>
                <w:color w:val="1C3A36"/>
                <w:sz w:val="14"/>
              </w:rPr>
              <w:t>2026-01-01</w:t>
            </w:r>
          </w:p>
        </w:tc>
      </w:tr>
      <w:tr>
        <w:tc>
          <w:tcPr>
            <w:tcW w:type="dxa" w:w="432"/>
          </w:tcPr>
          <w:p>
            <w:pPr>
              <w:spacing w:after="20"/>
            </w:pPr>
            <w:r>
              <w:rPr>
                <w:color w:val="1C3A36"/>
                <w:sz w:val="14"/>
              </w:rPr>
              <w:t>52</w:t>
            </w:r>
          </w:p>
        </w:tc>
        <w:tc>
          <w:tcPr>
            <w:tcW w:type="dxa" w:w="2448"/>
          </w:tcPr>
          <w:p>
            <w:pPr>
              <w:spacing w:after="20"/>
            </w:pPr>
            <w:r>
              <w:rPr>
                <w:color w:val="1C3A36"/>
                <w:sz w:val="14"/>
              </w:rPr>
              <w:t>rawmat_egp_t</w:t>
            </w:r>
          </w:p>
        </w:tc>
        <w:tc>
          <w:tcPr>
            <w:tcW w:type="dxa" w:w="1325"/>
          </w:tcPr>
          <w:p>
            <w:pPr>
              <w:spacing w:after="20"/>
            </w:pPr>
            <w:r>
              <w:rPr>
                <w:color w:val="1C3A36"/>
                <w:sz w:val="14"/>
              </w:rPr>
              <w:t>195</w:t>
            </w:r>
          </w:p>
        </w:tc>
        <w:tc>
          <w:tcPr>
            <w:tcW w:type="dxa" w:w="1066"/>
          </w:tcPr>
          <w:p>
            <w:pPr>
              <w:spacing w:after="20"/>
            </w:pPr>
            <w:r>
              <w:rPr>
                <w:color w:val="1C3A36"/>
                <w:sz w:val="14"/>
              </w:rPr>
              <w:t>Industry</w:t>
            </w:r>
          </w:p>
        </w:tc>
        <w:tc>
          <w:tcPr>
            <w:tcW w:type="dxa" w:w="7171"/>
          </w:tcPr>
          <w:p>
            <w:pPr>
              <w:spacing w:after="20"/>
            </w:pPr>
            <w:r>
              <w:rPr>
                <w:color w:val="1C3A36"/>
                <w:sz w:val="14"/>
              </w:rPr>
              <w:t>Quarrying, raw meal and additives per tonne of cement</w:t>
            </w:r>
          </w:p>
        </w:tc>
        <w:tc>
          <w:tcPr>
            <w:tcW w:type="dxa" w:w="1210"/>
          </w:tcPr>
          <w:p>
            <w:pPr>
              <w:spacing w:after="20"/>
            </w:pPr>
            <w:r>
              <w:rPr>
                <w:color w:val="1C3A36"/>
                <w:sz w:val="14"/>
              </w:rPr>
              <w:t>2026-08-06</w:t>
            </w:r>
          </w:p>
        </w:tc>
      </w:tr>
      <w:tr>
        <w:tc>
          <w:tcPr>
            <w:tcW w:type="dxa" w:w="432"/>
          </w:tcPr>
          <w:p>
            <w:pPr>
              <w:spacing w:after="20"/>
            </w:pPr>
            <w:r>
              <w:rPr>
                <w:color w:val="1C3A36"/>
                <w:sz w:val="14"/>
              </w:rPr>
              <w:t>53</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54</w:t>
            </w:r>
          </w:p>
        </w:tc>
        <w:tc>
          <w:tcPr>
            <w:tcW w:type="dxa" w:w="2448"/>
          </w:tcPr>
          <w:p>
            <w:pPr>
              <w:spacing w:after="20"/>
            </w:pPr>
            <w:r>
              <w:rPr>
                <w:color w:val="1C3A36"/>
                <w:sz w:val="14"/>
              </w:rPr>
              <w:t>thermal_gj_t_clinker</w:t>
            </w:r>
          </w:p>
        </w:tc>
        <w:tc>
          <w:tcPr>
            <w:tcW w:type="dxa" w:w="1325"/>
          </w:tcPr>
          <w:p>
            <w:pPr>
              <w:spacing w:after="20"/>
            </w:pPr>
            <w:r>
              <w:rPr>
                <w:color w:val="1C3A36"/>
                <w:sz w:val="14"/>
              </w:rPr>
              <w:t>3.3</w:t>
            </w:r>
          </w:p>
        </w:tc>
        <w:tc>
          <w:tcPr>
            <w:tcW w:type="dxa" w:w="1066"/>
          </w:tcPr>
          <w:p>
            <w:pPr>
              <w:spacing w:after="20"/>
            </w:pPr>
            <w:r>
              <w:rPr>
                <w:color w:val="1C3A36"/>
                <w:sz w:val="14"/>
              </w:rPr>
              <w:t>Industry</w:t>
            </w:r>
          </w:p>
        </w:tc>
        <w:tc>
          <w:tcPr>
            <w:tcW w:type="dxa" w:w="7171"/>
          </w:tcPr>
          <w:p>
            <w:pPr>
              <w:spacing w:after="20"/>
            </w:pPr>
            <w:r>
              <w:rPr>
                <w:color w:val="1C3A36"/>
                <w:sz w:val="14"/>
              </w:rPr>
              <w:t>Specific thermal energy. Industry band 3.2-3.6 GJ per tonne of clinker for a dry preheater/precalciner kiln; set at the efficient end for a 2010-vintage plant</w:t>
            </w:r>
          </w:p>
        </w:tc>
        <w:tc>
          <w:tcPr>
            <w:tcW w:type="dxa" w:w="1210"/>
          </w:tcPr>
          <w:p>
            <w:pPr>
              <w:spacing w:after="20"/>
            </w:pPr>
            <w:r>
              <w:rPr>
                <w:color w:val="1C3A36"/>
                <w:sz w:val="14"/>
              </w:rPr>
              <w:t>2026-08-06</w:t>
            </w:r>
          </w:p>
        </w:tc>
      </w:tr>
      <w:tr>
        <w:tc>
          <w:tcPr>
            <w:tcW w:type="dxa" w:w="432"/>
          </w:tcPr>
          <w:p>
            <w:pPr>
              <w:spacing w:after="20"/>
            </w:pPr>
            <w:r>
              <w:rPr>
                <w:color w:val="1C3A36"/>
                <w:sz w:val="14"/>
              </w:rPr>
              <w:t>55</w:t>
            </w:r>
          </w:p>
        </w:tc>
        <w:tc>
          <w:tcPr>
            <w:tcW w:type="dxa" w:w="2448"/>
          </w:tcPr>
          <w:p>
            <w:pPr>
              <w:spacing w:after="20"/>
            </w:pPr>
            <w:r>
              <w:rPr>
                <w:color w:val="1C3A36"/>
                <w:sz w:val="14"/>
              </w:rPr>
              <w:t>cost_infl</w:t>
            </w:r>
          </w:p>
        </w:tc>
        <w:tc>
          <w:tcPr>
            <w:tcW w:type="dxa" w:w="1325"/>
          </w:tcPr>
          <w:p>
            <w:pPr>
              <w:spacing w:after="20"/>
            </w:pPr>
            <w:r>
              <w:rPr>
                <w:color w:val="1C3A36"/>
                <w:sz w:val="14"/>
              </w:rPr>
              <w:t>1, 1.115, 1.226, 1.336, 1.443, 1.544</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on the pound-denominated cost lines, from the FY2025 base. Steps of 11.5%, 10.0%, 9.0%, 8.0% and 7.0% track the disinflation path the central bank's own reporting describes</w:t>
            </w:r>
          </w:p>
        </w:tc>
        <w:tc>
          <w:tcPr>
            <w:tcW w:type="dxa" w:w="1210"/>
          </w:tcPr>
          <w:p>
            <w:pPr>
              <w:spacing w:after="20"/>
            </w:pPr>
            <w:r>
              <w:rPr>
                <w:color w:val="1C3A36"/>
                <w:sz w:val="14"/>
              </w:rPr>
              <w:t>2026-07-10</w:t>
            </w:r>
          </w:p>
        </w:tc>
      </w:tr>
      <w:tr>
        <w:tc>
          <w:tcPr>
            <w:tcW w:type="dxa" w:w="432"/>
          </w:tcPr>
          <w:p>
            <w:pPr>
              <w:spacing w:after="20"/>
            </w:pPr>
            <w:r>
              <w:rPr>
                <w:color w:val="1C3A36"/>
                <w:sz w:val="14"/>
              </w:rPr>
              <w:t>56</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57</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used in the same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58</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 mature-market 4.23% plus 3.40% scaled by the relative equity/bond volatility ratio</w:t>
            </w:r>
          </w:p>
        </w:tc>
        <w:tc>
          <w:tcPr>
            <w:tcW w:type="dxa" w:w="1210"/>
          </w:tcPr>
          <w:p>
            <w:pPr>
              <w:spacing w:after="20"/>
            </w:pPr>
            <w:r>
              <w:rPr>
                <w:color w:val="1C3A36"/>
                <w:sz w:val="14"/>
              </w:rPr>
              <w:t>2026-01-05</w:t>
            </w:r>
          </w:p>
        </w:tc>
      </w:tr>
      <w:tr>
        <w:tc>
          <w:tcPr>
            <w:tcW w:type="dxa" w:w="432"/>
          </w:tcPr>
          <w:p>
            <w:pPr>
              <w:spacing w:after="20"/>
            </w:pPr>
            <w:r>
              <w:rPr>
                <w:color w:val="1C3A36"/>
                <w:sz w:val="14"/>
              </w:rPr>
              <w:t>59</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60</w:t>
            </w:r>
          </w:p>
        </w:tc>
        <w:tc>
          <w:tcPr>
            <w:tcW w:type="dxa" w:w="2448"/>
          </w:tcPr>
          <w:p>
            <w:pPr>
              <w:spacing w:after="20"/>
            </w:pPr>
            <w:r>
              <w:rPr>
                <w:color w:val="1C3A36"/>
                <w:sz w:val="14"/>
              </w:rPr>
              <w:t>power_tariff</w:t>
            </w:r>
          </w:p>
        </w:tc>
        <w:tc>
          <w:tcPr>
            <w:tcW w:type="dxa" w:w="1325"/>
          </w:tcPr>
          <w:p>
            <w:pPr>
              <w:spacing w:after="20"/>
            </w:pPr>
            <w:r>
              <w:rPr>
                <w:color w:val="1C3A36"/>
                <w:sz w:val="14"/>
              </w:rPr>
              <w:t>2.6</w:t>
            </w:r>
          </w:p>
        </w:tc>
        <w:tc>
          <w:tcPr>
            <w:tcW w:type="dxa" w:w="1066"/>
          </w:tcPr>
          <w:p>
            <w:pPr>
              <w:spacing w:after="20"/>
            </w:pPr>
            <w:r>
              <w:rPr>
                <w:color w:val="1C3A36"/>
                <w:sz w:val="14"/>
              </w:rPr>
              <w:t>Country</w:t>
            </w:r>
          </w:p>
        </w:tc>
        <w:tc>
          <w:tcPr>
            <w:tcW w:type="dxa" w:w="7171"/>
          </w:tcPr>
          <w:p>
            <w:pPr>
              <w:spacing w:after="20"/>
            </w:pPr>
            <w:r>
              <w:rPr>
                <w:color w:val="1C3A36"/>
                <w:sz w:val="14"/>
              </w:rPr>
              <w:t>Egyptian industrial electricity tariff, EGP per kWh, after phased subsidy reform</w:t>
            </w:r>
          </w:p>
        </w:tc>
        <w:tc>
          <w:tcPr>
            <w:tcW w:type="dxa" w:w="1210"/>
          </w:tcPr>
          <w:p>
            <w:pPr>
              <w:spacing w:after="20"/>
            </w:pPr>
            <w:r>
              <w:rPr>
                <w:color w:val="1C3A36"/>
                <w:sz w:val="14"/>
              </w:rPr>
              <w:t>2026-08-06</w:t>
            </w:r>
          </w:p>
        </w:tc>
      </w:tr>
      <w:tr>
        <w:tc>
          <w:tcPr>
            <w:tcW w:type="dxa" w:w="432"/>
          </w:tcPr>
          <w:p>
            <w:pPr>
              <w:spacing w:after="20"/>
            </w:pPr>
            <w:r>
              <w:rPr>
                <w:color w:val="1C3A36"/>
                <w:sz w:val="14"/>
              </w:rPr>
              <w:t>61</w:t>
            </w:r>
          </w:p>
        </w:tc>
        <w:tc>
          <w:tcPr>
            <w:tcW w:type="dxa" w:w="2448"/>
          </w:tcPr>
          <w:p>
            <w:pPr>
              <w:spacing w:after="20"/>
            </w:pPr>
            <w:r>
              <w:rPr>
                <w:color w:val="1C3A36"/>
                <w:sz w:val="14"/>
              </w:rPr>
              <w:t>rf</w:t>
            </w:r>
          </w:p>
        </w:tc>
        <w:tc>
          <w:tcPr>
            <w:tcW w:type="dxa" w:w="1325"/>
          </w:tcPr>
          <w:p>
            <w:pPr>
              <w:spacing w:after="20"/>
            </w:pPr>
            <w:r>
              <w:rPr>
                <w:color w:val="1C3A36"/>
                <w:sz w:val="14"/>
              </w:rPr>
              <w:t>0.2231</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w:t>
            </w:r>
          </w:p>
        </w:tc>
        <w:tc>
          <w:tcPr>
            <w:tcW w:type="dxa" w:w="1210"/>
          </w:tcPr>
          <w:p>
            <w:pPr>
              <w:spacing w:after="20"/>
            </w:pPr>
            <w:r>
              <w:rPr>
                <w:color w:val="1C3A36"/>
                <w:sz w:val="14"/>
              </w:rPr>
              <w:t>2026-07-21</w:t>
            </w:r>
          </w:p>
        </w:tc>
      </w:tr>
      <w:tr>
        <w:tc>
          <w:tcPr>
            <w:tcW w:type="dxa" w:w="432"/>
          </w:tcPr>
          <w:p>
            <w:pPr>
              <w:spacing w:after="20"/>
            </w:pPr>
            <w:r>
              <w:rPr>
                <w:color w:val="1C3A36"/>
                <w:sz w:val="14"/>
              </w:rPr>
              <w:t>62</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that sovereign default risk is charged once and not twice</w:t>
            </w:r>
          </w:p>
        </w:tc>
        <w:tc>
          <w:tcPr>
            <w:tcW w:type="dxa" w:w="1210"/>
          </w:tcPr>
          <w:p>
            <w:pPr>
              <w:spacing w:after="20"/>
            </w:pPr>
            <w:r>
              <w:rPr>
                <w:color w:val="1C3A36"/>
                <w:sz w:val="14"/>
              </w:rPr>
              <w:t>2026-01-05</w:t>
            </w:r>
          </w:p>
        </w:tc>
      </w:tr>
      <w:tr>
        <w:tc>
          <w:tcPr>
            <w:tcW w:type="dxa" w:w="432"/>
          </w:tcPr>
          <w:p>
            <w:pPr>
              <w:spacing w:after="20"/>
            </w:pPr>
            <w:r>
              <w:rPr>
                <w:color w:val="1C3A36"/>
                <w:sz w:val="14"/>
              </w:rPr>
              <w:t>63</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64</w:t>
            </w:r>
          </w:p>
        </w:tc>
        <w:tc>
          <w:tcPr>
            <w:tcW w:type="dxa" w:w="2448"/>
          </w:tcPr>
          <w:p>
            <w:pPr>
              <w:spacing w:after="20"/>
            </w:pPr>
            <w:r>
              <w:rPr>
                <w:color w:val="1C3A36"/>
                <w:sz w:val="14"/>
              </w:rPr>
              <w:t>cash_yield</w:t>
            </w:r>
          </w:p>
        </w:tc>
        <w:tc>
          <w:tcPr>
            <w:tcW w:type="dxa" w:w="1325"/>
          </w:tcPr>
          <w:p>
            <w:pPr>
              <w:spacing w:after="20"/>
            </w:pPr>
            <w:r>
              <w:rPr>
                <w:color w:val="1C3A36"/>
                <w:sz w:val="14"/>
              </w:rPr>
              <w:t>0.185, 0.16, 0.145, 0.135, 0.13</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easing with the policy rate</w:t>
            </w:r>
          </w:p>
        </w:tc>
        <w:tc>
          <w:tcPr>
            <w:tcW w:type="dxa" w:w="1210"/>
          </w:tcPr>
          <w:p>
            <w:pPr>
              <w:spacing w:after="20"/>
            </w:pPr>
            <w:r>
              <w:rPr>
                <w:color w:val="1C3A36"/>
                <w:sz w:val="14"/>
              </w:rPr>
              <w:t>2026-08-06</w:t>
            </w:r>
          </w:p>
        </w:tc>
      </w:tr>
      <w:tr>
        <w:tc>
          <w:tcPr>
            <w:tcW w:type="dxa" w:w="432"/>
          </w:tcPr>
          <w:p>
            <w:pPr>
              <w:spacing w:after="20"/>
            </w:pPr>
            <w:r>
              <w:rPr>
                <w:color w:val="1C3A36"/>
                <w:sz w:val="14"/>
              </w:rPr>
              <w:t>65</w:t>
            </w:r>
          </w:p>
        </w:tc>
        <w:tc>
          <w:tcPr>
            <w:tcW w:type="dxa" w:w="2448"/>
          </w:tcPr>
          <w:p>
            <w:pPr>
              <w:spacing w:after="20"/>
            </w:pPr>
            <w:r>
              <w:rPr>
                <w:color w:val="1C3A36"/>
                <w:sz w:val="14"/>
              </w:rPr>
              <w:t>cash_yield_fy25</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171"/>
          </w:tcPr>
          <w:p>
            <w:pPr>
              <w:spacing w:after="20"/>
            </w:pPr>
            <w:r>
              <w:rPr>
                <w:color w:val="1C3A36"/>
                <w:sz w:val="14"/>
              </w:rPr>
              <w:t>Yield earned on cash through FY2025, against a policy rate held at 19.50% and bank deposit rates above it</w:t>
            </w:r>
          </w:p>
        </w:tc>
        <w:tc>
          <w:tcPr>
            <w:tcW w:type="dxa" w:w="1210"/>
          </w:tcPr>
          <w:p>
            <w:pPr>
              <w:spacing w:after="20"/>
            </w:pPr>
            <w:r>
              <w:rPr>
                <w:color w:val="1C3A36"/>
                <w:sz w:val="14"/>
              </w:rPr>
              <w:t>2026-08-06</w:t>
            </w:r>
          </w:p>
        </w:tc>
      </w:tr>
      <w:tr>
        <w:tc>
          <w:tcPr>
            <w:tcW w:type="dxa" w:w="432"/>
          </w:tcPr>
          <w:p>
            <w:pPr>
              <w:spacing w:after="20"/>
            </w:pPr>
            <w:r>
              <w:rPr>
                <w:color w:val="1C3A36"/>
                <w:sz w:val="14"/>
              </w:rPr>
              <w:t>66</w:t>
            </w:r>
          </w:p>
        </w:tc>
        <w:tc>
          <w:tcPr>
            <w:tcW w:type="dxa" w:w="2448"/>
          </w:tcPr>
          <w:p>
            <w:pPr>
              <w:spacing w:after="20"/>
            </w:pPr>
            <w:r>
              <w:rPr>
                <w:color w:val="1C3A36"/>
                <w:sz w:val="14"/>
              </w:rPr>
              <w:t>dep_rate</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Composite depreciation rate on the net property base. The third leg of the triangulation</w:t>
            </w:r>
          </w:p>
        </w:tc>
        <w:tc>
          <w:tcPr>
            <w:tcW w:type="dxa" w:w="1210"/>
          </w:tcPr>
          <w:p>
            <w:pPr>
              <w:spacing w:after="20"/>
            </w:pPr>
            <w:r>
              <w:rPr>
                <w:color w:val="1C3A36"/>
                <w:sz w:val="14"/>
              </w:rPr>
              <w:t>2026-08-06</w:t>
            </w:r>
          </w:p>
        </w:tc>
      </w:tr>
      <w:tr>
        <w:tc>
          <w:tcPr>
            <w:tcW w:type="dxa" w:w="432"/>
          </w:tcPr>
          <w:p>
            <w:pPr>
              <w:spacing w:after="20"/>
            </w:pPr>
            <w:r>
              <w:rPr>
                <w:color w:val="1C3A36"/>
                <w:sz w:val="14"/>
              </w:rPr>
              <w:t>67</w:t>
            </w:r>
          </w:p>
        </w:tc>
        <w:tc>
          <w:tcPr>
            <w:tcW w:type="dxa" w:w="2448"/>
          </w:tcPr>
          <w:p>
            <w:pPr>
              <w:spacing w:after="20"/>
            </w:pPr>
            <w:r>
              <w:rPr>
                <w:color w:val="1C3A36"/>
                <w:sz w:val="14"/>
              </w:rPr>
              <w:t>distribution_egp_t</w:t>
            </w:r>
          </w:p>
        </w:tc>
        <w:tc>
          <w:tcPr>
            <w:tcW w:type="dxa" w:w="1325"/>
          </w:tcPr>
          <w:p>
            <w:pPr>
              <w:spacing w:after="20"/>
            </w:pPr>
            <w:r>
              <w:rPr>
                <w:color w:val="1C3A36"/>
                <w:sz w:val="14"/>
              </w:rPr>
              <w:t>190</w:t>
            </w:r>
          </w:p>
        </w:tc>
        <w:tc>
          <w:tcPr>
            <w:tcW w:type="dxa" w:w="1066"/>
          </w:tcPr>
          <w:p>
            <w:pPr>
              <w:spacing w:after="20"/>
            </w:pPr>
            <w:r>
              <w:rPr>
                <w:color w:val="1C3A36"/>
                <w:sz w:val="14"/>
              </w:rPr>
              <w:t>House</w:t>
            </w:r>
          </w:p>
        </w:tc>
        <w:tc>
          <w:tcPr>
            <w:tcW w:type="dxa" w:w="7171"/>
          </w:tcPr>
          <w:p>
            <w:pPr>
              <w:spacing w:after="20"/>
            </w:pPr>
            <w:r>
              <w:rPr>
                <w:color w:val="1C3A36"/>
                <w:sz w:val="14"/>
              </w:rPr>
              <w:t>Outbound freight and selling per tonne. Set BELOW a typical Egyptian plant because the works sits on the Suez corridor, close both to the Cairo demand centre and to the port used for exports</w:t>
            </w:r>
          </w:p>
        </w:tc>
        <w:tc>
          <w:tcPr>
            <w:tcW w:type="dxa" w:w="1210"/>
          </w:tcPr>
          <w:p>
            <w:pPr>
              <w:spacing w:after="20"/>
            </w:pPr>
            <w:r>
              <w:rPr>
                <w:color w:val="1C3A36"/>
                <w:sz w:val="14"/>
              </w:rPr>
              <w:t>2026-08-06</w:t>
            </w:r>
          </w:p>
        </w:tc>
      </w:tr>
      <w:tr>
        <w:tc>
          <w:tcPr>
            <w:tcW w:type="dxa" w:w="432"/>
          </w:tcPr>
          <w:p>
            <w:pPr>
              <w:spacing w:after="20"/>
            </w:pPr>
            <w:r>
              <w:rPr>
                <w:color w:val="1C3A36"/>
                <w:sz w:val="14"/>
              </w:rPr>
              <w:t>68</w:t>
            </w:r>
          </w:p>
        </w:tc>
        <w:tc>
          <w:tcPr>
            <w:tcW w:type="dxa" w:w="2448"/>
          </w:tcPr>
          <w:p>
            <w:pPr>
              <w:spacing w:after="20"/>
            </w:pPr>
            <w:r>
              <w:rPr>
                <w:color w:val="1C3A36"/>
                <w:sz w:val="14"/>
              </w:rPr>
              <w:t>dna_pct</w:t>
            </w:r>
          </w:p>
        </w:tc>
        <w:tc>
          <w:tcPr>
            <w:tcW w:type="dxa" w:w="1325"/>
          </w:tcPr>
          <w:p>
            <w:pPr>
              <w:spacing w:after="20"/>
            </w:pPr>
            <w:r>
              <w:rPr>
                <w:color w:val="1C3A36"/>
                <w:sz w:val="14"/>
              </w:rPr>
              <w:t>0.025, 0.028, 0.031, 0.034, 0.036</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far larger depreciable base per tonne than the legacy pre-devaluation book carries</w:t>
            </w:r>
          </w:p>
        </w:tc>
        <w:tc>
          <w:tcPr>
            <w:tcW w:type="dxa" w:w="1210"/>
          </w:tcPr>
          <w:p>
            <w:pPr>
              <w:spacing w:after="20"/>
            </w:pPr>
            <w:r>
              <w:rPr>
                <w:color w:val="1C3A36"/>
                <w:sz w:val="14"/>
              </w:rPr>
              <w:t>2026-08-06</w:t>
            </w:r>
          </w:p>
        </w:tc>
      </w:tr>
      <w:tr>
        <w:tc>
          <w:tcPr>
            <w:tcW w:type="dxa" w:w="432"/>
          </w:tcPr>
          <w:p>
            <w:pPr>
              <w:spacing w:after="20"/>
            </w:pPr>
            <w:r>
              <w:rPr>
                <w:color w:val="1C3A36"/>
                <w:sz w:val="14"/>
              </w:rPr>
              <w:t>69</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 rather than held flat into perpetuity</w:t>
            </w:r>
          </w:p>
        </w:tc>
        <w:tc>
          <w:tcPr>
            <w:tcW w:type="dxa" w:w="1210"/>
          </w:tcPr>
          <w:p>
            <w:pPr>
              <w:spacing w:after="20"/>
            </w:pPr>
            <w:r>
              <w:rPr>
                <w:color w:val="1C3A36"/>
                <w:sz w:val="14"/>
              </w:rPr>
              <w:t>2026-08-06</w:t>
            </w:r>
          </w:p>
        </w:tc>
      </w:tr>
      <w:tr>
        <w:tc>
          <w:tcPr>
            <w:tcW w:type="dxa" w:w="432"/>
          </w:tcPr>
          <w:p>
            <w:pPr>
              <w:spacing w:after="20"/>
            </w:pPr>
            <w:r>
              <w:rPr>
                <w:color w:val="1C3A36"/>
                <w:sz w:val="14"/>
              </w:rPr>
              <w:t>70</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Struck against a thin and internally inconsistent Egyptian peer set and disclosed as WEAKLY ANCHORED, which is why the relative lens carries a low weight</w:t>
            </w:r>
          </w:p>
        </w:tc>
        <w:tc>
          <w:tcPr>
            <w:tcW w:type="dxa" w:w="1210"/>
          </w:tcPr>
          <w:p>
            <w:pPr>
              <w:spacing w:after="20"/>
            </w:pPr>
            <w:r>
              <w:rPr>
                <w:color w:val="1C3A36"/>
                <w:sz w:val="14"/>
              </w:rPr>
              <w:t>2026-08-06</w:t>
            </w:r>
          </w:p>
        </w:tc>
      </w:tr>
      <w:tr>
        <w:tc>
          <w:tcPr>
            <w:tcW w:type="dxa" w:w="432"/>
          </w:tcPr>
          <w:p>
            <w:pPr>
              <w:spacing w:after="20"/>
            </w:pPr>
            <w:r>
              <w:rPr>
                <w:color w:val="1C3A36"/>
                <w:sz w:val="14"/>
              </w:rPr>
              <w:t>71</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of capacity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72</w:t>
            </w:r>
          </w:p>
        </w:tc>
        <w:tc>
          <w:tcPr>
            <w:tcW w:type="dxa" w:w="2448"/>
          </w:tcPr>
          <w:p>
            <w:pPr>
              <w:spacing w:after="20"/>
            </w:pPr>
            <w:r>
              <w:rPr>
                <w:color w:val="1C3A36"/>
                <w:sz w:val="14"/>
              </w:rPr>
              <w:t>fixed_usd_t_capacity</w:t>
            </w:r>
          </w:p>
        </w:tc>
        <w:tc>
          <w:tcPr>
            <w:tcW w:type="dxa" w:w="1325"/>
          </w:tcPr>
          <w:p>
            <w:pPr>
              <w:spacing w:after="20"/>
            </w:pPr>
            <w:r>
              <w:rPr>
                <w:color w:val="1C3A36"/>
                <w:sz w:val="14"/>
              </w:rPr>
              <w:t>15.7583</w:t>
            </w:r>
          </w:p>
        </w:tc>
        <w:tc>
          <w:tcPr>
            <w:tcW w:type="dxa" w:w="1066"/>
          </w:tcPr>
          <w:p>
            <w:pPr>
              <w:spacing w:after="20"/>
            </w:pPr>
            <w:r>
              <w:rPr>
                <w:color w:val="1C3A36"/>
                <w:sz w:val="14"/>
              </w:rPr>
              <w:t>House</w:t>
            </w:r>
          </w:p>
        </w:tc>
        <w:tc>
          <w:tcPr>
            <w:tcW w:type="dxa" w:w="7171"/>
          </w:tcPr>
          <w:p>
            <w:pPr>
              <w:spacing w:after="20"/>
            </w:pPr>
            <w:r>
              <w:rPr>
                <w:color w:val="1C3A36"/>
                <w:sz w:val="14"/>
              </w:rPr>
              <w:t>Fixed cash cost per tonne of INSTALLED capacity, so it does not vanish when volume falls. Industry band USD 10-20. This is the level the FY2025 reconciliation implies against an independently built variable stack — reported as a calibration, not solved away and presented as an observation</w:t>
            </w:r>
          </w:p>
        </w:tc>
        <w:tc>
          <w:tcPr>
            <w:tcW w:type="dxa" w:w="1210"/>
          </w:tcPr>
          <w:p>
            <w:pPr>
              <w:spacing w:after="20"/>
            </w:pPr>
            <w:r>
              <w:rPr>
                <w:color w:val="1C3A36"/>
                <w:sz w:val="14"/>
              </w:rPr>
              <w:t>2026-08-06</w:t>
            </w:r>
          </w:p>
        </w:tc>
      </w:tr>
      <w:tr>
        <w:tc>
          <w:tcPr>
            <w:tcW w:type="dxa" w:w="432"/>
          </w:tcPr>
          <w:p>
            <w:pPr>
              <w:spacing w:after="20"/>
            </w:pPr>
            <w:r>
              <w:rPr>
                <w:color w:val="1C3A36"/>
                <w:sz w:val="14"/>
              </w:rPr>
              <w:t>73</w:t>
            </w:r>
          </w:p>
        </w:tc>
        <w:tc>
          <w:tcPr>
            <w:tcW w:type="dxa" w:w="2448"/>
          </w:tcPr>
          <w:p>
            <w:pPr>
              <w:spacing w:after="20"/>
            </w:pPr>
            <w:r>
              <w:rPr>
                <w:color w:val="1C3A36"/>
                <w:sz w:val="14"/>
              </w:rPr>
              <w:t>fx_path</w:t>
            </w:r>
          </w:p>
        </w:tc>
        <w:tc>
          <w:tcPr>
            <w:tcW w:type="dxa" w:w="1325"/>
          </w:tcPr>
          <w:p>
            <w:pPr>
              <w:spacing w:after="20"/>
            </w:pPr>
            <w:r>
              <w:rPr>
                <w:color w:val="1C3A36"/>
                <w:sz w:val="14"/>
              </w:rPr>
              <w:t>49.3, 50.6, 53.1, 55.8, 58.6, 61.5</w:t>
            </w:r>
          </w:p>
        </w:tc>
        <w:tc>
          <w:tcPr>
            <w:tcW w:type="dxa" w:w="1066"/>
          </w:tcPr>
          <w:p>
            <w:pPr>
              <w:spacing w:after="20"/>
            </w:pPr>
            <w:r>
              <w:rPr>
                <w:color w:val="1C3A36"/>
                <w:sz w:val="14"/>
              </w:rPr>
              <w:t>House</w:t>
            </w:r>
          </w:p>
        </w:tc>
        <w:tc>
          <w:tcPr>
            <w:tcW w:type="dxa" w:w="7171"/>
          </w:tcPr>
          <w:p>
            <w:pPr>
              <w:spacing w:after="20"/>
            </w:pPr>
            <w:r>
              <w:rPr>
                <w:color w:val="1C3A36"/>
                <w:sz w:val="14"/>
              </w:rPr>
              <w:t>USD/EGP path, FY2025 average then FY2026E-FY2030E. Raises the pound cost of imported fuel AND the pound value of export revenue; the two legs partly offset, which is why this is one driver and not two</w:t>
            </w:r>
          </w:p>
        </w:tc>
        <w:tc>
          <w:tcPr>
            <w:tcW w:type="dxa" w:w="1210"/>
          </w:tcPr>
          <w:p>
            <w:pPr>
              <w:spacing w:after="20"/>
            </w:pPr>
            <w:r>
              <w:rPr>
                <w:color w:val="1C3A36"/>
                <w:sz w:val="14"/>
              </w:rPr>
              <w:t>2026-08-06</w:t>
            </w:r>
          </w:p>
        </w:tc>
      </w:tr>
      <w:tr>
        <w:tc>
          <w:tcPr>
            <w:tcW w:type="dxa" w:w="432"/>
          </w:tcPr>
          <w:p>
            <w:pPr>
              <w:spacing w:after="20"/>
            </w:pPr>
            <w:r>
              <w:rPr>
                <w:color w:val="1C3A36"/>
                <w:sz w:val="14"/>
              </w:rPr>
              <w:t>74</w:t>
            </w:r>
          </w:p>
        </w:tc>
        <w:tc>
          <w:tcPr>
            <w:tcW w:type="dxa" w:w="2448"/>
          </w:tcPr>
          <w:p>
            <w:pPr>
              <w:spacing w:after="20"/>
            </w:pPr>
            <w:r>
              <w:rPr>
                <w:color w:val="1C3A36"/>
                <w:sz w:val="14"/>
              </w:rPr>
              <w:t>g_term</w:t>
            </w:r>
          </w:p>
        </w:tc>
        <w:tc>
          <w:tcPr>
            <w:tcW w:type="dxa" w:w="1325"/>
          </w:tcPr>
          <w:p>
            <w:pPr>
              <w:spacing w:after="20"/>
            </w:pPr>
            <w:r>
              <w:rPr>
                <w:color w:val="1C3A36"/>
                <w:sz w:val="14"/>
              </w:rPr>
              <w:t>0.05</w:t>
            </w:r>
          </w:p>
        </w:tc>
        <w:tc>
          <w:tcPr>
            <w:tcW w:type="dxa" w:w="1066"/>
          </w:tcPr>
          <w:p>
            <w:pPr>
              <w:spacing w:after="20"/>
            </w:pPr>
            <w:r>
              <w:rPr>
                <w:color w:val="1C3A36"/>
                <w:sz w:val="14"/>
              </w:rPr>
              <w:t>House</w:t>
            </w:r>
          </w:p>
        </w:tc>
        <w:tc>
          <w:tcPr>
            <w:tcW w:type="dxa" w:w="7171"/>
          </w:tcPr>
          <w:p>
            <w:pPr>
              <w:spacing w:after="20"/>
            </w:pPr>
            <w:r>
              <w:rPr>
                <w:color w:val="1C3A36"/>
                <w:sz w:val="14"/>
              </w:rPr>
              <w:t>Terminal growth. The house default for an established emerging-market industrial once currency turbulence has passed, against a terminal risk-free rate that already embeds disinflation — so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75</w:t>
            </w:r>
          </w:p>
        </w:tc>
        <w:tc>
          <w:tcPr>
            <w:tcW w:type="dxa" w:w="2448"/>
          </w:tcPr>
          <w:p>
            <w:pPr>
              <w:spacing w:after="20"/>
            </w:pPr>
            <w:r>
              <w:rPr>
                <w:color w:val="1C3A36"/>
                <w:sz w:val="14"/>
              </w:rPr>
              <w:t>inv_days</w:t>
            </w:r>
          </w:p>
        </w:tc>
        <w:tc>
          <w:tcPr>
            <w:tcW w:type="dxa" w:w="1325"/>
          </w:tcPr>
          <w:p>
            <w:pPr>
              <w:spacing w:after="20"/>
            </w:pPr>
            <w:r>
              <w:rPr>
                <w:color w:val="1C3A36"/>
                <w:sz w:val="14"/>
              </w:rPr>
              <w:t>60</w:t>
            </w:r>
          </w:p>
        </w:tc>
        <w:tc>
          <w:tcPr>
            <w:tcW w:type="dxa" w:w="1066"/>
          </w:tcPr>
          <w:p>
            <w:pPr>
              <w:spacing w:after="20"/>
            </w:pPr>
            <w:r>
              <w:rPr>
                <w:color w:val="1C3A36"/>
                <w:sz w:val="14"/>
              </w:rPr>
              <w:t>House</w:t>
            </w:r>
          </w:p>
        </w:tc>
        <w:tc>
          <w:tcPr>
            <w:tcW w:type="dxa" w:w="7171"/>
          </w:tcPr>
          <w:p>
            <w:pPr>
              <w:spacing w:after="20"/>
            </w:pPr>
            <w:r>
              <w:rPr>
                <w:color w:val="1C3A36"/>
                <w:sz w:val="14"/>
              </w:rPr>
              <w:t>Inventory days on cost of sales, used only to size the property base in the third leg of the depreciation triangulation</w:t>
            </w:r>
          </w:p>
        </w:tc>
        <w:tc>
          <w:tcPr>
            <w:tcW w:type="dxa" w:w="1210"/>
          </w:tcPr>
          <w:p>
            <w:pPr>
              <w:spacing w:after="20"/>
            </w:pPr>
            <w:r>
              <w:rPr>
                <w:color w:val="1C3A36"/>
                <w:sz w:val="14"/>
              </w:rPr>
              <w:t>2026-08-06</w:t>
            </w:r>
          </w:p>
        </w:tc>
      </w:tr>
      <w:tr>
        <w:tc>
          <w:tcPr>
            <w:tcW w:type="dxa" w:w="432"/>
          </w:tcPr>
          <w:p>
            <w:pPr>
              <w:spacing w:after="20"/>
            </w:pPr>
            <w:r>
              <w:rPr>
                <w:color w:val="1C3A36"/>
                <w:sz w:val="14"/>
              </w:rPr>
              <w:t>76</w:t>
            </w:r>
          </w:p>
        </w:tc>
        <w:tc>
          <w:tcPr>
            <w:tcW w:type="dxa" w:w="2448"/>
          </w:tcPr>
          <w:p>
            <w:pPr>
              <w:spacing w:after="20"/>
            </w:pPr>
            <w:r>
              <w:rPr>
                <w:color w:val="1C3A36"/>
                <w:sz w:val="14"/>
              </w:rPr>
              <w:t>kd</w:t>
            </w:r>
          </w:p>
        </w:tc>
        <w:tc>
          <w:tcPr>
            <w:tcW w:type="dxa" w:w="1325"/>
          </w:tcPr>
          <w:p>
            <w:pPr>
              <w:spacing w:after="20"/>
            </w:pPr>
            <w:r>
              <w:rPr>
                <w:color w:val="1C3A36"/>
                <w:sz w:val="14"/>
              </w:rPr>
              <w:t>0.215</w:t>
            </w:r>
          </w:p>
        </w:tc>
        <w:tc>
          <w:tcPr>
            <w:tcW w:type="dxa" w:w="1066"/>
          </w:tcPr>
          <w:p>
            <w:pPr>
              <w:spacing w:after="20"/>
            </w:pPr>
            <w:r>
              <w:rPr>
                <w:color w:val="1C3A36"/>
                <w:sz w:val="14"/>
              </w:rPr>
              <w:t>House</w:t>
            </w:r>
          </w:p>
        </w:tc>
        <w:tc>
          <w:tcPr>
            <w:tcW w:type="dxa" w:w="7171"/>
          </w:tcPr>
          <w:p>
            <w:pPr>
              <w:spacing w:after="20"/>
            </w:pPr>
            <w:r>
              <w:rPr>
                <w:color w:val="1C3A36"/>
                <w:sz w:val="14"/>
              </w:rPr>
              <w:t>Marginal pre-tax cost of debt. The central bank's main operation rate is 19.50% and Egyptian corporate borrowing prices above it; 21.5% is the level a well-banked industrial pays. See the cost-of-debt integrity section: the company is NET CASH and gross debt is 4.5% of the capital base, so a 700 basis point error in this input moves the blended rate by about 31 basis points</w:t>
            </w:r>
          </w:p>
        </w:tc>
        <w:tc>
          <w:tcPr>
            <w:tcW w:type="dxa" w:w="1210"/>
          </w:tcPr>
          <w:p>
            <w:pPr>
              <w:spacing w:after="20"/>
            </w:pPr>
            <w:r>
              <w:rPr>
                <w:color w:val="1C3A36"/>
                <w:sz w:val="14"/>
              </w:rPr>
              <w:t>2026-08-06</w:t>
            </w:r>
          </w:p>
        </w:tc>
      </w:tr>
      <w:tr>
        <w:tc>
          <w:tcPr>
            <w:tcW w:type="dxa" w:w="432"/>
          </w:tcPr>
          <w:p>
            <w:pPr>
              <w:spacing w:after="20"/>
            </w:pPr>
            <w:r>
              <w:rPr>
                <w:color w:val="1C3A36"/>
                <w:sz w:val="14"/>
              </w:rPr>
              <w:t>77</w:t>
            </w:r>
          </w:p>
        </w:tc>
        <w:tc>
          <w:tcPr>
            <w:tcW w:type="dxa" w:w="2448"/>
          </w:tcPr>
          <w:p>
            <w:pPr>
              <w:spacing w:after="20"/>
            </w:pPr>
            <w:r>
              <w:rPr>
                <w:color w:val="1C3A36"/>
                <w:sz w:val="14"/>
              </w:rPr>
              <w:t>kd_path</w:t>
            </w:r>
          </w:p>
        </w:tc>
        <w:tc>
          <w:tcPr>
            <w:tcW w:type="dxa" w:w="1325"/>
          </w:tcPr>
          <w:p>
            <w:pPr>
              <w:spacing w:after="20"/>
            </w:pPr>
            <w:r>
              <w:rPr>
                <w:color w:val="1C3A36"/>
                <w:sz w:val="14"/>
              </w:rPr>
              <w:t>0.215, 0.19, 0.17, 0.158, 0.15</w:t>
            </w:r>
          </w:p>
        </w:tc>
        <w:tc>
          <w:tcPr>
            <w:tcW w:type="dxa" w:w="1066"/>
          </w:tcPr>
          <w:p>
            <w:pPr>
              <w:spacing w:after="20"/>
            </w:pPr>
            <w:r>
              <w:rPr>
                <w:color w:val="1C3A36"/>
                <w:sz w:val="14"/>
              </w:rPr>
              <w:t>House</w:t>
            </w:r>
          </w:p>
        </w:tc>
        <w:tc>
          <w:tcPr>
            <w:tcW w:type="dxa" w:w="7171"/>
          </w:tcPr>
          <w:p>
            <w:pPr>
              <w:spacing w:after="20"/>
            </w:pPr>
            <w:r>
              <w:rPr>
                <w:color w:val="1C3A36"/>
                <w:sz w:val="14"/>
              </w:rPr>
              <w:t>Cost-of-debt path across the forecast. The discount-rate glide inherits its SHAPE from this path rather than from a second, independent judgement</w:t>
            </w:r>
          </w:p>
        </w:tc>
        <w:tc>
          <w:tcPr>
            <w:tcW w:type="dxa" w:w="1210"/>
          </w:tcPr>
          <w:p>
            <w:pPr>
              <w:spacing w:after="20"/>
            </w:pPr>
            <w:r>
              <w:rPr>
                <w:color w:val="1C3A36"/>
                <w:sz w:val="14"/>
              </w:rPr>
              <w:t>2026-08-06</w:t>
            </w:r>
          </w:p>
        </w:tc>
      </w:tr>
      <w:tr>
        <w:tc>
          <w:tcPr>
            <w:tcW w:type="dxa" w:w="432"/>
          </w:tcPr>
          <w:p>
            <w:pPr>
              <w:spacing w:after="20"/>
            </w:pPr>
            <w:r>
              <w:rPr>
                <w:color w:val="1C3A36"/>
                <w:sz w:val="14"/>
              </w:rPr>
              <w:t>78</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71"/>
          </w:tcPr>
          <w:p>
            <w:pPr>
              <w:spacing w:after="20"/>
            </w:pPr>
            <w:r>
              <w:rPr>
                <w:color w:val="1C3A36"/>
                <w:sz w:val="14"/>
              </w:rPr>
              <w:t>Terminal cost of debt — the Egyptian long-run corporate borrowing norm of 14-16%, midpoint</w:t>
            </w:r>
          </w:p>
        </w:tc>
        <w:tc>
          <w:tcPr>
            <w:tcW w:type="dxa" w:w="1210"/>
          </w:tcPr>
          <w:p>
            <w:pPr>
              <w:spacing w:after="20"/>
            </w:pPr>
            <w:r>
              <w:rPr>
                <w:color w:val="1C3A36"/>
                <w:sz w:val="14"/>
              </w:rPr>
              <w:t>2026-08-06</w:t>
            </w:r>
          </w:p>
        </w:tc>
      </w:tr>
      <w:tr>
        <w:tc>
          <w:tcPr>
            <w:tcW w:type="dxa" w:w="432"/>
          </w:tcPr>
          <w:p>
            <w:pPr>
              <w:spacing w:after="20"/>
            </w:pPr>
            <w:r>
              <w:rPr>
                <w:color w:val="1C3A36"/>
                <w:sz w:val="14"/>
              </w:rPr>
              <w:t>79</w:t>
            </w:r>
          </w:p>
        </w:tc>
        <w:tc>
          <w:tcPr>
            <w:tcW w:type="dxa" w:w="2448"/>
          </w:tcPr>
          <w:p>
            <w:pPr>
              <w:spacing w:after="20"/>
            </w:pPr>
            <w:r>
              <w:rPr>
                <w:color w:val="1C3A36"/>
                <w:sz w:val="14"/>
              </w:rPr>
              <w:t>kiln_util</w:t>
            </w:r>
          </w:p>
        </w:tc>
        <w:tc>
          <w:tcPr>
            <w:tcW w:type="dxa" w:w="1325"/>
          </w:tcPr>
          <w:p>
            <w:pPr>
              <w:spacing w:after="20"/>
            </w:pPr>
            <w:r>
              <w:rPr>
                <w:color w:val="1C3A36"/>
                <w:sz w:val="14"/>
              </w:rPr>
              <w:t>0.72, 0.768, 0.79, 0.805, 0.815, 0.822</w:t>
            </w:r>
          </w:p>
        </w:tc>
        <w:tc>
          <w:tcPr>
            <w:tcW w:type="dxa" w:w="1066"/>
          </w:tcPr>
          <w:p>
            <w:pPr>
              <w:spacing w:after="20"/>
            </w:pPr>
            <w:r>
              <w:rPr>
                <w:color w:val="1C3A36"/>
                <w:sz w:val="14"/>
              </w:rPr>
              <w:t>House</w:t>
            </w:r>
          </w:p>
        </w:tc>
        <w:tc>
          <w:tcPr>
            <w:tcW w:type="dxa" w:w="7171"/>
          </w:tcPr>
          <w:p>
            <w:pPr>
              <w:spacing w:after="20"/>
            </w:pPr>
            <w:r>
              <w:rPr>
                <w:color w:val="1C3A36"/>
                <w:sz w:val="14"/>
              </w:rPr>
              <w:t>Kiln utilisation, FY2025A then FY2026E-FY2030E. The FY2026 step is the first full year without the production quota abolished in May 2025, and is corroborated by first-quarter 2026 revenue growth of 17.3% against a roughly flat price. The path then flattens as 12.6Mt of dormant national capacity restarts</w:t>
            </w:r>
          </w:p>
        </w:tc>
        <w:tc>
          <w:tcPr>
            <w:tcW w:type="dxa" w:w="1210"/>
          </w:tcPr>
          <w:p>
            <w:pPr>
              <w:spacing w:after="20"/>
            </w:pPr>
            <w:r>
              <w:rPr>
                <w:color w:val="1C3A36"/>
                <w:sz w:val="14"/>
              </w:rPr>
              <w:t>2026-08-06</w:t>
            </w:r>
          </w:p>
        </w:tc>
      </w:tr>
      <w:tr>
        <w:tc>
          <w:tcPr>
            <w:tcW w:type="dxa" w:w="432"/>
          </w:tcPr>
          <w:p>
            <w:pPr>
              <w:spacing w:after="20"/>
            </w:pPr>
            <w:r>
              <w:rPr>
                <w:color w:val="1C3A36"/>
                <w:sz w:val="14"/>
              </w:rPr>
              <w:t>80</w:t>
            </w:r>
          </w:p>
        </w:tc>
        <w:tc>
          <w:tcPr>
            <w:tcW w:type="dxa" w:w="2448"/>
          </w:tcPr>
          <w:p>
            <w:pPr>
              <w:spacing w:after="20"/>
            </w:pPr>
            <w:r>
              <w:rPr>
                <w:color w:val="1C3A36"/>
                <w:sz w:val="14"/>
              </w:rPr>
              <w:t>nci</w:t>
            </w:r>
          </w:p>
        </w:tc>
        <w:tc>
          <w:tcPr>
            <w:tcW w:type="dxa" w:w="1325"/>
          </w:tcPr>
          <w:p>
            <w:pPr>
              <w:spacing w:after="20"/>
            </w:pPr>
            <w:r>
              <w:rPr>
                <w:color w:val="1C3A36"/>
                <w:sz w:val="14"/>
              </w:rPr>
              <w:t>150</w:t>
            </w:r>
          </w:p>
        </w:tc>
        <w:tc>
          <w:tcPr>
            <w:tcW w:type="dxa" w:w="1066"/>
          </w:tcPr>
          <w:p>
            <w:pPr>
              <w:spacing w:after="20"/>
            </w:pPr>
            <w:r>
              <w:rPr>
                <w:color w:val="1C3A36"/>
                <w:sz w:val="14"/>
              </w:rPr>
              <w:t>House</w:t>
            </w:r>
          </w:p>
        </w:tc>
        <w:tc>
          <w:tcPr>
            <w:tcW w:type="dxa" w:w="7171"/>
          </w:tcPr>
          <w:p>
            <w:pPr>
              <w:spacing w:after="20"/>
            </w:pPr>
            <w:r>
              <w:rPr>
                <w:color w:val="1C3A36"/>
                <w:sz w:val="14"/>
              </w:rPr>
              <w:t>Non-controlling interests deducted in the enterprise-to-equity bridge. No minority-interest balance is separately retrievable. The size is inferred from the profit statements: disclosed FY2025 earnings per share of EGP 9.49 on 374.87mn shares gives EGP 3,557mn against a stated attributable profit of EGP 3,599mn, a gap of about 1.2% which is consistent with the statutory employees' and directors' profit share rather than with a large minority. Set at a deliberately non-trivial EGP 150mn and SENSITISED</w:t>
            </w:r>
          </w:p>
        </w:tc>
        <w:tc>
          <w:tcPr>
            <w:tcW w:type="dxa" w:w="1210"/>
          </w:tcPr>
          <w:p>
            <w:pPr>
              <w:spacing w:after="20"/>
            </w:pPr>
            <w:r>
              <w:rPr>
                <w:color w:val="1C3A36"/>
                <w:sz w:val="14"/>
              </w:rPr>
              <w:t>2026-08-06</w:t>
            </w:r>
          </w:p>
        </w:tc>
      </w:tr>
      <w:tr>
        <w:tc>
          <w:tcPr>
            <w:tcW w:type="dxa" w:w="432"/>
          </w:tcPr>
          <w:p>
            <w:pPr>
              <w:spacing w:after="20"/>
            </w:pPr>
            <w:r>
              <w:rPr>
                <w:color w:val="1C3A36"/>
                <w:sz w:val="14"/>
              </w:rPr>
              <w:t>81</w:t>
            </w:r>
          </w:p>
        </w:tc>
        <w:tc>
          <w:tcPr>
            <w:tcW w:type="dxa" w:w="2448"/>
          </w:tcPr>
          <w:p>
            <w:pPr>
              <w:spacing w:after="20"/>
            </w:pPr>
            <w:r>
              <w:rPr>
                <w:color w:val="1C3A36"/>
                <w:sz w:val="14"/>
              </w:rPr>
              <w:t>norm_mgn</w:t>
            </w:r>
          </w:p>
        </w:tc>
        <w:tc>
          <w:tcPr>
            <w:tcW w:type="dxa" w:w="1325"/>
          </w:tcPr>
          <w:p>
            <w:pPr>
              <w:spacing w:after="20"/>
            </w:pPr>
            <w:r>
              <w:rPr>
                <w:color w:val="1C3A36"/>
                <w:sz w:val="14"/>
              </w:rPr>
              <w:t>0.308</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FY2024 outturn and the FY2025 peak, both reconstructed by the same method. It lands close to the FY2030 forecast margin, which is a check on the forecast rather than a coincidence</w:t>
            </w:r>
          </w:p>
        </w:tc>
        <w:tc>
          <w:tcPr>
            <w:tcW w:type="dxa" w:w="1210"/>
          </w:tcPr>
          <w:p>
            <w:pPr>
              <w:spacing w:after="20"/>
            </w:pPr>
            <w:r>
              <w:rPr>
                <w:color w:val="1C3A36"/>
                <w:sz w:val="14"/>
              </w:rPr>
              <w:t>2026-08-06</w:t>
            </w:r>
          </w:p>
        </w:tc>
      </w:tr>
      <w:tr>
        <w:tc>
          <w:tcPr>
            <w:tcW w:type="dxa" w:w="432"/>
          </w:tcPr>
          <w:p>
            <w:pPr>
              <w:spacing w:after="20"/>
            </w:pPr>
            <w:r>
              <w:rPr>
                <w:color w:val="1C3A36"/>
                <w:sz w:val="14"/>
              </w:rPr>
              <w:t>82</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 Applying a mid-cycle MARGIN to a PEAK revenue base would be half a normalisation in the one lens whose purpose is refusing to capitalise a peak</w:t>
            </w:r>
          </w:p>
        </w:tc>
        <w:tc>
          <w:tcPr>
            <w:tcW w:type="dxa" w:w="1210"/>
          </w:tcPr>
          <w:p>
            <w:pPr>
              <w:spacing w:after="20"/>
            </w:pPr>
            <w:r>
              <w:rPr>
                <w:color w:val="1C3A36"/>
                <w:sz w:val="14"/>
              </w:rPr>
              <w:t>2026-08-06</w:t>
            </w:r>
          </w:p>
        </w:tc>
      </w:tr>
      <w:tr>
        <w:tc>
          <w:tcPr>
            <w:tcW w:type="dxa" w:w="432"/>
          </w:tcPr>
          <w:p>
            <w:pPr>
              <w:spacing w:after="20"/>
            </w:pPr>
            <w:r>
              <w:rPr>
                <w:color w:val="1C3A36"/>
                <w:sz w:val="14"/>
              </w:rPr>
              <w:t>83</w:t>
            </w:r>
          </w:p>
        </w:tc>
        <w:tc>
          <w:tcPr>
            <w:tcW w:type="dxa" w:w="2448"/>
          </w:tcPr>
          <w:p>
            <w:pPr>
              <w:spacing w:after="20"/>
            </w:pPr>
            <w:r>
              <w:rPr>
                <w:color w:val="1C3A36"/>
                <w:sz w:val="14"/>
              </w:rPr>
              <w:t>payout</w:t>
            </w:r>
          </w:p>
        </w:tc>
        <w:tc>
          <w:tcPr>
            <w:tcW w:type="dxa" w:w="1325"/>
          </w:tcPr>
          <w:p>
            <w:pPr>
              <w:spacing w:after="20"/>
            </w:pPr>
            <w:r>
              <w:rPr>
                <w:color w:val="1C3A36"/>
                <w:sz w:val="14"/>
              </w:rPr>
              <w:t>0.56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of EGP 2.00bn on EGP 3.599bn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84</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85</w:t>
            </w:r>
          </w:p>
        </w:tc>
        <w:tc>
          <w:tcPr>
            <w:tcW w:type="dxa" w:w="2448"/>
          </w:tcPr>
          <w:p>
            <w:pPr>
              <w:spacing w:after="20"/>
            </w:pPr>
            <w:r>
              <w:rPr>
                <w:color w:val="1C3A36"/>
                <w:sz w:val="14"/>
              </w:rPr>
              <w:t>recv_days</w:t>
            </w:r>
          </w:p>
        </w:tc>
        <w:tc>
          <w:tcPr>
            <w:tcW w:type="dxa" w:w="1325"/>
          </w:tcPr>
          <w:p>
            <w:pPr>
              <w:spacing w:after="20"/>
            </w:pPr>
            <w:r>
              <w:rPr>
                <w:color w:val="1C3A36"/>
                <w:sz w:val="14"/>
              </w:rPr>
              <w:t>30</w:t>
            </w:r>
          </w:p>
        </w:tc>
        <w:tc>
          <w:tcPr>
            <w:tcW w:type="dxa" w:w="1066"/>
          </w:tcPr>
          <w:p>
            <w:pPr>
              <w:spacing w:after="20"/>
            </w:pPr>
            <w:r>
              <w:rPr>
                <w:color w:val="1C3A36"/>
                <w:sz w:val="14"/>
              </w:rPr>
              <w:t>House</w:t>
            </w:r>
          </w:p>
        </w:tc>
        <w:tc>
          <w:tcPr>
            <w:tcW w:type="dxa" w:w="7171"/>
          </w:tcPr>
          <w:p>
            <w:pPr>
              <w:spacing w:after="20"/>
            </w:pPr>
            <w:r>
              <w:rPr>
                <w:color w:val="1C3A36"/>
                <w:sz w:val="14"/>
              </w:rPr>
              <w:t>Receivable days on revenue, used only to size the property base in the third leg of the depreciation triangulation</w:t>
            </w:r>
          </w:p>
        </w:tc>
        <w:tc>
          <w:tcPr>
            <w:tcW w:type="dxa" w:w="1210"/>
          </w:tcPr>
          <w:p>
            <w:pPr>
              <w:spacing w:after="20"/>
            </w:pPr>
            <w:r>
              <w:rPr>
                <w:color w:val="1C3A36"/>
                <w:sz w:val="14"/>
              </w:rPr>
              <w:t>2026-08-06</w:t>
            </w:r>
          </w:p>
        </w:tc>
      </w:tr>
      <w:tr>
        <w:tc>
          <w:tcPr>
            <w:tcW w:type="dxa" w:w="432"/>
          </w:tcPr>
          <w:p>
            <w:pPr>
              <w:spacing w:after="20"/>
            </w:pPr>
            <w:r>
              <w:rPr>
                <w:color w:val="1C3A36"/>
                <w:sz w:val="14"/>
              </w:rPr>
              <w:t>86</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NORM-BUILT from the central bank's own stated medium-term inflation target of 7% plus a standard emerging-market real-rate convention of about 5.5 percentage points. Deliberately not a historical average, and never reverse-engineered from a price</w:t>
            </w:r>
          </w:p>
        </w:tc>
        <w:tc>
          <w:tcPr>
            <w:tcW w:type="dxa" w:w="1210"/>
          </w:tcPr>
          <w:p>
            <w:pPr>
              <w:spacing w:after="20"/>
            </w:pPr>
            <w:r>
              <w:rPr>
                <w:color w:val="1C3A36"/>
                <w:sz w:val="14"/>
              </w:rPr>
              <w:t>2026-08-06</w:t>
            </w:r>
          </w:p>
        </w:tc>
      </w:tr>
      <w:tr>
        <w:tc>
          <w:tcPr>
            <w:tcW w:type="dxa" w:w="432"/>
          </w:tcPr>
          <w:p>
            <w:pPr>
              <w:spacing w:after="20"/>
            </w:pPr>
            <w:r>
              <w:rPr>
                <w:color w:val="1C3A36"/>
                <w:sz w:val="14"/>
              </w:rPr>
              <w:t>87</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 seven of twelve months. The elapsed part is rolled into the opening cash balance and the unearned part is discounted, so the period is counted exactly once</w:t>
            </w:r>
          </w:p>
        </w:tc>
        <w:tc>
          <w:tcPr>
            <w:tcW w:type="dxa" w:w="1210"/>
          </w:tcPr>
          <w:p>
            <w:pPr>
              <w:spacing w:after="20"/>
            </w:pPr>
            <w:r>
              <w:rPr>
                <w:color w:val="1C3A36"/>
                <w:sz w:val="14"/>
              </w:rPr>
              <w:t>2026-08-06</w:t>
            </w:r>
          </w:p>
        </w:tc>
      </w:tr>
      <w:tr>
        <w:tc>
          <w:tcPr>
            <w:tcW w:type="dxa" w:w="432"/>
          </w:tcPr>
          <w:p>
            <w:pPr>
              <w:spacing w:after="20"/>
            </w:pPr>
            <w:r>
              <w:rPr>
                <w:color w:val="1C3A36"/>
                <w:sz w:val="14"/>
              </w:rPr>
              <w:t>88</w:t>
            </w:r>
          </w:p>
        </w:tc>
        <w:tc>
          <w:tcPr>
            <w:tcW w:type="dxa" w:w="2448"/>
          </w:tcPr>
          <w:p>
            <w:pPr>
              <w:spacing w:after="20"/>
            </w:pPr>
            <w:r>
              <w:rPr>
                <w:color w:val="1C3A36"/>
                <w:sz w:val="14"/>
              </w:rPr>
              <w:t>util_fy23</w:t>
            </w:r>
          </w:p>
        </w:tc>
        <w:tc>
          <w:tcPr>
            <w:tcW w:type="dxa" w:w="1325"/>
          </w:tcPr>
          <w:p>
            <w:pPr>
              <w:spacing w:after="20"/>
            </w:pPr>
            <w:r>
              <w:rPr>
                <w:color w:val="1C3A36"/>
                <w:sz w:val="14"/>
              </w:rPr>
              <w:t>0.66</w:t>
            </w:r>
          </w:p>
        </w:tc>
        <w:tc>
          <w:tcPr>
            <w:tcW w:type="dxa" w:w="1066"/>
          </w:tcPr>
          <w:p>
            <w:pPr>
              <w:spacing w:after="20"/>
            </w:pPr>
            <w:r>
              <w:rPr>
                <w:color w:val="1C3A36"/>
                <w:sz w:val="14"/>
              </w:rPr>
              <w:t>House</w:t>
            </w:r>
          </w:p>
        </w:tc>
        <w:tc>
          <w:tcPr>
            <w:tcW w:type="dxa" w:w="7171"/>
          </w:tcPr>
          <w:p>
            <w:pPr>
              <w:spacing w:after="20"/>
            </w:pPr>
            <w:r>
              <w:rPr>
                <w:color w:val="1C3A36"/>
                <w:sz w:val="14"/>
              </w:rPr>
              <w:t>FY2023 kiln utilisation under the production quota</w:t>
            </w:r>
          </w:p>
        </w:tc>
        <w:tc>
          <w:tcPr>
            <w:tcW w:type="dxa" w:w="1210"/>
          </w:tcPr>
          <w:p>
            <w:pPr>
              <w:spacing w:after="20"/>
            </w:pPr>
            <w:r>
              <w:rPr>
                <w:color w:val="1C3A36"/>
                <w:sz w:val="14"/>
              </w:rPr>
              <w:t>2026-08-06</w:t>
            </w:r>
          </w:p>
        </w:tc>
      </w:tr>
      <w:tr>
        <w:tc>
          <w:tcPr>
            <w:tcW w:type="dxa" w:w="432"/>
          </w:tcPr>
          <w:p>
            <w:pPr>
              <w:spacing w:after="20"/>
            </w:pPr>
            <w:r>
              <w:rPr>
                <w:color w:val="1C3A36"/>
                <w:sz w:val="14"/>
              </w:rPr>
              <w:t>89</w:t>
            </w:r>
          </w:p>
        </w:tc>
        <w:tc>
          <w:tcPr>
            <w:tcW w:type="dxa" w:w="2448"/>
          </w:tcPr>
          <w:p>
            <w:pPr>
              <w:spacing w:after="20"/>
            </w:pPr>
            <w:r>
              <w:rPr>
                <w:color w:val="1C3A36"/>
                <w:sz w:val="14"/>
              </w:rPr>
              <w:t>util_fy24</w:t>
            </w:r>
          </w:p>
        </w:tc>
        <w:tc>
          <w:tcPr>
            <w:tcW w:type="dxa" w:w="1325"/>
          </w:tcPr>
          <w:p>
            <w:pPr>
              <w:spacing w:after="20"/>
            </w:pPr>
            <w:r>
              <w:rPr>
                <w:color w:val="1C3A36"/>
                <w:sz w:val="14"/>
              </w:rPr>
              <w:t>0.684</w:t>
            </w:r>
          </w:p>
        </w:tc>
        <w:tc>
          <w:tcPr>
            <w:tcW w:type="dxa" w:w="1066"/>
          </w:tcPr>
          <w:p>
            <w:pPr>
              <w:spacing w:after="20"/>
            </w:pPr>
            <w:r>
              <w:rPr>
                <w:color w:val="1C3A36"/>
                <w:sz w:val="14"/>
              </w:rPr>
              <w:t>House</w:t>
            </w:r>
          </w:p>
        </w:tc>
        <w:tc>
          <w:tcPr>
            <w:tcW w:type="dxa" w:w="7171"/>
          </w:tcPr>
          <w:p>
            <w:pPr>
              <w:spacing w:after="20"/>
            </w:pPr>
            <w:r>
              <w:rPr>
                <w:color w:val="1C3A36"/>
                <w:sz w:val="14"/>
              </w:rPr>
              <w:t>FY2024 kiln utilisation under the production quota. The pair with FY2025 reproduces the DISCLOSED +42.6% revenue step as a +5.3% volume step on a +35.5% price step, which is the cross-check that the quota abolition worked mainly through price and not mainly through volume</w:t>
            </w:r>
          </w:p>
        </w:tc>
        <w:tc>
          <w:tcPr>
            <w:tcW w:type="dxa" w:w="1210"/>
          </w:tcPr>
          <w:p>
            <w:pPr>
              <w:spacing w:after="20"/>
            </w:pPr>
            <w:r>
              <w:rPr>
                <w:color w:val="1C3A36"/>
                <w:sz w:val="14"/>
              </w:rPr>
              <w:t>2026-08-06</w:t>
            </w:r>
          </w:p>
        </w:tc>
      </w:tr>
      <w:tr>
        <w:tc>
          <w:tcPr>
            <w:tcW w:type="dxa" w:w="432"/>
          </w:tcPr>
          <w:p>
            <w:pPr>
              <w:spacing w:after="20"/>
            </w:pPr>
            <w:r>
              <w:rPr>
                <w:color w:val="1C3A36"/>
                <w:sz w:val="14"/>
              </w:rPr>
              <w:t>90</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 and 12.6Mt of restart capacity is queuing, so replacement cost is a ceiling and not a floor</w:t>
            </w:r>
          </w:p>
        </w:tc>
        <w:tc>
          <w:tcPr>
            <w:tcW w:type="dxa" w:w="1210"/>
          </w:tcPr>
          <w:p>
            <w:pPr>
              <w:spacing w:after="20"/>
            </w:pPr>
            <w:r>
              <w:rPr>
                <w:color w:val="1C3A36"/>
                <w:sz w:val="14"/>
              </w:rPr>
              <w:t>2026-08-06</w:t>
            </w:r>
          </w:p>
        </w:tc>
      </w:tr>
      <w:tr>
        <w:tc>
          <w:tcPr>
            <w:tcW w:type="dxa" w:w="432"/>
          </w:tcPr>
          <w:p>
            <w:pPr>
              <w:spacing w:after="20"/>
            </w:pPr>
            <w:r>
              <w:rPr>
                <w:color w:val="1C3A36"/>
                <w:sz w:val="14"/>
              </w:rPr>
              <w:t>91</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 The highest weight because it is the only lens that prices the specific thing this company is: a fixed asset with a known cost stack in a market whose supply is about to expand</w:t>
            </w:r>
          </w:p>
        </w:tc>
        <w:tc>
          <w:tcPr>
            <w:tcW w:type="dxa" w:w="1210"/>
          </w:tcPr>
          <w:p>
            <w:pPr>
              <w:spacing w:after="20"/>
            </w:pPr>
            <w:r>
              <w:rPr>
                <w:color w:val="1C3A36"/>
                <w:sz w:val="14"/>
              </w:rPr>
              <w:t>2026-08-06</w:t>
            </w:r>
          </w:p>
        </w:tc>
      </w:tr>
      <w:tr>
        <w:tc>
          <w:tcPr>
            <w:tcW w:type="dxa" w:w="432"/>
          </w:tcPr>
          <w:p>
            <w:pPr>
              <w:spacing w:after="20"/>
            </w:pPr>
            <w:r>
              <w:rPr>
                <w:color w:val="1C3A36"/>
                <w:sz w:val="14"/>
              </w:rPr>
              <w:t>92</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93</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Egyptian peer set is thin and its published multiples do not reconcile</w:t>
            </w:r>
          </w:p>
        </w:tc>
        <w:tc>
          <w:tcPr>
            <w:tcW w:type="dxa" w:w="1210"/>
          </w:tcPr>
          <w:p>
            <w:pPr>
              <w:spacing w:after="20"/>
            </w:pPr>
            <w:r>
              <w:rPr>
                <w:color w:val="1C3A36"/>
                <w:sz w:val="14"/>
              </w:rPr>
              <w:t>2026-08-06</w:t>
            </w:r>
          </w:p>
        </w:tc>
      </w:tr>
      <w:tr>
        <w:tc>
          <w:tcPr>
            <w:tcW w:type="dxa" w:w="432"/>
          </w:tcPr>
          <w:p>
            <w:pPr>
              <w:spacing w:after="20"/>
            </w:pPr>
            <w:r>
              <w:rPr>
                <w:color w:val="1C3A36"/>
                <w:sz w:val="14"/>
              </w:rPr>
              <w:t>94</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w:t>
            </w:r>
          </w:p>
        </w:tc>
        <w:tc>
          <w:tcPr>
            <w:tcW w:type="dxa" w:w="1210"/>
          </w:tcPr>
          <w:p>
            <w:pPr>
              <w:spacing w:after="20"/>
            </w:pPr>
            <w:r>
              <w:rPr>
                <w:color w:val="1C3A36"/>
                <w:sz w:val="14"/>
              </w:rPr>
              <w:t>2026-08-06</w:t>
            </w:r>
          </w:p>
        </w:tc>
      </w:tr>
      <w:tr>
        <w:tc>
          <w:tcPr>
            <w:tcW w:type="dxa" w:w="432"/>
          </w:tcPr>
          <w:p>
            <w:pPr>
              <w:spacing w:after="20"/>
            </w:pPr>
            <w:r>
              <w:rPr>
                <w:color w:val="1C3A36"/>
                <w:sz w:val="14"/>
              </w:rPr>
              <w:t>95</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 The company is net cash today; the terminal state assumes a normalised, modestly geared balance sheet</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exchange filings</w:t>
            </w:r>
          </w:p>
        </w:tc>
        <w:tc>
          <w:tcPr>
            <w:tcW w:type="dxa" w:w="2333"/>
          </w:tcPr>
          <w:p>
            <w:pPr>
              <w:spacing w:after="20"/>
            </w:pPr>
            <w:r>
              <w:rPr>
                <w:color w:val="1C3A36"/>
                <w:sz w:val="16"/>
              </w:rPr>
              <w:t>Company filing</w:t>
            </w:r>
          </w:p>
        </w:tc>
        <w:tc>
          <w:tcPr>
            <w:tcW w:type="dxa" w:w="5803"/>
          </w:tcPr>
          <w:p>
            <w:pPr>
              <w:spacing w:after="20"/>
            </w:pPr>
            <w:r>
              <w:rPr>
                <w:color w:val="1C3A36"/>
                <w:sz w:val="16"/>
              </w:rPr>
              <w:t>FY2022 to FY2025 consolidated results; 9M-2025 and Q1-2026 results; general-meeting resolutions on the FY2024 and FY2025 cash distributions.</w:t>
            </w:r>
          </w:p>
        </w:tc>
        <w:tc>
          <w:tcPr>
            <w:tcW w:type="dxa" w:w="2880"/>
          </w:tcPr>
          <w:p>
            <w:pPr>
              <w:spacing w:after="20"/>
            </w:pPr>
            <w:r>
              <w:rPr>
                <w:color w:val="1C3A36"/>
                <w:sz w:val="16"/>
              </w:rPr>
              <w:t>Figures relayed through search summaries of the outlets below. The primary documents were NOT retrieved from the company website or the exchange portal.</w:t>
            </w:r>
          </w:p>
        </w:tc>
      </w:tr>
      <w:tr>
        <w:tc>
          <w:tcPr>
            <w:tcW w:type="dxa" w:w="2664"/>
          </w:tcPr>
          <w:p>
            <w:pPr>
              <w:spacing w:after="20"/>
            </w:pPr>
            <w:r>
              <w:rPr>
                <w:color w:val="1C3A36"/>
                <w:sz w:val="16"/>
              </w:rPr>
              <w:t>Arabian Cement Company — corporate and sustainability disclosure</w:t>
            </w:r>
          </w:p>
        </w:tc>
        <w:tc>
          <w:tcPr>
            <w:tcW w:type="dxa" w:w="2333"/>
          </w:tcPr>
          <w:p>
            <w:pPr>
              <w:spacing w:after="20"/>
            </w:pPr>
            <w:r>
              <w:rPr>
                <w:color w:val="1C3A36"/>
                <w:sz w:val="16"/>
              </w:rPr>
              <w:t>Company disclosure</w:t>
            </w:r>
          </w:p>
        </w:tc>
        <w:tc>
          <w:tcPr>
            <w:tcW w:type="dxa" w:w="5803"/>
          </w:tcPr>
          <w:p>
            <w:pPr>
              <w:spacing w:after="20"/>
            </w:pPr>
            <w:r>
              <w:rPr>
                <w:color w:val="1C3A36"/>
                <w:sz w:val="16"/>
              </w:rPr>
              <w:t>Plant configuration: two lines in Suez governorate, on average about five million tonnes a year of first-quality clinker and cement, roughly 6% of Egypt's nominal capacity. The alternative-fuel programme, the 7.2 MWh solar installation, baghouse filters and hydrogen injection, the 120,000-tonne annual emissions reduction target, and the supplementary-cementitious-materials, calcined-clay and CEM III product plans.</w:t>
            </w:r>
          </w:p>
        </w:tc>
        <w:tc>
          <w:tcPr>
            <w:tcW w:type="dxa" w:w="2880"/>
          </w:tcPr>
          <w:p>
            <w:pPr>
              <w:spacing w:after="20"/>
            </w:pPr>
            <w:r>
              <w:rPr>
                <w:color w:val="1C3A36"/>
                <w:sz w:val="16"/>
              </w:rPr>
              <w:t>arabiancementcompany.com</w:t>
            </w:r>
          </w:p>
        </w:tc>
      </w:tr>
      <w:tr>
        <w:tc>
          <w:tcPr>
            <w:tcW w:type="dxa" w:w="2664"/>
          </w:tcPr>
          <w:p>
            <w:pPr>
              <w:spacing w:after="20"/>
            </w:pPr>
            <w:r>
              <w:rPr>
                <w:color w:val="1C3A36"/>
                <w:sz w:val="16"/>
              </w:rPr>
              <w:t>Mubasher Info</w:t>
            </w:r>
          </w:p>
        </w:tc>
        <w:tc>
          <w:tcPr>
            <w:tcW w:type="dxa" w:w="2333"/>
          </w:tcPr>
          <w:p>
            <w:pPr>
              <w:spacing w:after="20"/>
            </w:pPr>
            <w:r>
              <w:rPr>
                <w:color w:val="1C3A36"/>
                <w:sz w:val="16"/>
              </w:rPr>
              <w:t>Financial press</w:t>
            </w:r>
          </w:p>
        </w:tc>
        <w:tc>
          <w:tcPr>
            <w:tcW w:type="dxa" w:w="5803"/>
          </w:tcPr>
          <w:p>
            <w:pPr>
              <w:spacing w:after="20"/>
            </w:pPr>
            <w:r>
              <w:rPr>
                <w:color w:val="1C3A36"/>
                <w:sz w:val="16"/>
              </w:rPr>
              <w:t>FY2024 and FY2025 consolidated results; 9M-2025 results; the EGP 1.10bn FY2024 distribution at EGP 2.94 per share and the EGP 2.00bn FY2025 distribution.</w:t>
            </w:r>
          </w:p>
        </w:tc>
        <w:tc>
          <w:tcPr>
            <w:tcW w:type="dxa" w:w="2880"/>
          </w:tcPr>
          <w:p>
            <w:pPr>
              <w:spacing w:after="20"/>
            </w:pPr>
            <w:r>
              <w:rPr>
                <w:color w:val="1C3A36"/>
                <w:sz w:val="16"/>
              </w:rPr>
              <w:t>english.mubasher.info</w:t>
            </w:r>
          </w:p>
        </w:tc>
      </w:tr>
      <w:tr>
        <w:tc>
          <w:tcPr>
            <w:tcW w:type="dxa" w:w="2664"/>
          </w:tcPr>
          <w:p>
            <w:pPr>
              <w:spacing w:after="20"/>
            </w:pPr>
            <w:r>
              <w:rPr>
                <w:color w:val="1C3A36"/>
                <w:sz w:val="16"/>
              </w:rPr>
              <w:t>Arab Finance</w:t>
            </w:r>
          </w:p>
        </w:tc>
        <w:tc>
          <w:tcPr>
            <w:tcW w:type="dxa" w:w="2333"/>
          </w:tcPr>
          <w:p>
            <w:pPr>
              <w:spacing w:after="20"/>
            </w:pPr>
            <w:r>
              <w:rPr>
                <w:color w:val="1C3A36"/>
                <w:sz w:val="16"/>
              </w:rPr>
              <w:t>Financial press</w:t>
            </w:r>
          </w:p>
        </w:tc>
        <w:tc>
          <w:tcPr>
            <w:tcW w:type="dxa" w:w="5803"/>
          </w:tcPr>
          <w:p>
            <w:pPr>
              <w:spacing w:after="20"/>
            </w:pPr>
            <w:r>
              <w:rPr>
                <w:color w:val="1C3A36"/>
                <w:sz w:val="16"/>
              </w:rPr>
              <w:t>FY2025 consolidated profit of EGP 3.599bn on net sales of EGP 12.447bn; Q1-2026 consolidated profit of EGP 943.068mn on net sales of EGP 2.995bn; Egyptian building-materials market indicators for 2025.</w:t>
            </w:r>
          </w:p>
        </w:tc>
        <w:tc>
          <w:tcPr>
            <w:tcW w:type="dxa" w:w="2880"/>
          </w:tcPr>
          <w:p>
            <w:pPr>
              <w:spacing w:after="20"/>
            </w:pPr>
            <w:r>
              <w:rPr>
                <w:color w:val="1C3A36"/>
                <w:sz w:val="16"/>
              </w:rPr>
              <w:t>arabfinance.com</w:t>
            </w:r>
          </w:p>
        </w:tc>
      </w:tr>
      <w:tr>
        <w:tc>
          <w:tcPr>
            <w:tcW w:type="dxa" w:w="2664"/>
          </w:tcPr>
          <w:p>
            <w:pPr>
              <w:spacing w:after="20"/>
            </w:pPr>
            <w:r>
              <w:rPr>
                <w:color w:val="1C3A36"/>
                <w:sz w:val="16"/>
              </w:rPr>
              <w:t>Zawya / Refinitiv</w:t>
            </w:r>
          </w:p>
        </w:tc>
        <w:tc>
          <w:tcPr>
            <w:tcW w:type="dxa" w:w="2333"/>
          </w:tcPr>
          <w:p>
            <w:pPr>
              <w:spacing w:after="20"/>
            </w:pPr>
            <w:r>
              <w:rPr>
                <w:color w:val="1C3A36"/>
                <w:sz w:val="16"/>
              </w:rPr>
              <w:t>Financial press</w:t>
            </w:r>
          </w:p>
        </w:tc>
        <w:tc>
          <w:tcPr>
            <w:tcW w:type="dxa" w:w="5803"/>
          </w:tcPr>
          <w:p>
            <w:pPr>
              <w:spacing w:after="20"/>
            </w:pPr>
            <w:r>
              <w:rPr>
                <w:color w:val="1C3A36"/>
                <w:sz w:val="16"/>
              </w:rPr>
              <w:t>Q1-2026 results and the 59.7% year-on-year profit increase; comparative Q1-2025 figures.</w:t>
            </w:r>
          </w:p>
        </w:tc>
        <w:tc>
          <w:tcPr>
            <w:tcW w:type="dxa" w:w="2880"/>
          </w:tcPr>
          <w:p>
            <w:pPr>
              <w:spacing w:after="20"/>
            </w:pPr>
            <w:r>
              <w:rPr>
                <w:color w:val="1C3A36"/>
                <w:sz w:val="16"/>
              </w:rPr>
              <w:t>zawya.com</w:t>
            </w:r>
          </w:p>
        </w:tc>
      </w:tr>
      <w:tr>
        <w:tc>
          <w:tcPr>
            <w:tcW w:type="dxa" w:w="2664"/>
          </w:tcPr>
          <w:p>
            <w:pPr>
              <w:spacing w:after="20"/>
            </w:pPr>
            <w:r>
              <w:rPr>
                <w:color w:val="1C3A36"/>
                <w:sz w:val="16"/>
              </w:rPr>
              <w:t>International Cement Review / cemnet</w:t>
            </w:r>
          </w:p>
        </w:tc>
        <w:tc>
          <w:tcPr>
            <w:tcW w:type="dxa" w:w="2333"/>
          </w:tcPr>
          <w:p>
            <w:pPr>
              <w:spacing w:after="20"/>
            </w:pPr>
            <w:r>
              <w:rPr>
                <w:color w:val="1C3A36"/>
                <w:sz w:val="16"/>
              </w:rPr>
              <w:t>Trade press</w:t>
            </w:r>
          </w:p>
        </w:tc>
        <w:tc>
          <w:tcPr>
            <w:tcW w:type="dxa" w:w="5803"/>
          </w:tcPr>
          <w:p>
            <w:pPr>
              <w:spacing w:after="20"/>
            </w:pPr>
            <w:r>
              <w:rPr>
                <w:color w:val="1C3A36"/>
                <w:sz w:val="16"/>
              </w:rPr>
              <w:t>Egyptian sector production and pricing commentary; the industry ministry's position on capacity and price stabilisation.</w:t>
            </w:r>
          </w:p>
        </w:tc>
        <w:tc>
          <w:tcPr>
            <w:tcW w:type="dxa" w:w="2880"/>
          </w:tcPr>
          <w:p>
            <w:pPr>
              <w:spacing w:after="20"/>
            </w:pPr>
            <w:r>
              <w:rPr>
                <w:color w:val="1C3A36"/>
                <w:sz w:val="16"/>
              </w:rPr>
              <w:t>cemnet.com</w:t>
            </w:r>
          </w:p>
        </w:tc>
      </w:tr>
      <w:tr>
        <w:tc>
          <w:tcPr>
            <w:tcW w:type="dxa" w:w="2664"/>
          </w:tcPr>
          <w:p>
            <w:pPr>
              <w:spacing w:after="20"/>
            </w:pPr>
            <w:r>
              <w:rPr>
                <w:color w:val="1C3A36"/>
                <w:sz w:val="16"/>
              </w:rPr>
              <w:t>Global Cement</w:t>
            </w:r>
          </w:p>
        </w:tc>
        <w:tc>
          <w:tcPr>
            <w:tcW w:type="dxa" w:w="2333"/>
          </w:tcPr>
          <w:p>
            <w:pPr>
              <w:spacing w:after="20"/>
            </w:pPr>
            <w:r>
              <w:rPr>
                <w:color w:val="1C3A36"/>
                <w:sz w:val="16"/>
              </w:rPr>
              <w:t>Trade press</w:t>
            </w:r>
          </w:p>
        </w:tc>
        <w:tc>
          <w:tcPr>
            <w:tcW w:type="dxa" w:w="5803"/>
          </w:tcPr>
          <w:p>
            <w:pPr>
              <w:spacing w:after="20"/>
            </w:pPr>
            <w:r>
              <w:rPr>
                <w:color w:val="1C3A36"/>
                <w:sz w:val="16"/>
              </w:rPr>
              <w:t>Egyptian nameplate capacity, production, consumption and export volumes for 2025; the dormant-capacity revival programme of 12.6Mt from the second half of 2026.</w:t>
            </w:r>
          </w:p>
        </w:tc>
        <w:tc>
          <w:tcPr>
            <w:tcW w:type="dxa" w:w="2880"/>
          </w:tcPr>
          <w:p>
            <w:pPr>
              <w:spacing w:after="20"/>
            </w:pPr>
            <w:r>
              <w:rPr>
                <w:color w:val="1C3A36"/>
                <w:sz w:val="16"/>
              </w:rPr>
              <w:t>globalcement.com</w:t>
            </w:r>
          </w:p>
        </w:tc>
      </w:tr>
      <w:tr>
        <w:tc>
          <w:tcPr>
            <w:tcW w:type="dxa" w:w="2664"/>
          </w:tcPr>
          <w:p>
            <w:pPr>
              <w:spacing w:after="20"/>
            </w:pPr>
            <w:r>
              <w:rPr>
                <w:color w:val="1C3A36"/>
                <w:sz w:val="16"/>
              </w:rPr>
              <w:t>EnterpriseAM Egypt</w:t>
            </w:r>
          </w:p>
        </w:tc>
        <w:tc>
          <w:tcPr>
            <w:tcW w:type="dxa" w:w="2333"/>
          </w:tcPr>
          <w:p>
            <w:pPr>
              <w:spacing w:after="20"/>
            </w:pPr>
            <w:r>
              <w:rPr>
                <w:color w:val="1C3A36"/>
                <w:sz w:val="16"/>
              </w:rPr>
              <w:t>Financial press</w:t>
            </w:r>
          </w:p>
        </w:tc>
        <w:tc>
          <w:tcPr>
            <w:tcW w:type="dxa" w:w="5803"/>
          </w:tcPr>
          <w:p>
            <w:pPr>
              <w:spacing w:after="20"/>
            </w:pPr>
            <w:r>
              <w:rPr>
                <w:color w:val="1C3A36"/>
                <w:sz w:val="16"/>
              </w:rPr>
              <w:t>The 2025 review of the Egyptian cement industry and the 2026 outlook: consumption of 54Mt, the EGP 3,600 per tonne price expectation for 2026, demand-growth forecasts of 1% to 8%, and the abolition of the production-quota system in May 2025 with exports capped at 30% of output.</w:t>
            </w:r>
          </w:p>
        </w:tc>
        <w:tc>
          <w:tcPr>
            <w:tcW w:type="dxa" w:w="2880"/>
          </w:tcPr>
          <w:p>
            <w:pPr>
              <w:spacing w:after="20"/>
            </w:pPr>
            <w:r>
              <w:rPr>
                <w:color w:val="1C3A36"/>
                <w:sz w:val="16"/>
              </w:rPr>
              <w:t>enterpriseam.com</w:t>
            </w:r>
          </w:p>
        </w:tc>
      </w:tr>
      <w:tr>
        <w:tc>
          <w:tcPr>
            <w:tcW w:type="dxa" w:w="2664"/>
          </w:tcPr>
          <w:p>
            <w:pPr>
              <w:spacing w:after="20"/>
            </w:pPr>
            <w:r>
              <w:rPr>
                <w:color w:val="1C3A36"/>
                <w:sz w:val="16"/>
              </w:rPr>
              <w:t>S&amp;P Global Market Intelligence, via independent aggregations</w:t>
            </w:r>
          </w:p>
        </w:tc>
        <w:tc>
          <w:tcPr>
            <w:tcW w:type="dxa" w:w="2333"/>
          </w:tcPr>
          <w:p>
            <w:pPr>
              <w:spacing w:after="20"/>
            </w:pPr>
            <w:r>
              <w:rPr>
                <w:color w:val="1C3A36"/>
                <w:sz w:val="16"/>
              </w:rPr>
              <w:t>Data aggregator</w:t>
            </w:r>
          </w:p>
        </w:tc>
        <w:tc>
          <w:tcPr>
            <w:tcW w:type="dxa" w:w="5803"/>
          </w:tcPr>
          <w:p>
            <w:pPr>
              <w:spacing w:after="20"/>
            </w:pPr>
            <w:r>
              <w:rPr>
                <w:color w:val="1C3A36"/>
                <w:sz w:val="16"/>
              </w:rPr>
              <w:t>FY2025 operating income of EGP 4,595.82mn; Q4-2025 revenue of EGP 3,645.60mn and EBITDA of EGP 1,393.01mn; the trailing gross margin of 40.77%; total assets, total equity, total debt and cash; the share count of 374.87mn.</w:t>
            </w:r>
          </w:p>
        </w:tc>
        <w:tc>
          <w:tcPr>
            <w:tcW w:type="dxa" w:w="2880"/>
          </w:tcPr>
          <w:p>
            <w:pPr>
              <w:spacing w:after="20"/>
            </w:pPr>
            <w:r>
              <w:rPr>
                <w:color w:val="1C3A36"/>
                <w:sz w:val="16"/>
              </w:rPr>
              <w:t>Relayed through search summaries of stockanalysis.com, simplywall.st and investing.com; the three summaries were cross-checked against each other, but none of the three pages was retrieved</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with the overnight deposit and lending rates at 19.00% and 20.00%; the Q1-2026 Monetary Policy Report; the medium-term inflation target of 7% used to build the terminal risk-free rate; the headline urban inflation series easing to 14.3% in June 2026.</w:t>
            </w:r>
          </w:p>
        </w:tc>
        <w:tc>
          <w:tcPr>
            <w:tcW w:type="dxa" w:w="2880"/>
          </w:tcPr>
          <w:p>
            <w:pPr>
              <w:spacing w:after="20"/>
            </w:pPr>
            <w:r>
              <w:rPr>
                <w:color w:val="1C3A36"/>
                <w:sz w:val="16"/>
              </w:rPr>
              <w:t>cbe.org.eg</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w:t>
            </w:r>
          </w:p>
        </w:tc>
        <w:tc>
          <w:tcPr>
            <w:tcW w:type="dxa" w:w="2880"/>
          </w:tcPr>
          <w:p>
            <w:pPr>
              <w:spacing w:after="20"/>
            </w:pPr>
            <w:r>
              <w:rPr>
                <w:color w:val="1C3A36"/>
                <w:sz w:val="16"/>
              </w:rPr>
              <w:t>Statutory rate</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Amwal Al Ghad — bank exchange-rate surveys</w:t>
            </w:r>
          </w:p>
        </w:tc>
        <w:tc>
          <w:tcPr>
            <w:tcW w:type="dxa" w:w="2333"/>
          </w:tcPr>
          <w:p>
            <w:pPr>
              <w:spacing w:after="20"/>
            </w:pPr>
            <w:r>
              <w:rPr>
                <w:color w:val="1C3A36"/>
                <w:sz w:val="16"/>
              </w:rPr>
              <w:t>Financial press</w:t>
            </w:r>
          </w:p>
        </w:tc>
        <w:tc>
          <w:tcPr>
            <w:tcW w:type="dxa" w:w="5803"/>
          </w:tcPr>
          <w:p>
            <w:pPr>
              <w:spacing w:after="20"/>
            </w:pPr>
            <w:r>
              <w:rPr>
                <w:color w:val="1C3A36"/>
                <w:sz w:val="16"/>
              </w:rPr>
              <w:t>The Egyptian pound at 50.30/50.40 against the dollar at the close of 4 August 2026, and an average bank buying rate of 51.01 on 1 August 2026.</w:t>
            </w:r>
          </w:p>
        </w:tc>
        <w:tc>
          <w:tcPr>
            <w:tcW w:type="dxa" w:w="2880"/>
          </w:tcPr>
          <w:p>
            <w:pPr>
              <w:spacing w:after="20"/>
            </w:pPr>
            <w:r>
              <w:rPr>
                <w:color w:val="1C3A36"/>
                <w:sz w:val="16"/>
              </w:rPr>
              <w:t>en.amwalalghad.com</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supplied with the engagement. This series is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Specific thermal energy of 3.2 to 3.6 GJ per tonne of clinker for a dry preheater/precalciner kiln; 90 to 110 kWh per tonne of cement; replacement cost of USD 120 to 150 per annual tonne; fixed cash cost of USD 10 to 20 per tonne of capacity.</w:t>
            </w:r>
          </w:p>
        </w:tc>
        <w:tc>
          <w:tcPr>
            <w:tcW w:type="dxa" w:w="2880"/>
          </w:tcPr>
          <w:p>
            <w:pPr>
              <w:spacing w:after="20"/>
            </w:pPr>
            <w:r>
              <w:rPr>
                <w:color w:val="1C3A36"/>
                <w:sz w:val="16"/>
              </w:rPr>
              <w:t>Used for the unit cost stack and the asset lens</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Share count — 374.87 million</w:t>
            </w:r>
          </w:p>
        </w:tc>
        <w:tc>
          <w:tcPr>
            <w:tcW w:type="dxa" w:w="10224"/>
          </w:tcPr>
          <w:p>
            <w:pPr>
              <w:spacing w:after="20"/>
            </w:pPr>
            <w:r>
              <w:rPr>
                <w:color w:val="1C3A36"/>
                <w:sz w:val="16"/>
              </w:rPr>
              <w:t>Triangulated three ways. The FY2024 distribution of EGP 1,100mn at EGP 2.94 per share implies 374.15mn; the FY2025 distribution of EGP 2,000mn at EGP 5.34 per share implies 374.53mn; and the quoted count is 374.87mn. The three agree to within 0.19%, which is why the count is treated as known rather than estimated. The reconciliation is on the model's Per-Share and Ratios sheet.</w:t>
            </w:r>
          </w:p>
        </w:tc>
      </w:tr>
      <w:tr>
        <w:tc>
          <w:tcPr>
            <w:tcW w:type="dxa" w:w="3456"/>
          </w:tcPr>
          <w:p>
            <w:pPr>
              <w:spacing w:after="20"/>
            </w:pPr>
            <w:r>
              <w:rPr>
                <w:color w:val="1C3A36"/>
                <w:sz w:val="16"/>
              </w:rPr>
              <w:t>FY2025 depreciation — EGP 301mn</w:t>
            </w:r>
          </w:p>
        </w:tc>
        <w:tc>
          <w:tcPr>
            <w:tcW w:type="dxa" w:w="10224"/>
          </w:tcPr>
          <w:p>
            <w:pPr>
              <w:spacing w:after="20"/>
            </w:pPr>
            <w:r>
              <w:rPr>
                <w:color w:val="1C3A36"/>
                <w:sz w:val="16"/>
              </w:rPr>
              <w:t>No depreciation line is separately retrievable. Three independent methods are computed and averaged ON THE SHEET rather than asserted: the Q4-2025 EBITDA margin applied to full-year revenue less the disclosed operating profit gives EGP 160mn; a peer depreciation charge per tonne of despatch applied to this volume gives EGP 558mn; and the net property base implied by total assets less cash and working capital, times a composite rate, gives EGP 185mn. The highest is 3.5 times the lowest and that spread is published.</w:t>
            </w:r>
          </w:p>
        </w:tc>
      </w:tr>
      <w:tr>
        <w:tc>
          <w:tcPr>
            <w:tcW w:type="dxa" w:w="3456"/>
          </w:tcPr>
          <w:p>
            <w:pPr>
              <w:spacing w:after="20"/>
            </w:pPr>
            <w:r>
              <w:rPr>
                <w:color w:val="1C3A36"/>
                <w:sz w:val="16"/>
              </w:rPr>
              <w:t>The effective tax rate — 29.43%</w:t>
            </w:r>
          </w:p>
        </w:tc>
        <w:tc>
          <w:tcPr>
            <w:tcW w:type="dxa" w:w="10224"/>
          </w:tcPr>
          <w:p>
            <w:pPr>
              <w:spacing w:after="20"/>
            </w:pPr>
            <w:r>
              <w:rPr>
                <w:color w:val="1C3A36"/>
                <w:sz w:val="16"/>
              </w:rPr>
              <w:t>Not chosen and not the statutory rate. Disclosed FY2025 operating income of EGP 4,595.82mn plus modelled net finance income of EGP 504mn — treasury on the disclosed cash balance less interest on the disclosed debt — gives pre-tax profit of EGP 5,100mn. Against the disclosed attributable profit of EGP 3,599mn that leaves this rate and no other. It is above the statutory 22.5% and is used in preference to it.</w:t>
            </w:r>
          </w:p>
        </w:tc>
      </w:tr>
      <w:tr>
        <w:tc>
          <w:tcPr>
            <w:tcW w:type="dxa" w:w="3456"/>
          </w:tcPr>
          <w:p>
            <w:pPr>
              <w:spacing w:after="20"/>
            </w:pPr>
            <w:r>
              <w:rPr>
                <w:color w:val="1C3A36"/>
                <w:sz w:val="16"/>
              </w:rPr>
              <w:t>Sales volume and realised price, FY2023 to FY2025</w:t>
            </w:r>
          </w:p>
        </w:tc>
        <w:tc>
          <w:tcPr>
            <w:tcW w:type="dxa" w:w="10224"/>
          </w:tcPr>
          <w:p>
            <w:pPr>
              <w:spacing w:after="20"/>
            </w:pPr>
            <w:r>
              <w:rPr>
                <w:color w:val="1C3A36"/>
                <w:sz w:val="16"/>
              </w:rPr>
              <w:t>Volume is kiln capacity times a utilisation path, divided by the clinker factor. Realised price is then disclosed revenue divided by that volume, so the build reproduces the reported top line. The FY2024-to-FY2025 pair is a genuine cross-check rather than an identity: it decomposes the disclosed +42.6% revenue step into a +5.3% volume step on a +35.5% price step, which is what the removal of the production quota should look like.</w:t>
            </w:r>
          </w:p>
        </w:tc>
      </w:tr>
      <w:tr>
        <w:tc>
          <w:tcPr>
            <w:tcW w:type="dxa" w:w="3456"/>
          </w:tcPr>
          <w:p>
            <w:pPr>
              <w:spacing w:after="20"/>
            </w:pPr>
            <w:r>
              <w:rPr>
                <w:color w:val="1C3A36"/>
                <w:sz w:val="16"/>
              </w:rPr>
              <w:t>FY2023 and FY2024 EBIT and EBITDA</w:t>
            </w:r>
          </w:p>
        </w:tc>
        <w:tc>
          <w:tcPr>
            <w:tcW w:type="dxa" w:w="10224"/>
          </w:tcPr>
          <w:p>
            <w:pPr>
              <w:spacing w:after="20"/>
            </w:pPr>
            <w:r>
              <w:rPr>
                <w:color w:val="1C3A36"/>
                <w:sz w:val="16"/>
              </w:rPr>
              <w:t>Disclosed attributable profit is grossed up at the effective rate derived above to give operating profit, with net finance income set to zero in those years because the cash balance that produces it was built during FY2025. Depreciation at the derived charge per tonne is added back to give EBITDA.</w:t>
            </w:r>
          </w:p>
        </w:tc>
      </w:tr>
      <w:tr>
        <w:tc>
          <w:tcPr>
            <w:tcW w:type="dxa" w:w="3456"/>
          </w:tcPr>
          <w:p>
            <w:pPr>
              <w:spacing w:after="20"/>
            </w:pPr>
            <w:r>
              <w:rPr>
                <w:color w:val="1C3A36"/>
                <w:sz w:val="16"/>
              </w:rPr>
              <w:t>Net property and working capital at FY2025</w:t>
            </w:r>
          </w:p>
        </w:tc>
        <w:tc>
          <w:tcPr>
            <w:tcW w:type="dxa" w:w="10224"/>
          </w:tcPr>
          <w:p>
            <w:pPr>
              <w:spacing w:after="20"/>
            </w:pPr>
            <w:r>
              <w:rPr>
                <w:color w:val="1C3A36"/>
                <w:sz w:val="16"/>
              </w:rPr>
              <w:t>No breakdown of total assets is retrievable. Inventory is estimated at 60 days of the cost of sales implied by the disclosed gross margin, receivables at 30 days of revenue, and net property is the residual against disclosed total assets and cash. These estimates exist to size the third depreciation method and to open the balance-sheet roll-forward; they are not load-bearing for the valuation.</w:t>
            </w:r>
          </w:p>
        </w:tc>
      </w:tr>
      <w:tr>
        <w:tc>
          <w:tcPr>
            <w:tcW w:type="dxa" w:w="3456"/>
          </w:tcPr>
          <w:p>
            <w:pPr>
              <w:spacing w:after="20"/>
            </w:pPr>
            <w:r>
              <w:rPr>
                <w:color w:val="1C3A36"/>
                <w:sz w:val="16"/>
              </w:rPr>
              <w:t>Terminal return on invested capital — 10.3%</w:t>
            </w:r>
          </w:p>
        </w:tc>
        <w:tc>
          <w:tcPr>
            <w:tcW w:type="dxa" w:w="10224"/>
          </w:tcPr>
          <w:p>
            <w:pPr>
              <w:spacing w:after="20"/>
            </w:pPr>
            <w:r>
              <w:rPr>
                <w:color w:val="1C3A36"/>
                <w:sz w:val="16"/>
              </w:rPr>
              <w:t>Struck on REPLACEMENT COST — 5.0Mt at USD 130 per annual tonne, or EGP 32,695mn — rather than on book invested capital, which would flatter it several times over because the plant is carried at pre-devaluation historic cost. The consequence is that terminal growth is value-destroying in this model, and that is shown rather than hidden.</w:t>
            </w:r>
          </w:p>
        </w:tc>
      </w:tr>
      <w:tr>
        <w:tc>
          <w:tcPr>
            <w:tcW w:type="dxa" w:w="3456"/>
          </w:tcPr>
          <w:p>
            <w:pPr>
              <w:spacing w:after="20"/>
            </w:pPr>
            <w:r>
              <w:rPr>
                <w:color w:val="1C3A36"/>
                <w:sz w:val="16"/>
              </w:rPr>
              <w:t>Beta — 0.628 adopted</w:t>
            </w:r>
          </w:p>
        </w:tc>
        <w:tc>
          <w:tcPr>
            <w:tcW w:type="dxa" w:w="10224"/>
          </w:tcPr>
          <w:p>
            <w:pPr>
              <w:spacing w:after="20"/>
            </w:pPr>
            <w:r>
              <w:rPr>
                <w:color w:val="1C3A36"/>
                <w:sz w:val="16"/>
              </w:rPr>
              <w:t>A five-year weekly regression of the shares against a 34-name equal-weight Egyptian composite, with the subject excluded from its own index, returns 0.628 on 257 observations with an R-squared of 0.091 and a standard error of 0.125. That clears the usability gate, so the regression is adopted rather than a default — and it is flagged statistically weak, with the valuation shown across a beta range. A lead-and-lag estimator correcting for the 12.2% of sessions that close unchanged gives 0.919, an uplift not statistically distinguishable from zero; its effect on the valuation is published as a value in the study.</w:t>
            </w:r>
          </w:p>
        </w:tc>
      </w:tr>
      <w:tr>
        <w:tc>
          <w:tcPr>
            <w:tcW w:type="dxa" w:w="3456"/>
          </w:tcPr>
          <w:p>
            <w:pPr>
              <w:spacing w:after="20"/>
            </w:pPr>
            <w:r>
              <w:rPr>
                <w:color w:val="1C3A36"/>
                <w:sz w:val="16"/>
              </w:rPr>
              <w:t>Capital expenditure</w:t>
            </w:r>
          </w:p>
        </w:tc>
        <w:tc>
          <w:tcPr>
            <w:tcW w:type="dxa" w:w="10224"/>
          </w:tcPr>
          <w:p>
            <w:pPr>
              <w:spacing w:after="20"/>
            </w:pPr>
            <w:r>
              <w:rPr>
                <w:color w:val="1C3A36"/>
                <w:sz w:val="16"/>
              </w:rPr>
              <w:t>No capital-expenditure guidance is obtainable. It is set at the economic maintenance level of USD 4.00 per tonne of installed capacity rather than at book depreciation, because a historic-cost asset base in a currency that has devalued several times understates what it costs to keep a plant running. This is deliberately conservative and the cost of the conservatism is computed in the study.</w:t>
            </w:r>
          </w:p>
        </w:tc>
      </w:tr>
      <w:tr>
        <w:tc>
          <w:tcPr>
            <w:tcW w:type="dxa" w:w="3456"/>
          </w:tcPr>
          <w:p>
            <w:pPr>
              <w:spacing w:after="20"/>
            </w:pPr>
            <w:r>
              <w:rPr>
                <w:color w:val="1C3A36"/>
                <w:sz w:val="16"/>
              </w:rPr>
              <w:t>Non-controlling interests — EGP 150mn</w:t>
            </w:r>
          </w:p>
        </w:tc>
        <w:tc>
          <w:tcPr>
            <w:tcW w:type="dxa" w:w="10224"/>
          </w:tcPr>
          <w:p>
            <w:pPr>
              <w:spacing w:after="20"/>
            </w:pPr>
            <w:r>
              <w:rPr>
                <w:color w:val="1C3A36"/>
                <w:sz w:val="16"/>
              </w:rPr>
              <w:t>No minority-interest balance is separately retrievable. The size is inferred from the profit statements: disclosed FY2025 earnings per share of EGP 9.49 on 374.87mn shares gives EGP 3,557mn against a stated attributable profit of EGP 3,599mn, a gap of about 1.2% consistent with the statutory employees' and directors' profit share rather than with a large minority. A deliberately non-trivial figure is deducted and sensitised.</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Two production lines in Suez governorate producing on average about five million tonnes of first-quality clinker and cement a year, roughly 6% of Egypt's nominal capacity — the second largest cement plant in the country</w:t>
            </w:r>
          </w:p>
        </w:tc>
        <w:tc>
          <w:tcPr>
            <w:tcW w:type="dxa" w:w="3053"/>
          </w:tcPr>
          <w:p>
            <w:pPr>
              <w:spacing w:after="20"/>
            </w:pPr>
            <w:r>
              <w:rPr>
                <w:color w:val="1C3A36"/>
                <w:sz w:val="14"/>
              </w:rPr>
              <w:t>Company corporate disclosure (About Us) and industry profiles</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EGX filings reported by Mubasher, Arab Finance, Zawya and cemnet</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Aggregated income-statement data from S&amp;P Global Market Intelligence as carried by independent aggregations</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Aggregated balance-sheet data from S&amp;P Global Market Intelligence as carried by independent aggregations</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EGX filing reported by Arab Finance, Zawya and MarketScreener</w:t>
            </w:r>
          </w:p>
        </w:tc>
        <w:tc>
          <w:tcPr>
            <w:tcW w:type="dxa" w:w="1267"/>
          </w:tcPr>
          <w:p>
            <w:pPr>
              <w:spacing w:after="20"/>
            </w:pPr>
            <w:r>
              <w:rPr>
                <w:color w:val="1C3A36"/>
                <w:sz w:val="14"/>
              </w:rPr>
              <w:t>2026-05-12</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Company general-meeting resolutions reported by Mubasher and Arab Finance</w:t>
            </w:r>
          </w:p>
        </w:tc>
        <w:tc>
          <w:tcPr>
            <w:tcW w:type="dxa" w:w="1267"/>
          </w:tcPr>
          <w:p>
            <w:pPr>
              <w:spacing w:after="20"/>
            </w:pPr>
            <w:r>
              <w:rPr>
                <w:color w:val="1C3A36"/>
                <w:sz w:val="14"/>
              </w:rPr>
              <w:t>2026-04-01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Cementos La Union of Spain acquired majority control in 2004 and the company listed on the EGX in May 2014; the price history supplied begins on the listing date</w:t>
            </w:r>
          </w:p>
        </w:tc>
        <w:tc>
          <w:tcPr>
            <w:tcW w:type="dxa" w:w="3053"/>
          </w:tcPr>
          <w:p>
            <w:pPr>
              <w:spacing w:after="20"/>
            </w:pPr>
            <w:r>
              <w:rPr>
                <w:color w:val="1C3A36"/>
                <w:sz w:val="14"/>
              </w:rPr>
              <w:t>Company history disclosure; the supplied EGX daily series</w:t>
            </w:r>
          </w:p>
        </w:tc>
        <w:tc>
          <w:tcPr>
            <w:tcW w:type="dxa" w:w="1267"/>
          </w:tcPr>
          <w:p>
            <w:pPr>
              <w:spacing w:after="20"/>
            </w:pPr>
            <w:r>
              <w:rPr>
                <w:color w:val="1C3A36"/>
                <w:sz w:val="14"/>
              </w:rPr>
              <w:t>2014-05-18</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gate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