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A2E"/>
          <w:sz w:val="32"/>
        </w:rPr>
        <w:t>Lulu Retail Holdings PLC (ADX: LULU) — Source Register</w:t>
      </w:r>
    </w:p>
    <w:p>
      <w:r>
        <w:rPr>
          <w:i/>
          <w:color w:val="6C7A89"/>
          <w:sz w:val="18"/>
        </w:rPr>
        <w:t>Revision r1 · 13 July 2026 · build e9fc9b7dba6a · supersedes the 12 July register</w:t>
      </w:r>
    </w:p>
    <w:p>
      <w:r>
        <w:rPr>
          <w:b/>
          <w:sz w:val="22"/>
        </w:rPr>
        <w:t>Sources newly reached in this revision</w:t>
      </w:r>
    </w:p>
    <w:tbl>
      <w:tblPr>
        <w:tblStyle w:val="TableGrid"/>
        <w:tblW w:type="auto" w:w="0"/>
        <w:tblLook w:firstColumn="1" w:firstRow="1" w:lastColumn="0" w:lastRow="0" w:noHBand="0" w:noVBand="1" w:val="04A0"/>
      </w:tblPr>
      <w:tblGrid>
        <w:gridCol w:w="4320"/>
        <w:gridCol w:w="4320"/>
      </w:tblGrid>
      <w:tr>
        <w:tc>
          <w:tcPr>
            <w:tcW w:type="dxa" w:w="4320"/>
          </w:tcPr>
          <w:p>
            <w:r/>
            <w:r>
              <w:rPr>
                <w:b/>
                <w:sz w:val="17"/>
              </w:rPr>
              <w:t>Source</w:t>
            </w:r>
          </w:p>
        </w:tc>
        <w:tc>
          <w:tcPr>
            <w:tcW w:type="dxa" w:w="4320"/>
          </w:tcPr>
          <w:p>
            <w:r/>
            <w:r>
              <w:rPr>
                <w:b/>
                <w:sz w:val="17"/>
              </w:rPr>
              <w:t>What it settles</w:t>
            </w:r>
          </w:p>
        </w:tc>
      </w:tr>
      <w:tr>
        <w:tc>
          <w:tcPr>
            <w:tcW w:type="dxa" w:w="4320"/>
          </w:tcPr>
          <w:p>
            <w:r/>
            <w:r>
              <w:rPr>
                <w:sz w:val="16"/>
              </w:rPr>
              <w:t>Lulu Retail FY2024 preliminary results (10 Feb 2025)</w:t>
            </w:r>
          </w:p>
        </w:tc>
        <w:tc>
          <w:tcPr>
            <w:tcW w:type="dxa" w:w="4320"/>
          </w:tcPr>
          <w:p>
            <w:r/>
            <w:r>
              <w:rPr>
                <w:sz w:val="16"/>
              </w:rPr>
              <w:t>Settles the store history. “A total of 250 stores as at 31 December 2024” — 117 hypermarkets, 109 express, 24 mini. The 12-July study printed 247, reverse-engineered as 267 minus 20 and blind to closures. FY2025 was therefore 20 OPENED and 3 CLOSED, a net gain of 17.</w:t>
            </w:r>
          </w:p>
        </w:tc>
      </w:tr>
      <w:tr>
        <w:tc>
          <w:tcPr>
            <w:tcW w:type="dxa" w:w="4320"/>
          </w:tcPr>
          <w:p>
            <w:r/>
            <w:r>
              <w:rPr>
                <w:sz w:val="16"/>
              </w:rPr>
              <w:t>UAE Ministry of Finance — Domestic Minimum Top-up Tax; OECD Pillar Two (Cabinet Decision 142/2024)</w:t>
            </w:r>
          </w:p>
        </w:tc>
        <w:tc>
          <w:tcPr>
            <w:tcW w:type="dxa" w:w="4320"/>
          </w:tcPr>
          <w:p>
            <w:r/>
            <w:r>
              <w:rPr>
                <w:sz w:val="16"/>
              </w:rPr>
              <w:t>A 15% minimum effective tax rate, in force for financial years beginning on or after 1 January 2025, for multinational groups above the EUR 750m threshold. Lulu ($7.9bn, six countries) is squarely in scope. Its audited FY2025 effective rate is 11.85%, so the substance-based carve-out is absorbing most of the top-up today — but that carve-out steps down across the transition. The 12-July study never mentioned this regime.</w:t>
            </w:r>
          </w:p>
        </w:tc>
      </w:tr>
      <w:tr>
        <w:tc>
          <w:tcPr>
            <w:tcW w:type="dxa" w:w="4320"/>
          </w:tcPr>
          <w:p>
            <w:r/>
            <w:r>
              <w:rPr>
                <w:sz w:val="16"/>
              </w:rPr>
              <w:t>CBUAE Quarterly Economic Review, June 2026</w:t>
            </w:r>
          </w:p>
        </w:tc>
        <w:tc>
          <w:tcPr>
            <w:tcW w:type="dxa" w:w="4320"/>
          </w:tcPr>
          <w:p>
            <w:r/>
            <w:r>
              <w:rPr>
                <w:sz w:val="16"/>
              </w:rPr>
              <w:t>The vintage actually cited. Real GDP grew 6.2% in 2025, led by a 6.8% rise in non-hydrocarbon sectors. The 12-July source register printed 5.6% and 6.1% — the MARCH-2026 vintage — under a June-2026 citation. It also records the March–April 2026 maritime-route disruption, directly material to a grocer’s demand backdrop.</w:t>
            </w:r>
          </w:p>
        </w:tc>
      </w:tr>
      <w:tr>
        <w:tc>
          <w:tcPr>
            <w:tcW w:type="dxa" w:w="4320"/>
          </w:tcPr>
          <w:p>
            <w:r/>
            <w:r>
              <w:rPr>
                <w:sz w:val="16"/>
              </w:rPr>
              <w:t>TradingView — Abdullah Al Othaim (Tadawul 4001), retrieved 13 July 2026</w:t>
            </w:r>
          </w:p>
        </w:tc>
        <w:tc>
          <w:tcPr>
            <w:tcW w:type="dxa" w:w="4320"/>
          </w:tcPr>
          <w:p>
            <w:r/>
            <w:r>
              <w:rPr>
                <w:sz w:val="16"/>
              </w:rPr>
              <w:t>EBITDA margin 6.48%; 2025 dividend yield 6.69%. The 12-July study quoted “~6.5% / ~6.7%” with NO vendor and NO date. The vendor spread is wide: other marks show margins of 8.0–8.3% and yields of 4.8–6.9%, and forward EV/EBITDA of 9.75–11.6×. Our 8.9× exit anchor is conservative against every mark found.</w:t>
            </w:r>
          </w:p>
        </w:tc>
      </w:tr>
    </w:tbl>
    <w:p/>
    <w:p>
      <w:r>
        <w:rPr>
          <w:b/>
          <w:sz w:val="22"/>
        </w:rPr>
        <w:t>The full register</w:t>
      </w:r>
    </w:p>
    <w:p>
      <w:r>
        <w:rPr>
          <w:sz w:val="19"/>
        </w:rPr>
        <w:t>Every finding behind the study — dated, attributed, and including what was searched for and NOT found. Rows marked “Searched — not found” are deliberate: a figure looked for and shown not to exist is part of the record, and each is carried through the study as an explicit limitation rather than quietly filled with an estimate. No financial-statement line comes from a data aggregator.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7"/>
              </w:rPr>
              <w:t>Scope</w:t>
            </w:r>
          </w:p>
        </w:tc>
        <w:tc>
          <w:tcPr>
            <w:tcW w:type="dxa" w:w="1728"/>
          </w:tcPr>
          <w:p>
            <w:r/>
            <w:r>
              <w:rPr>
                <w:b/>
                <w:sz w:val="17"/>
              </w:rPr>
              <w:t>Kind</w:t>
            </w:r>
          </w:p>
        </w:tc>
        <w:tc>
          <w:tcPr>
            <w:tcW w:type="dxa" w:w="1728"/>
          </w:tcPr>
          <w:p>
            <w:r/>
            <w:r>
              <w:rPr>
                <w:b/>
                <w:sz w:val="17"/>
              </w:rPr>
              <w:t>Finding</w:t>
            </w:r>
          </w:p>
        </w:tc>
        <w:tc>
          <w:tcPr>
            <w:tcW w:type="dxa" w:w="1728"/>
          </w:tcPr>
          <w:p>
            <w:r/>
            <w:r>
              <w:rPr>
                <w:b/>
                <w:sz w:val="17"/>
              </w:rPr>
              <w:t>Source</w:t>
            </w:r>
          </w:p>
        </w:tc>
        <w:tc>
          <w:tcPr>
            <w:tcW w:type="dxa" w:w="1728"/>
          </w:tcPr>
          <w:p>
            <w:r/>
            <w:r>
              <w:rPr>
                <w:b/>
                <w:sz w:val="17"/>
              </w:rPr>
              <w:t>Date</w:t>
            </w:r>
          </w:p>
        </w:tc>
      </w:tr>
      <w:tr>
        <w:tc>
          <w:tcPr>
            <w:tcW w:type="dxa" w:w="1728"/>
          </w:tcPr>
          <w:p>
            <w:r/>
            <w:r>
              <w:rPr>
                <w:sz w:val="16"/>
              </w:rPr>
              <w:t>Global</w:t>
            </w:r>
          </w:p>
        </w:tc>
        <w:tc>
          <w:tcPr>
            <w:tcW w:type="dxa" w:w="1728"/>
          </w:tcPr>
          <w:p>
            <w:r/>
            <w:r>
              <w:rPr>
                <w:sz w:val="16"/>
              </w:rPr>
              <w:t>Structural</w:t>
            </w:r>
          </w:p>
        </w:tc>
        <w:tc>
          <w:tcPr>
            <w:tcW w:type="dxa" w:w="1728"/>
          </w:tcPr>
          <w:p>
            <w:r/>
            <w:r>
              <w:rPr>
                <w:sz w:val="16"/>
              </w:rPr>
              <w:t>AED hard-pegged to USD at 3.6725; CBUAE Base Rate 3.65% tracks the Fed. AED T-Bond programme is the study's rf source: Jan-2031 tranche cleared 4.30% (23-May-26 auction); longest AED tenor is the 7-yr Feb-2033 T-Sukuk at 4.13% (Apr-26). No 10-yr AED tenor exists.</w:t>
            </w:r>
          </w:p>
        </w:tc>
        <w:tc>
          <w:tcPr>
            <w:tcW w:type="dxa" w:w="1728"/>
          </w:tcPr>
          <w:p>
            <w:r/>
            <w:r>
              <w:rPr>
                <w:sz w:val="16"/>
              </w:rPr>
              <w:t>UAE Ministry of Finance T-Bond auction releases; CBUAE</w:t>
            </w:r>
          </w:p>
        </w:tc>
        <w:tc>
          <w:tcPr>
            <w:tcW w:type="dxa" w:w="1728"/>
          </w:tcPr>
          <w:p>
            <w:r/>
            <w:r>
              <w:rPr>
                <w:sz w:val="16"/>
              </w:rPr>
              <w:t>23 May 2026</w:t>
            </w:r>
          </w:p>
        </w:tc>
      </w:tr>
      <w:tr>
        <w:tc>
          <w:tcPr>
            <w:tcW w:type="dxa" w:w="1728"/>
          </w:tcPr>
          <w:p>
            <w:r/>
            <w:r>
              <w:rPr>
                <w:sz w:val="16"/>
              </w:rPr>
              <w:t>Global</w:t>
            </w:r>
          </w:p>
        </w:tc>
        <w:tc>
          <w:tcPr>
            <w:tcW w:type="dxa" w:w="1728"/>
          </w:tcPr>
          <w:p>
            <w:r/>
            <w:r>
              <w:rPr>
                <w:sz w:val="16"/>
              </w:rPr>
              <w:t>Structural</w:t>
            </w:r>
          </w:p>
        </w:tc>
        <w:tc>
          <w:tcPr>
            <w:tcW w:type="dxa" w:w="1728"/>
          </w:tcPr>
          <w:p>
            <w:r/>
            <w:r>
              <w:rPr>
                <w:sz w:val="16"/>
              </w:rPr>
              <w:t>Global food commodity prices and freight are LULU's principal input cost. The 2026 Strait of Hormuz crisis (US/Israel strikes and IRGC VHF closure warnings 28-Feb-26; formal IRGC closure announced 2-Mar-26; 'complete control' declared 4-Mar-26; US naval blockade 13-Apr to 29-May; Islamabad MOU signed 17-Jun-26 and the strait reopening) disrupted GCC food imports; regional consumer price spikes were reported. LULU airlifted staples and kept all stores stocked and open.</w:t>
            </w:r>
          </w:p>
        </w:tc>
        <w:tc>
          <w:tcPr>
            <w:tcW w:type="dxa" w:w="1728"/>
          </w:tcPr>
          <w:p>
            <w:r/>
            <w:r>
              <w:rPr>
                <w:sz w:val="16"/>
              </w:rPr>
              <w:t>Company Q1-2026 results commentary; press coverage of the disruption</w:t>
            </w:r>
          </w:p>
        </w:tc>
        <w:tc>
          <w:tcPr>
            <w:tcW w:type="dxa" w:w="1728"/>
          </w:tcPr>
          <w:p>
            <w:r/>
            <w:r>
              <w:rPr>
                <w:sz w:val="16"/>
              </w:rPr>
              <w:t>11 May 2026</w:t>
            </w:r>
          </w:p>
        </w:tc>
      </w:tr>
      <w:tr>
        <w:tc>
          <w:tcPr>
            <w:tcW w:type="dxa" w:w="1728"/>
          </w:tcPr>
          <w:p>
            <w:r/>
            <w:r>
              <w:rPr>
                <w:sz w:val="16"/>
              </w:rPr>
              <w:t>Global</w:t>
            </w:r>
          </w:p>
        </w:tc>
        <w:tc>
          <w:tcPr>
            <w:tcW w:type="dxa" w:w="1728"/>
          </w:tcPr>
          <w:p>
            <w:r/>
            <w:r>
              <w:rPr>
                <w:sz w:val="16"/>
              </w:rPr>
              <w:t>COLOR</w:t>
            </w:r>
          </w:p>
        </w:tc>
        <w:tc>
          <w:tcPr>
            <w:tcW w:type="dxa" w:w="1728"/>
          </w:tcPr>
          <w:p>
            <w:r/>
            <w:r>
              <w:rPr>
                <w:sz w:val="16"/>
              </w:rPr>
              <w:t>Global grocery retail is a low-growth, low-margin, defensive category. Global retail sector EV/EBITDA ~11.7x (all retail); listed food retailers cluster far lower at ~5-7x (Tesco, Ahold Delhaize, Carrefour), with Jeronimo Martins at a premium.</w:t>
            </w:r>
          </w:p>
        </w:tc>
        <w:tc>
          <w:tcPr>
            <w:tcW w:type="dxa" w:w="1728"/>
          </w:tcPr>
          <w:p>
            <w:r/>
            <w:r>
              <w:rPr>
                <w:sz w:val="16"/>
              </w:rPr>
              <w:t>Statista global retail sector multiples; peer quotes</w:t>
            </w:r>
          </w:p>
        </w:tc>
        <w:tc>
          <w:tcPr>
            <w:tcW w:type="dxa" w:w="1728"/>
          </w:tcPr>
          <w:p>
            <w:r/>
            <w:r>
              <w:rPr>
                <w:sz w:val="16"/>
              </w:rPr>
              <w:t>11 Jul 2026</w:t>
            </w:r>
          </w:p>
        </w:tc>
      </w:tr>
      <w:tr>
        <w:tc>
          <w:tcPr>
            <w:tcW w:type="dxa" w:w="1728"/>
          </w:tcPr>
          <w:p>
            <w:r/>
            <w:r>
              <w:rPr>
                <w:sz w:val="16"/>
              </w:rPr>
              <w:t>Global</w:t>
            </w:r>
          </w:p>
        </w:tc>
        <w:tc>
          <w:tcPr>
            <w:tcW w:type="dxa" w:w="1728"/>
          </w:tcPr>
          <w:p>
            <w:r/>
            <w:r>
              <w:rPr>
                <w:sz w:val="16"/>
              </w:rPr>
              <w:t>Structural</w:t>
            </w:r>
          </w:p>
        </w:tc>
        <w:tc>
          <w:tcPr>
            <w:tcW w:type="dxa" w:w="1728"/>
          </w:tcPr>
          <w:p>
            <w:r/>
            <w:r>
              <w:rPr>
                <w:sz w:val="16"/>
              </w:rPr>
              <w:t>LULU sources from 85 countries via 19 sourcing centres — an unusually deep own-import chain for a regional grocer. The Hormuz disruption tested it directly; management reported all stores remained open and well-stocked, which is the falsifiable claim.</w:t>
            </w:r>
          </w:p>
        </w:tc>
        <w:tc>
          <w:tcPr>
            <w:tcW w:type="dxa" w:w="1728"/>
          </w:tcPr>
          <w:p>
            <w:r/>
            <w:r>
              <w:rPr>
                <w:sz w:val="16"/>
              </w:rPr>
              <w:t>Company Q1-2026 earnings release</w:t>
            </w:r>
          </w:p>
        </w:tc>
        <w:tc>
          <w:tcPr>
            <w:tcW w:type="dxa" w:w="1728"/>
          </w:tcPr>
          <w:p>
            <w:r/>
            <w:r>
              <w:rPr>
                <w:sz w:val="16"/>
              </w:rPr>
              <w:t>11 May 2026</w:t>
            </w:r>
          </w:p>
        </w:tc>
      </w:tr>
      <w:tr>
        <w:tc>
          <w:tcPr>
            <w:tcW w:type="dxa" w:w="1728"/>
          </w:tcPr>
          <w:p>
            <w:r/>
            <w:r>
              <w:rPr>
                <w:sz w:val="16"/>
              </w:rPr>
              <w:t>Country</w:t>
            </w:r>
          </w:p>
        </w:tc>
        <w:tc>
          <w:tcPr>
            <w:tcW w:type="dxa" w:w="1728"/>
          </w:tcPr>
          <w:p>
            <w:r/>
            <w:r>
              <w:rPr>
                <w:sz w:val="16"/>
              </w:rPr>
              <w:t>COLOR</w:t>
            </w:r>
          </w:p>
        </w:tc>
        <w:tc>
          <w:tcPr>
            <w:tcW w:type="dxa" w:w="1728"/>
          </w:tcPr>
          <w:p>
            <w:r/>
            <w:r>
              <w:rPr>
                <w:sz w:val="16"/>
              </w:rPr>
              <w:t>UAE Aa2 (Moody's). GDP +5.6% (2025), non-oil +6.1%. Inflation 1.3% avg 2025; food inflation easing. Peg intact — no devaluation channel. Q1/Q2-2026 growth sharply decelerated on the Hormuz closure. KSA: Vision-2030 population and retail growth, offset by Saudization labour cost.</w:t>
            </w:r>
          </w:p>
        </w:tc>
        <w:tc>
          <w:tcPr>
            <w:tcW w:type="dxa" w:w="1728"/>
          </w:tcPr>
          <w:p>
            <w:r/>
            <w:r>
              <w:rPr>
                <w:sz w:val="16"/>
              </w:rPr>
              <w:t>CBUAE; World Bank; Damodaran country file (Aa2)</w:t>
            </w:r>
          </w:p>
        </w:tc>
        <w:tc>
          <w:tcPr>
            <w:tcW w:type="dxa" w:w="1728"/>
          </w:tcPr>
          <w:p>
            <w:r/>
            <w:r>
              <w:rPr>
                <w:sz w:val="16"/>
              </w:rPr>
              <w:t>11 Jul 2026</w:t>
            </w:r>
          </w:p>
        </w:tc>
      </w:tr>
      <w:tr>
        <w:tc>
          <w:tcPr>
            <w:tcW w:type="dxa" w:w="1728"/>
          </w:tcPr>
          <w:p>
            <w:r/>
            <w:r>
              <w:rPr>
                <w:sz w:val="16"/>
              </w:rPr>
              <w:t>Country</w:t>
            </w:r>
          </w:p>
        </w:tc>
        <w:tc>
          <w:tcPr>
            <w:tcW w:type="dxa" w:w="1728"/>
          </w:tcPr>
          <w:p>
            <w:r/>
            <w:r>
              <w:rPr>
                <w:sz w:val="16"/>
              </w:rPr>
              <w:t>Unlocks a driver</w:t>
            </w:r>
          </w:p>
        </w:tc>
        <w:tc>
          <w:tcPr>
            <w:tcW w:type="dxa" w:w="1728"/>
          </w:tcPr>
          <w:p>
            <w:r/>
            <w:r>
              <w:rPr>
                <w:sz w:val="16"/>
              </w:rPr>
              <w:t>UAE 9% federal corporate tax effective for FYs beginning on/after 1-Jun-2023. KSA subsidiary taxed under Saudi CIT/zakat. Group effective tax rate FY2025 = 11.85% (27.499 / 232.031), FY2024 = 9.35% — rising with the KSA mix. No price caps on grocery retail.</w:t>
            </w:r>
          </w:p>
        </w:tc>
        <w:tc>
          <w:tcPr>
            <w:tcW w:type="dxa" w:w="1728"/>
          </w:tcPr>
          <w:p>
            <w:r/>
            <w:r>
              <w:rPr>
                <w:sz w:val="16"/>
              </w:rPr>
              <w:t>FY2025 audited consolidated financial statements (Deloitte)</w:t>
            </w:r>
          </w:p>
        </w:tc>
        <w:tc>
          <w:tcPr>
            <w:tcW w:type="dxa" w:w="1728"/>
          </w:tcPr>
          <w:p>
            <w:r/>
            <w:r>
              <w:rPr>
                <w:sz w:val="16"/>
              </w:rPr>
              <w:t>18 Mar 2026</w:t>
            </w:r>
          </w:p>
        </w:tc>
      </w:tr>
      <w:tr>
        <w:tc>
          <w:tcPr>
            <w:tcW w:type="dxa" w:w="1728"/>
          </w:tcPr>
          <w:p>
            <w:r/>
            <w:r>
              <w:rPr>
                <w:sz w:val="16"/>
              </w:rPr>
              <w:t>Country</w:t>
            </w:r>
          </w:p>
        </w:tc>
        <w:tc>
          <w:tcPr>
            <w:tcW w:type="dxa" w:w="1728"/>
          </w:tcPr>
          <w:p>
            <w:r/>
            <w:r>
              <w:rPr>
                <w:sz w:val="16"/>
              </w:rPr>
              <w:t>Structural</w:t>
            </w:r>
          </w:p>
        </w:tc>
        <w:tc>
          <w:tcPr>
            <w:tcW w:type="dxa" w:w="1728"/>
          </w:tcPr>
          <w:p>
            <w:r/>
            <w:r>
              <w:rPr>
                <w:sz w:val="16"/>
              </w:rPr>
              <w:t>The 2026 regional escalation / Strait of Hormuz closure is the dominant country-ring event: it hit during the MARCH portion of Ramadan (c.18-Feb to 19-Mar-2026), grocery's seasonal peak. LULU's Q1-2026 revenue fell 2.9% and net income fell 33% — a Ramadan quarter that went backwards.</w:t>
            </w:r>
          </w:p>
        </w:tc>
        <w:tc>
          <w:tcPr>
            <w:tcW w:type="dxa" w:w="1728"/>
          </w:tcPr>
          <w:p>
            <w:r/>
            <w:r>
              <w:rPr>
                <w:sz w:val="16"/>
              </w:rPr>
              <w:t>Company Q1-2026 earnings release, 11-May-2026</w:t>
            </w:r>
          </w:p>
        </w:tc>
        <w:tc>
          <w:tcPr>
            <w:tcW w:type="dxa" w:w="1728"/>
          </w:tcPr>
          <w:p>
            <w:r/>
            <w:r>
              <w:rPr>
                <w:sz w:val="16"/>
              </w:rPr>
              <w:t>11 May 2026</w:t>
            </w:r>
          </w:p>
        </w:tc>
      </w:tr>
      <w:tr>
        <w:tc>
          <w:tcPr>
            <w:tcW w:type="dxa" w:w="1728"/>
          </w:tcPr>
          <w:p>
            <w:r/>
            <w:r>
              <w:rPr>
                <w:sz w:val="16"/>
              </w:rPr>
              <w:t>Industry</w:t>
            </w:r>
          </w:p>
        </w:tc>
        <w:tc>
          <w:tcPr>
            <w:tcW w:type="dxa" w:w="1728"/>
          </w:tcPr>
          <w:p>
            <w:r/>
            <w:r>
              <w:rPr>
                <w:sz w:val="16"/>
              </w:rPr>
              <w:t>COLOR</w:t>
            </w:r>
          </w:p>
        </w:tc>
        <w:tc>
          <w:tcPr>
            <w:tcW w:type="dxa" w:w="1728"/>
          </w:tcPr>
          <w:p>
            <w:r/>
            <w:r>
              <w:rPr>
                <w:sz w:val="16"/>
              </w:rPr>
              <w:t>GCC grocery market projected to reach c.US$101bn by 2028, a 4.2% CAGR 2023-28 (modern retail ~4.8%). LULU held 13.5% of the GCC modern offline grocery market in 2023 — #1 overall, and #1 in Oman, Qatar, Kuwait and Bahrain; #2 in the UAE; fastest-growing player of scale in KSA.</w:t>
            </w:r>
          </w:p>
        </w:tc>
        <w:tc>
          <w:tcPr>
            <w:tcW w:type="dxa" w:w="1728"/>
          </w:tcPr>
          <w:p>
            <w:r/>
            <w:r>
              <w:rPr>
                <w:sz w:val="16"/>
              </w:rPr>
              <w:t>Euromonitor International, cited in the company's IPO/ITF disclosure</w:t>
            </w:r>
          </w:p>
        </w:tc>
        <w:tc>
          <w:tcPr>
            <w:tcW w:type="dxa" w:w="1728"/>
          </w:tcPr>
          <w:p>
            <w:r/>
            <w:r>
              <w:rPr>
                <w:sz w:val="16"/>
              </w:rPr>
              <w:t>14 Nov 2024</w:t>
            </w:r>
          </w:p>
        </w:tc>
      </w:tr>
      <w:tr>
        <w:tc>
          <w:tcPr>
            <w:tcW w:type="dxa" w:w="1728"/>
          </w:tcPr>
          <w:p>
            <w:r/>
            <w:r>
              <w:rPr>
                <w:sz w:val="16"/>
              </w:rPr>
              <w:t>Industry</w:t>
            </w:r>
          </w:p>
        </w:tc>
        <w:tc>
          <w:tcPr>
            <w:tcW w:type="dxa" w:w="1728"/>
          </w:tcPr>
          <w:p>
            <w:r/>
            <w:r>
              <w:rPr>
                <w:sz w:val="16"/>
              </w:rPr>
              <w:t>Structural</w:t>
            </w:r>
          </w:p>
        </w:tc>
        <w:tc>
          <w:tcPr>
            <w:tcW w:type="dxa" w:w="1728"/>
          </w:tcPr>
          <w:p>
            <w:r/>
            <w:r>
              <w:rPr>
                <w:sz w:val="16"/>
              </w:rPr>
              <w:t>Grocery pricing is pass-through-constrained and promotional. LULU's gross margin has been flat-to-down: 23.02% (FY23) -&gt; 23.16% (FY24) -&gt; 22.98% (FY25), and 22.2% in Q1-2026. The EBITDA margin fell to 9.5% in Q4-2025 and again 9.5% in Q1-2026, from 9.86% for FY25.</w:t>
            </w:r>
          </w:p>
        </w:tc>
        <w:tc>
          <w:tcPr>
            <w:tcW w:type="dxa" w:w="1728"/>
          </w:tcPr>
          <w:p>
            <w:r/>
            <w:r>
              <w:rPr>
                <w:sz w:val="16"/>
              </w:rPr>
              <w:t>FY2023-FY2025 audited FS; Q1-2026 earnings release</w:t>
            </w:r>
          </w:p>
        </w:tc>
        <w:tc>
          <w:tcPr>
            <w:tcW w:type="dxa" w:w="1728"/>
          </w:tcPr>
          <w:p>
            <w:r/>
            <w:r>
              <w:rPr>
                <w:sz w:val="16"/>
              </w:rPr>
              <w:t>11 May 2026</w:t>
            </w:r>
          </w:p>
        </w:tc>
      </w:tr>
      <w:tr>
        <w:tc>
          <w:tcPr>
            <w:tcW w:type="dxa" w:w="1728"/>
          </w:tcPr>
          <w:p>
            <w:r/>
            <w:r>
              <w:rPr>
                <w:sz w:val="16"/>
              </w:rPr>
              <w:t>Industry</w:t>
            </w:r>
          </w:p>
        </w:tc>
        <w:tc>
          <w:tcPr>
            <w:tcW w:type="dxa" w:w="1728"/>
          </w:tcPr>
          <w:p>
            <w:r/>
            <w:r>
              <w:rPr>
                <w:sz w:val="16"/>
              </w:rPr>
              <w:t>Structural</w:t>
            </w:r>
          </w:p>
        </w:tc>
        <w:tc>
          <w:tcPr>
            <w:tcW w:type="dxa" w:w="1728"/>
          </w:tcPr>
          <w:p>
            <w:r/>
            <w:r>
              <w:rPr>
                <w:sz w:val="16"/>
              </w:rPr>
              <w:t>Discounters and quick-commerce aggregators are entering GCC grocery. Saudi broker commentary on Al Othaim explicitly names 'new discounters such as Lulu' and convenience formats (BinDawood's 'dash') as margin pressures — i.e. the discount channel is live in KSA, LULU's weakest-margin market (4.7% segment EBITDA margin FY25).</w:t>
            </w:r>
          </w:p>
        </w:tc>
        <w:tc>
          <w:tcPr>
            <w:tcW w:type="dxa" w:w="1728"/>
          </w:tcPr>
          <w:p>
            <w:r/>
            <w:r>
              <w:rPr>
                <w:sz w:val="16"/>
              </w:rPr>
              <w:t>Al-Jazira Capital broker note on Al Othaim; sector coverage</w:t>
            </w:r>
          </w:p>
        </w:tc>
        <w:tc>
          <w:tcPr>
            <w:tcW w:type="dxa" w:w="1728"/>
          </w:tcPr>
          <w:p>
            <w:r/>
            <w:r>
              <w:rPr>
                <w:sz w:val="16"/>
              </w:rPr>
              <w:t>11 Jul 2026</w:t>
            </w:r>
          </w:p>
        </w:tc>
      </w:tr>
      <w:tr>
        <w:tc>
          <w:tcPr>
            <w:tcW w:type="dxa" w:w="1728"/>
          </w:tcPr>
          <w:p>
            <w:r/>
            <w:r>
              <w:rPr>
                <w:sz w:val="16"/>
              </w:rPr>
              <w:t>Industry</w:t>
            </w:r>
          </w:p>
        </w:tc>
        <w:tc>
          <w:tcPr>
            <w:tcW w:type="dxa" w:w="1728"/>
          </w:tcPr>
          <w:p>
            <w:r/>
            <w:r>
              <w:rPr>
                <w:sz w:val="16"/>
              </w:rPr>
              <w:t>Unlocks a driver</w:t>
            </w:r>
          </w:p>
        </w:tc>
        <w:tc>
          <w:tcPr>
            <w:tcW w:type="dxa" w:w="1728"/>
          </w:tcPr>
          <w:p>
            <w:r/>
            <w:r>
              <w:rPr>
                <w:sz w:val="16"/>
              </w:rPr>
              <w:t>E-commerce is additive, not substitutive, for LULU: FY2025 online sales US$451.1m, +38.6%, 6.0% of retail sales; Q1-2026 US$150m, +61%, 7.9% of sales. About half the estate is e-commerce enabled; quick-commerce (45-90 min) live; Amazon partnership in the UAE.</w:t>
            </w:r>
          </w:p>
        </w:tc>
        <w:tc>
          <w:tcPr>
            <w:tcW w:type="dxa" w:w="1728"/>
          </w:tcPr>
          <w:p>
            <w:r/>
            <w:r>
              <w:rPr>
                <w:sz w:val="16"/>
              </w:rPr>
              <w:t>FY2025 results; Q1-2026 earnings release</w:t>
            </w:r>
          </w:p>
        </w:tc>
        <w:tc>
          <w:tcPr>
            <w:tcW w:type="dxa" w:w="1728"/>
          </w:tcPr>
          <w:p>
            <w:r/>
            <w:r>
              <w:rPr>
                <w:sz w:val="16"/>
              </w:rPr>
              <w:t>11 May 2026</w:t>
            </w:r>
          </w:p>
        </w:tc>
      </w:tr>
      <w:tr>
        <w:tc>
          <w:tcPr>
            <w:tcW w:type="dxa" w:w="1728"/>
          </w:tcPr>
          <w:p>
            <w:r/>
            <w:r>
              <w:rPr>
                <w:sz w:val="16"/>
              </w:rPr>
              <w:t>Industry</w:t>
            </w:r>
          </w:p>
        </w:tc>
        <w:tc>
          <w:tcPr>
            <w:tcW w:type="dxa" w:w="1728"/>
          </w:tcPr>
          <w:p>
            <w:r/>
            <w:r>
              <w:rPr>
                <w:sz w:val="16"/>
              </w:rPr>
              <w:t>Structural</w:t>
            </w:r>
          </w:p>
        </w:tc>
        <w:tc>
          <w:tcPr>
            <w:tcW w:type="dxa" w:w="1728"/>
          </w:tcPr>
          <w:p>
            <w:r/>
            <w:r>
              <w:rPr>
                <w:sz w:val="16"/>
              </w:rPr>
              <w:t>Closest listed comps and their marks: Spinneys (DFM) FY2025 adj. EBITDA margin 20.0% on a premium/Waitrose positioning (fresh 64.2%, private label 45.4% of sales) — not structurally comparable; Abdullah Al Othaim Markets (Tadawul 4001) EV/EBITDA ~8.9x on a ~6.5% EBITDA margin — the tightest structural comp; BinDawood (Tadawul 4161). Carrefour/Majid Al Futtaim is the largest UAE competitor but unlisted; Union Coop exploring an IPO.</w:t>
            </w:r>
          </w:p>
        </w:tc>
        <w:tc>
          <w:tcPr>
            <w:tcW w:type="dxa" w:w="1728"/>
          </w:tcPr>
          <w:p>
            <w:r/>
            <w:r>
              <w:rPr>
                <w:sz w:val="16"/>
              </w:rPr>
              <w:t>Spinneys FY2025 results release (11-Feb-26); Tadawul/vendor quotes</w:t>
            </w:r>
          </w:p>
        </w:tc>
        <w:tc>
          <w:tcPr>
            <w:tcW w:type="dxa" w:w="1728"/>
          </w:tcPr>
          <w:p>
            <w:r/>
            <w:r>
              <w:rPr>
                <w:sz w:val="16"/>
              </w:rPr>
              <w:t>11 Jul 2026</w:t>
            </w:r>
          </w:p>
        </w:tc>
      </w:tr>
      <w:tr>
        <w:tc>
          <w:tcPr>
            <w:tcW w:type="dxa" w:w="1728"/>
          </w:tcPr>
          <w:p>
            <w:r/>
            <w:r>
              <w:rPr>
                <w:sz w:val="16"/>
              </w:rPr>
              <w:t>Company</w:t>
            </w:r>
          </w:p>
        </w:tc>
        <w:tc>
          <w:tcPr>
            <w:tcW w:type="dxa" w:w="1728"/>
          </w:tcPr>
          <w:p>
            <w:r/>
            <w:r>
              <w:rPr>
                <w:sz w:val="16"/>
              </w:rPr>
              <w:t>Unlocks a driver</w:t>
            </w:r>
          </w:p>
        </w:tc>
        <w:tc>
          <w:tcPr>
            <w:tcW w:type="dxa" w:w="1728"/>
          </w:tcPr>
          <w:p>
            <w:r/>
            <w:r>
              <w:rPr>
                <w:sz w:val="16"/>
              </w:rPr>
              <w:t>FY2023/FY2024/FY2025 audited consolidated FS (Deloitte &amp; Touche ME, unqualified, 18-Mar-2026) captured. FY2025: revenue 7,933.970; gross profit 1,822.836; other operating income 302.553; operating expenses (1,731.157) incl. D&amp;A; finance costs net (162.201); tax (27.499); net profit 204.532; EPS US$0.0198. RECONCILED: EBIT 394.232 + D&amp;A 387.946 (PPE 167.018 / RoU 219.381 / IP 1.547) = EBITDA 782.178, which ties to the company's stated US$782.2m. Balance sheet: total assets 5,440.109; equity 1,004.763; cash 329.543; PPE 1,411.939; RoU 1,765.769; inventory 1,491.112. Cash flow: OCF 596.362; capex 138.501; lease principal 190.804; dividends 182.812.</w:t>
            </w:r>
          </w:p>
        </w:tc>
        <w:tc>
          <w:tcPr>
            <w:tcW w:type="dxa" w:w="1728"/>
          </w:tcPr>
          <w:p>
            <w:r/>
            <w:r>
              <w:rPr>
                <w:sz w:val="16"/>
              </w:rPr>
              <w:t>FY2025 audited consolidated financial statements (Deloitte)</w:t>
            </w:r>
          </w:p>
        </w:tc>
        <w:tc>
          <w:tcPr>
            <w:tcW w:type="dxa" w:w="1728"/>
          </w:tcPr>
          <w:p>
            <w:r/>
            <w:r>
              <w:rPr>
                <w:sz w:val="16"/>
              </w:rPr>
              <w:t>18 Mar 2026</w:t>
            </w:r>
          </w:p>
        </w:tc>
      </w:tr>
      <w:tr>
        <w:tc>
          <w:tcPr>
            <w:tcW w:type="dxa" w:w="1728"/>
          </w:tcPr>
          <w:p>
            <w:r/>
            <w:r>
              <w:rPr>
                <w:sz w:val="16"/>
              </w:rPr>
              <w:t>Company</w:t>
            </w:r>
          </w:p>
        </w:tc>
        <w:tc>
          <w:tcPr>
            <w:tcW w:type="dxa" w:w="1728"/>
          </w:tcPr>
          <w:p>
            <w:r/>
            <w:r>
              <w:rPr>
                <w:sz w:val="16"/>
              </w:rPr>
              <w:t>Structural</w:t>
            </w:r>
          </w:p>
        </w:tc>
        <w:tc>
          <w:tcPr>
            <w:tcW w:type="dxa" w:w="1728"/>
          </w:tcPr>
          <w:p>
            <w:r/>
            <w:r>
              <w:rPr>
                <w:sz w:val="16"/>
              </w:rPr>
              <w:t>FY2026 guidance issued 13-Feb-26 and REITERATED at Q1 on 11-May-26 (i.e. after the Q1 miss): revenue +4-5%; FLAT EBITDA margin; net profit +10%; 18-20 new stores; capex 1.2-1.5% of sales. Medium-term: 50 new stores 2026-28; dividend policy 75% of distributable profit, semi-annual.</w:t>
            </w:r>
          </w:p>
        </w:tc>
        <w:tc>
          <w:tcPr>
            <w:tcW w:type="dxa" w:w="1728"/>
          </w:tcPr>
          <w:p>
            <w:r/>
            <w:r>
              <w:rPr>
                <w:sz w:val="16"/>
              </w:rPr>
              <w:t>Q1-2026 earnings release / results call</w:t>
            </w:r>
          </w:p>
        </w:tc>
        <w:tc>
          <w:tcPr>
            <w:tcW w:type="dxa" w:w="1728"/>
          </w:tcPr>
          <w:p>
            <w:r/>
            <w:r>
              <w:rPr>
                <w:sz w:val="16"/>
              </w:rPr>
              <w:t>11 May 2026</w:t>
            </w:r>
          </w:p>
        </w:tc>
      </w:tr>
      <w:tr>
        <w:tc>
          <w:tcPr>
            <w:tcW w:type="dxa" w:w="1728"/>
          </w:tcPr>
          <w:p>
            <w:r/>
            <w:r>
              <w:rPr>
                <w:sz w:val="16"/>
              </w:rPr>
              <w:t>Company</w:t>
            </w:r>
          </w:p>
        </w:tc>
        <w:tc>
          <w:tcPr>
            <w:tcW w:type="dxa" w:w="1728"/>
          </w:tcPr>
          <w:p>
            <w:r/>
            <w:r>
              <w:rPr>
                <w:sz w:val="16"/>
              </w:rPr>
              <w:t>Changes the base case</w:t>
            </w:r>
          </w:p>
        </w:tc>
        <w:tc>
          <w:tcPr>
            <w:tcW w:type="dxa" w:w="1728"/>
          </w:tcPr>
          <w:p>
            <w:r/>
            <w:r>
              <w:rPr>
                <w:sz w:val="16"/>
              </w:rPr>
              <w:t>Q1-2026 (11-May-26): revenue US$2,020m (-2.9% YoY); gross margin 22.2%; EBITDA US$192m (9.5% margin); net income US$47m (-33% YoY); 277 stores (+10 in the quarter); net debt US$2.5bn = 3.3x IFRS-16 / 0.9x ex-lease; e-commerce US$150m (+61%, 7.9% of sales); private label 30.2%.</w:t>
            </w:r>
          </w:p>
        </w:tc>
        <w:tc>
          <w:tcPr>
            <w:tcW w:type="dxa" w:w="1728"/>
          </w:tcPr>
          <w:p>
            <w:r/>
            <w:r>
              <w:rPr>
                <w:sz w:val="16"/>
              </w:rPr>
              <w:t>Q1-2026 earnings release</w:t>
            </w:r>
          </w:p>
        </w:tc>
        <w:tc>
          <w:tcPr>
            <w:tcW w:type="dxa" w:w="1728"/>
          </w:tcPr>
          <w:p>
            <w:r/>
            <w:r>
              <w:rPr>
                <w:sz w:val="16"/>
              </w:rPr>
              <w:t>11 May 2026</w:t>
            </w:r>
          </w:p>
        </w:tc>
      </w:tr>
      <w:tr>
        <w:tc>
          <w:tcPr>
            <w:tcW w:type="dxa" w:w="1728"/>
          </w:tcPr>
          <w:p>
            <w:r/>
            <w:r>
              <w:rPr>
                <w:sz w:val="16"/>
              </w:rPr>
              <w:t>Company</w:t>
            </w:r>
          </w:p>
        </w:tc>
        <w:tc>
          <w:tcPr>
            <w:tcW w:type="dxa" w:w="1728"/>
          </w:tcPr>
          <w:p>
            <w:r/>
            <w:r>
              <w:rPr>
                <w:sz w:val="16"/>
              </w:rPr>
              <w:t>COLOR</w:t>
            </w:r>
          </w:p>
        </w:tc>
        <w:tc>
          <w:tcPr>
            <w:tcW w:type="dxa" w:w="1728"/>
          </w:tcPr>
          <w:p>
            <w:r/>
            <w:r>
              <w:rPr>
                <w:sz w:val="16"/>
              </w:rPr>
              <w:t>Store network FY2025: 267 stores (123 hypermarkets, 118 express, 26 mini) — UAE 116, KSA 65, Oman 32, Qatar 24, Kuwait 17, Bahrain 13; 1.38m sqm retail space (+5.6%). Loyalty: 8.4m members, ~67% of revenue member-linked. c.680-690k daily shoppers, 130 nationalities. ~70% of FY24/FY25 openings were smaller express/mini formats (the asset-light pivot).</w:t>
            </w:r>
          </w:p>
        </w:tc>
        <w:tc>
          <w:tcPr>
            <w:tcW w:type="dxa" w:w="1728"/>
          </w:tcPr>
          <w:p>
            <w:r/>
            <w:r>
              <w:rPr>
                <w:sz w:val="16"/>
              </w:rPr>
              <w:t>FY2025 results presentation / IR disclosure</w:t>
            </w:r>
          </w:p>
        </w:tc>
        <w:tc>
          <w:tcPr>
            <w:tcW w:type="dxa" w:w="1728"/>
          </w:tcPr>
          <w:p>
            <w:r/>
            <w:r>
              <w:rPr>
                <w:sz w:val="16"/>
              </w:rPr>
              <w:t>13 Feb 2026</w:t>
            </w:r>
          </w:p>
        </w:tc>
      </w:tr>
      <w:tr>
        <w:tc>
          <w:tcPr>
            <w:tcW w:type="dxa" w:w="1728"/>
          </w:tcPr>
          <w:p>
            <w:r/>
            <w:r>
              <w:rPr>
                <w:sz w:val="16"/>
              </w:rPr>
              <w:t>Company</w:t>
            </w:r>
          </w:p>
        </w:tc>
        <w:tc>
          <w:tcPr>
            <w:tcW w:type="dxa" w:w="1728"/>
          </w:tcPr>
          <w:p>
            <w:r/>
            <w:r>
              <w:rPr>
                <w:sz w:val="16"/>
              </w:rPr>
              <w:t>Structural</w:t>
            </w:r>
          </w:p>
        </w:tc>
        <w:tc>
          <w:tcPr>
            <w:tcW w:type="dxa" w:w="1728"/>
          </w:tcPr>
          <w:p>
            <w:r/>
            <w:r>
              <w:rPr>
                <w:sz w:val="16"/>
              </w:rPr>
              <w:t>FY2025 net profit fell 5.4% on continuing operations (204.532 vs 216.280) and the FY2025 dividend of 7 fils (US$196.9m) was ~96% of net profit, against a STATED 75% payout policy. FY2024 also carried US$32.9m of discontinued-operations profit (a lease-termination gain) that does not recur. No acquisitions, disposals or capital raises identified in FY2025/H1-2026.</w:t>
            </w:r>
          </w:p>
        </w:tc>
        <w:tc>
          <w:tcPr>
            <w:tcW w:type="dxa" w:w="1728"/>
          </w:tcPr>
          <w:p>
            <w:r/>
            <w:r>
              <w:rPr>
                <w:sz w:val="16"/>
              </w:rPr>
              <w:t>FY2025 audited FS; dividend declarations</w:t>
            </w:r>
          </w:p>
        </w:tc>
        <w:tc>
          <w:tcPr>
            <w:tcW w:type="dxa" w:w="1728"/>
          </w:tcPr>
          <w:p>
            <w:r/>
            <w:r>
              <w:rPr>
                <w:sz w:val="16"/>
              </w:rPr>
              <w:t>18 Mar 2026</w:t>
            </w:r>
          </w:p>
        </w:tc>
      </w:tr>
      <w:tr>
        <w:tc>
          <w:tcPr>
            <w:tcW w:type="dxa" w:w="1728"/>
          </w:tcPr>
          <w:p>
            <w:r/>
            <w:r>
              <w:rPr>
                <w:sz w:val="16"/>
              </w:rPr>
              <w:t>Company</w:t>
            </w:r>
          </w:p>
        </w:tc>
        <w:tc>
          <w:tcPr>
            <w:tcW w:type="dxa" w:w="1728"/>
          </w:tcPr>
          <w:p>
            <w:r/>
            <w:r>
              <w:rPr>
                <w:sz w:val="16"/>
              </w:rPr>
              <w:t>Structural</w:t>
            </w:r>
          </w:p>
        </w:tc>
        <w:tc>
          <w:tcPr>
            <w:tcW w:type="dxa" w:w="1728"/>
          </w:tcPr>
          <w:p>
            <w:r/>
            <w:r>
              <w:rPr>
                <w:sz w:val="16"/>
              </w:rPr>
              <w:t>Lulu International Holdings Limited holds 70.44% post-IPO (FY2025 audited FS, Note 1); ultimate controlling party Mr. Yusuffali M.A. IPO 14-Nov-2024 at AED 2.04 was a 100% SECONDARY offering (AED 6.32bn to the selling shareholder; no primary proceeds to the company). Cornerstone investors carried a 180-day lock-up (expired c.mid-May-2025). SEARCHED SPECIFICALLY: the controlling shareholder's own lock-up expiry date and any post-IPO placement — NOT FOUND in an official source. No placement has been announced.</w:t>
            </w:r>
          </w:p>
        </w:tc>
        <w:tc>
          <w:tcPr>
            <w:tcW w:type="dxa" w:w="1728"/>
          </w:tcPr>
          <w:p>
            <w:r/>
            <w:r>
              <w:rPr>
                <w:sz w:val="16"/>
              </w:rPr>
              <w:t>FY2025 audited FS Note 1; IPO prospectus / ADX admission documents</w:t>
            </w:r>
          </w:p>
        </w:tc>
        <w:tc>
          <w:tcPr>
            <w:tcW w:type="dxa" w:w="1728"/>
          </w:tcPr>
          <w:p>
            <w:r/>
            <w:r>
              <w:rPr>
                <w:sz w:val="16"/>
              </w:rPr>
              <w:t>18 Mar 2026</w:t>
            </w:r>
          </w:p>
        </w:tc>
      </w:tr>
      <w:tr>
        <w:tc>
          <w:tcPr>
            <w:tcW w:type="dxa" w:w="1728"/>
          </w:tcPr>
          <w:p>
            <w:r/>
            <w:r>
              <w:rPr>
                <w:sz w:val="16"/>
              </w:rPr>
              <w:t>Company</w:t>
            </w:r>
          </w:p>
        </w:tc>
        <w:tc>
          <w:tcPr>
            <w:tcW w:type="dxa" w:w="1728"/>
          </w:tcPr>
          <w:p>
            <w:r/>
            <w:r>
              <w:rPr>
                <w:sz w:val="16"/>
              </w:rPr>
              <w:t>COLOR</w:t>
            </w:r>
          </w:p>
        </w:tc>
        <w:tc>
          <w:tcPr>
            <w:tcW w:type="dxa" w:w="1728"/>
          </w:tcPr>
          <w:p>
            <w:r/>
            <w:r>
              <w:rPr>
                <w:sz w:val="16"/>
              </w:rPr>
              <w:t>No management change, buyback, capital raise or rating action identified for FY2025/H1-2026. Dividend paid semi-annually (interim 3.5 fils + final 3.5 fils for FY2025). Next scheduled print: H1-2026 results, 19-Aug-2026.</w:t>
            </w:r>
          </w:p>
        </w:tc>
        <w:tc>
          <w:tcPr>
            <w:tcW w:type="dxa" w:w="1728"/>
          </w:tcPr>
          <w:p>
            <w:r/>
            <w:r>
              <w:rPr>
                <w:sz w:val="16"/>
              </w:rPr>
              <w:t>Company IR calendar / results announcements</w:t>
            </w:r>
          </w:p>
        </w:tc>
        <w:tc>
          <w:tcPr>
            <w:tcW w:type="dxa" w:w="1728"/>
          </w:tcPr>
          <w:p>
            <w:r/>
            <w:r>
              <w:rPr>
                <w:sz w:val="16"/>
              </w:rPr>
              <w:t>11 May 2026</w:t>
            </w:r>
          </w:p>
        </w:tc>
      </w:tr>
      <w:tr>
        <w:tc>
          <w:tcPr>
            <w:tcW w:type="dxa" w:w="1728"/>
          </w:tcPr>
          <w:p>
            <w:r/>
            <w:r>
              <w:rPr>
                <w:color w:val="9B2226"/>
                <w:sz w:val="16"/>
              </w:rPr>
              <w:t>Company</w:t>
            </w:r>
          </w:p>
        </w:tc>
        <w:tc>
          <w:tcPr>
            <w:tcW w:type="dxa" w:w="1728"/>
          </w:tcPr>
          <w:p>
            <w:r/>
            <w:r>
              <w:rPr>
                <w:color w:val="9B2226"/>
                <w:sz w:val="16"/>
              </w:rPr>
              <w:t>Searched — not found</w:t>
            </w:r>
          </w:p>
        </w:tc>
        <w:tc>
          <w:tcPr>
            <w:tcW w:type="dxa" w:w="1728"/>
          </w:tcPr>
          <w:p>
            <w:r/>
            <w:r>
              <w:rPr>
                <w:color w:val="9B2226"/>
                <w:sz w:val="16"/>
              </w:rPr>
              <w:t>Negative search — nothing found (multi-year revenue/margin guidance beyond FY2026; capital-markets day; maintenance-vs-growth capex split; any company-disclosed valuation guide or target multiple — none exist)</w:t>
            </w:r>
          </w:p>
        </w:tc>
        <w:tc>
          <w:tcPr>
            <w:tcW w:type="dxa" w:w="1728"/>
          </w:tcPr>
          <w:p>
            <w:r/>
            <w:r>
              <w:rPr>
                <w:color w:val="9B2226"/>
                <w:sz w:val="16"/>
              </w:rPr>
              <w:t>negative search</w:t>
            </w:r>
          </w:p>
        </w:tc>
        <w:tc>
          <w:tcPr>
            <w:tcW w:type="dxa" w:w="1728"/>
          </w:tcPr>
          <w:p>
            <w:r/>
            <w:r>
              <w:rPr>
                <w:color w:val="9B2226"/>
                <w:sz w:val="16"/>
              </w:rPr>
              <w:t>11 Jul 2026</w:t>
            </w:r>
          </w:p>
        </w:tc>
      </w:tr>
      <w:tr>
        <w:tc>
          <w:tcPr>
            <w:tcW w:type="dxa" w:w="1728"/>
          </w:tcPr>
          <w:p>
            <w:r/>
            <w:r>
              <w:rPr>
                <w:color w:val="9B2226"/>
                <w:sz w:val="16"/>
              </w:rPr>
              <w:t>Company</w:t>
            </w:r>
          </w:p>
        </w:tc>
        <w:tc>
          <w:tcPr>
            <w:tcW w:type="dxa" w:w="1728"/>
          </w:tcPr>
          <w:p>
            <w:r/>
            <w:r>
              <w:rPr>
                <w:color w:val="9B2226"/>
                <w:sz w:val="16"/>
              </w:rPr>
              <w:t>Searched — not found</w:t>
            </w:r>
          </w:p>
        </w:tc>
        <w:tc>
          <w:tcPr>
            <w:tcW w:type="dxa" w:w="1728"/>
          </w:tcPr>
          <w:p>
            <w:r/>
            <w:r>
              <w:rPr>
                <w:color w:val="9B2226"/>
                <w:sz w:val="16"/>
              </w:rPr>
              <w:t>Negative search — nothing found (FY2024/FY2025 trade payables line and the full cash-conversion cycle — disclosed only inside the audited notes, not in the captured summary statements; FY2023 is the last fully-disclosed year)</w:t>
            </w:r>
          </w:p>
        </w:tc>
        <w:tc>
          <w:tcPr>
            <w:tcW w:type="dxa" w:w="1728"/>
          </w:tcPr>
          <w:p>
            <w:r/>
            <w:r>
              <w:rPr>
                <w:color w:val="9B2226"/>
                <w:sz w:val="16"/>
              </w:rPr>
              <w:t>negative search</w:t>
            </w:r>
          </w:p>
        </w:tc>
        <w:tc>
          <w:tcPr>
            <w:tcW w:type="dxa" w:w="1728"/>
          </w:tcPr>
          <w:p>
            <w:r/>
            <w:r>
              <w:rPr>
                <w:color w:val="9B2226"/>
                <w:sz w:val="16"/>
              </w:rPr>
              <w:t>11 Jul 2026</w:t>
            </w:r>
          </w:p>
        </w:tc>
      </w:tr>
      <w:tr>
        <w:tc>
          <w:tcPr>
            <w:tcW w:type="dxa" w:w="1728"/>
          </w:tcPr>
          <w:p>
            <w:r/>
            <w:r>
              <w:rPr>
                <w:sz w:val="16"/>
              </w:rPr>
              <w:t>Country</w:t>
            </w:r>
          </w:p>
        </w:tc>
        <w:tc>
          <w:tcPr>
            <w:tcW w:type="dxa" w:w="1728"/>
          </w:tcPr>
          <w:p>
            <w:r/>
            <w:r>
              <w:rPr>
                <w:sz w:val="16"/>
              </w:rPr>
              <w:t>Unlocks a driver</w:t>
            </w:r>
          </w:p>
        </w:tc>
        <w:tc>
          <w:tcPr>
            <w:tcW w:type="dxa" w:w="1728"/>
          </w:tcPr>
          <w:p>
            <w:r/>
            <w:r>
              <w:rPr>
                <w:sz w:val="16"/>
              </w:rPr>
              <w:t>Cost-of-capital inputs sourced, not assumed. rf = 4.30% (AED T-Bond Jan-2031 tranche cut-off, UAE MoF auction 23-May-26) — the LOCAL government bond, never a US-Treasury shortcut, even under a peg; cross-check 4.13% on the 7-yr Feb-2033 T-Sukuk. ERP = 4.87% (Damodaran ORIGINAL ctryprem.html, 5-Jan-26 vintage: UAE Aa2, mature-market 4.23% + CRP 0.64%); Abu Dhabi CDS-basis 4.93% published alongside. Kd = 5.30% (FY25 interest expense 149.421 / derived average interest-bearing debt 2,832.6 = 5.28%; cross-checked against 3M EIBOR 3.93% + ~130bp margin).</w:t>
            </w:r>
          </w:p>
        </w:tc>
        <w:tc>
          <w:tcPr>
            <w:tcW w:type="dxa" w:w="1728"/>
          </w:tcPr>
          <w:p>
            <w:r/>
            <w:r>
              <w:rPr>
                <w:sz w:val="16"/>
              </w:rPr>
              <w:t>UAE MoF auction release; Damodaran ctryprem.html; CBUAE</w:t>
            </w:r>
          </w:p>
        </w:tc>
        <w:tc>
          <w:tcPr>
            <w:tcW w:type="dxa" w:w="1728"/>
          </w:tcPr>
          <w:p>
            <w:r/>
            <w:r>
              <w:rPr>
                <w:sz w:val="16"/>
              </w:rPr>
              <w:t>23 May 2026</w:t>
            </w:r>
          </w:p>
        </w:tc>
      </w:tr>
      <w:tr>
        <w:tc>
          <w:tcPr>
            <w:tcW w:type="dxa" w:w="1728"/>
          </w:tcPr>
          <w:p>
            <w:r/>
            <w:r>
              <w:rPr>
                <w:sz w:val="16"/>
              </w:rPr>
              <w:t>Company</w:t>
            </w:r>
          </w:p>
        </w:tc>
        <w:tc>
          <w:tcPr>
            <w:tcW w:type="dxa" w:w="1728"/>
          </w:tcPr>
          <w:p>
            <w:r/>
            <w:r>
              <w:rPr>
                <w:sz w:val="16"/>
              </w:rPr>
              <w:t>Changes the base case</w:t>
            </w:r>
          </w:p>
        </w:tc>
        <w:tc>
          <w:tcPr>
            <w:tcW w:type="dxa" w:w="1728"/>
          </w:tcPr>
          <w:p>
            <w:r/>
            <w:r>
              <w:rPr>
                <w:sz w:val="16"/>
              </w:rPr>
              <w:t>Q1-2026 press release (11-May-26) DISCLOSES the operating cost base: 'operating expenses (excluding depreciation) increased by just 1.1% year-on-year' and 'a mid-single digit percentage reduction in staff costs in existing stores'. Combined with the disclosed gross profit (US$449m) and EBITDA (US$192m), the Q1 margin bridge is pure arithmetic: -73bp = -65bp operating deleverage + -7bp contribution. This REPLACES any assumed opex rule.</w:t>
            </w:r>
          </w:p>
        </w:tc>
        <w:tc>
          <w:tcPr>
            <w:tcW w:type="dxa" w:w="1728"/>
          </w:tcPr>
          <w:p>
            <w:r/>
            <w:r>
              <w:rPr>
                <w:sz w:val="16"/>
              </w:rPr>
              <w:t>Lulu Retail Q1-2026 press release</w:t>
            </w:r>
          </w:p>
        </w:tc>
        <w:tc>
          <w:tcPr>
            <w:tcW w:type="dxa" w:w="1728"/>
          </w:tcPr>
          <w:p>
            <w:r/>
            <w:r>
              <w:rPr>
                <w:sz w:val="16"/>
              </w:rPr>
              <w:t>11 May 2026</w:t>
            </w:r>
          </w:p>
        </w:tc>
      </w:tr>
      <w:tr>
        <w:tc>
          <w:tcPr>
            <w:tcW w:type="dxa" w:w="1728"/>
          </w:tcPr>
          <w:p>
            <w:r/>
            <w:r>
              <w:rPr>
                <w:sz w:val="16"/>
              </w:rPr>
              <w:t>Company</w:t>
            </w:r>
          </w:p>
        </w:tc>
        <w:tc>
          <w:tcPr>
            <w:tcW w:type="dxa" w:w="1728"/>
          </w:tcPr>
          <w:p>
            <w:r/>
            <w:r>
              <w:rPr>
                <w:sz w:val="16"/>
              </w:rPr>
              <w:t>Unlocks a driver</w:t>
            </w:r>
          </w:p>
        </w:tc>
        <w:tc>
          <w:tcPr>
            <w:tcW w:type="dxa" w:w="1728"/>
          </w:tcPr>
          <w:p>
            <w:r/>
            <w:r>
              <w:rPr>
                <w:sz w:val="16"/>
              </w:rPr>
              <w:t>Q1-2026 store table: 11 stores opened, ALL EXPRESS format, totalling 20,153 sqm (= 1,832 sqm each); one Mini Market closed (227 sqm) =&gt; 10 NET, 267 -&gt; 277. Country split of openings: UAE 6, KSA 2, Kuwait 2, Oman 1. KSA store count 65 -&gt; 67. This gives the Express footprint used to forecast space.</w:t>
            </w:r>
          </w:p>
        </w:tc>
        <w:tc>
          <w:tcPr>
            <w:tcW w:type="dxa" w:w="1728"/>
          </w:tcPr>
          <w:p>
            <w:r/>
            <w:r>
              <w:rPr>
                <w:sz w:val="16"/>
              </w:rPr>
              <w:t>Lulu Retail Q1-2026 press release</w:t>
            </w:r>
          </w:p>
        </w:tc>
        <w:tc>
          <w:tcPr>
            <w:tcW w:type="dxa" w:w="1728"/>
          </w:tcPr>
          <w:p>
            <w:r/>
            <w:r>
              <w:rPr>
                <w:sz w:val="16"/>
              </w:rPr>
              <w:t>11 May 2026</w:t>
            </w:r>
          </w:p>
        </w:tc>
      </w:tr>
      <w:tr>
        <w:tc>
          <w:tcPr>
            <w:tcW w:type="dxa" w:w="1728"/>
          </w:tcPr>
          <w:p>
            <w:r/>
            <w:r>
              <w:rPr>
                <w:sz w:val="16"/>
              </w:rPr>
              <w:t>Company</w:t>
            </w:r>
          </w:p>
        </w:tc>
        <w:tc>
          <w:tcPr>
            <w:tcW w:type="dxa" w:w="1728"/>
          </w:tcPr>
          <w:p>
            <w:r/>
            <w:r>
              <w:rPr>
                <w:sz w:val="16"/>
              </w:rPr>
              <w:t>Unlocks a driver</w:t>
            </w:r>
          </w:p>
        </w:tc>
        <w:tc>
          <w:tcPr>
            <w:tcW w:type="dxa" w:w="1728"/>
          </w:tcPr>
          <w:p>
            <w:r/>
            <w:r>
              <w:rPr>
                <w:sz w:val="16"/>
              </w:rPr>
              <w:t>Company website discloses the format split (123 hypermarkets: UAE 43, KSA 30, Oman 21, Qatar 11, Kuwait 8, Bahrain 9) and the average hypermarket selling area (9,200 sqm). With the 1,832 sqm Express figure this reconstructs SEGMENT SPACE, and the derived total ties to the disclosed 1.380m sqm estate to within 0.6% — which licenses segment-level SALES DENSITY.</w:t>
            </w:r>
          </w:p>
        </w:tc>
        <w:tc>
          <w:tcPr>
            <w:tcW w:type="dxa" w:w="1728"/>
          </w:tcPr>
          <w:p>
            <w:r/>
            <w:r>
              <w:rPr>
                <w:sz w:val="16"/>
              </w:rPr>
              <w:t>luluretail.com — Retail</w:t>
            </w:r>
          </w:p>
        </w:tc>
        <w:tc>
          <w:tcPr>
            <w:tcW w:type="dxa" w:w="1728"/>
          </w:tcPr>
          <w:p>
            <w:r/>
            <w:r>
              <w:rPr>
                <w:sz w:val="16"/>
              </w:rPr>
              <w:t>Jul 2026</w:t>
            </w:r>
          </w:p>
        </w:tc>
      </w:tr>
      <w:tr>
        <w:tc>
          <w:tcPr>
            <w:tcW w:type="dxa" w:w="1728"/>
          </w:tcPr>
          <w:p>
            <w:r/>
            <w:r>
              <w:rPr>
                <w:sz w:val="16"/>
              </w:rPr>
              <w:t>Company</w:t>
            </w:r>
          </w:p>
        </w:tc>
        <w:tc>
          <w:tcPr>
            <w:tcW w:type="dxa" w:w="1728"/>
          </w:tcPr>
          <w:p>
            <w:r/>
            <w:r>
              <w:rPr>
                <w:sz w:val="16"/>
              </w:rPr>
              <w:t>Context</w:t>
            </w:r>
          </w:p>
        </w:tc>
        <w:tc>
          <w:tcPr>
            <w:tcW w:type="dxa" w:w="1728"/>
          </w:tcPr>
          <w:p>
            <w:r/>
            <w:r>
              <w:rPr>
                <w:sz w:val="16"/>
              </w:rPr>
              <w:t>Q1-2026 trading SHAPE: 'Trading in January and February was in line with the Company's expectations'; 'March saw a slowdown, particularly in non-food'. By category: CPG and Fresh Food INCREASED y/y; Lifestyle modestly down; Electrical 'a particularly pronounced decline ... mostly during March'. Capex 1.3% of sales. Loyalty-linked sales c.70%. 690,000 daily shoppers.</w:t>
            </w:r>
          </w:p>
        </w:tc>
        <w:tc>
          <w:tcPr>
            <w:tcW w:type="dxa" w:w="1728"/>
          </w:tcPr>
          <w:p>
            <w:r/>
            <w:r>
              <w:rPr>
                <w:sz w:val="16"/>
              </w:rPr>
              <w:t>Lulu Retail Q1-2026 press release</w:t>
            </w:r>
          </w:p>
        </w:tc>
        <w:tc>
          <w:tcPr>
            <w:tcW w:type="dxa" w:w="1728"/>
          </w:tcPr>
          <w:p>
            <w:r/>
            <w:r>
              <w:rPr>
                <w:sz w:val="16"/>
              </w:rPr>
              <w:t>11 May 2026</w:t>
            </w:r>
          </w:p>
        </w:tc>
      </w:tr>
    </w:tbl>
    <w:p/>
    <w:p>
      <w:r>
        <w:rPr>
          <w:b/>
          <w:sz w:val="20"/>
        </w:rPr>
        <w:t>What could not be tested — and one thing that was overclaimed.</w:t>
      </w:r>
    </w:p>
    <w:p>
      <w:r>
        <w:rPr>
          <w:sz w:val="19"/>
        </w:rPr>
        <w:t>Lulu listed on 14 November 2024. Its 410 sessions yield two non-overlapping test windows against the eighteen or so a meaningful test needs, so no name-level calibration exists and none is claimed. Separately, and more importantly: the 12-July study named sales density as THE crux and claimed a −6% density year would put fair value at the market price. Its own grid says the central is 1.12 there. Holding every other dial at base, density alone never reaches the market price at any plausible level. The market is pricing lost density AND a terminal de-rating AND a higher cost of capital AND a dividend cut. That correction is recorded here because a source register that only records what supports the thesis is not a register.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