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7.62 – 24.92  (central 15.89)</w:t>
            </w:r>
          </w:p>
        </w:tc>
        <w:tc>
          <w:tcPr>
            <w:tcW w:type="dxa" w:w="1644"/>
          </w:tcPr>
          <w:p>
            <w:r/>
            <w:r>
              <w:rPr>
                <w:color w:val="1A1D21"/>
                <w:sz w:val="18"/>
              </w:rPr>
              <w:t>EGP 4.6 – 23.33  (central 10.94)</w:t>
            </w:r>
          </w:p>
        </w:tc>
        <w:tc>
          <w:tcPr>
            <w:tcW w:type="dxa" w:w="1020"/>
          </w:tcPr>
          <w:p>
            <w:r/>
            <w:r>
              <w:rPr>
                <w:color w:val="1A1D21"/>
                <w:sz w:val="18"/>
              </w:rPr>
              <w:t>-31.2%</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83.6 – 189.6  (central 147.12)</w:t>
            </w:r>
          </w:p>
        </w:tc>
        <w:tc>
          <w:tcPr>
            <w:tcW w:type="dxa" w:w="1644"/>
          </w:tcPr>
          <w:p>
            <w:r/>
            <w:r>
              <w:rPr>
                <w:color w:val="1A1D21"/>
                <w:sz w:val="18"/>
              </w:rPr>
              <w:t>EGP 51.4 – 82.83  (central 68.73)</w:t>
            </w:r>
          </w:p>
        </w:tc>
        <w:tc>
          <w:tcPr>
            <w:tcW w:type="dxa" w:w="1020"/>
          </w:tcPr>
          <w:p>
            <w:r/>
            <w:r>
              <w:rPr>
                <w:color w:val="1A1D21"/>
                <w:sz w:val="18"/>
              </w:rPr>
              <w:t>-53.3%</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50</w:t>
            </w:r>
          </w:p>
        </w:tc>
      </w:tr>
      <w:tr>
        <w:tc>
          <w:tcPr>
            <w:tcW w:type="dxa" w:w="6236"/>
          </w:tcPr>
          <w:p>
            <w:r/>
            <w:r>
              <w:rPr>
                <w:color w:val="1A1D21"/>
                <w:sz w:val="18"/>
              </w:rPr>
              <w:t>Bind on a class of company (CLASS)</w:t>
            </w:r>
          </w:p>
        </w:tc>
        <w:tc>
          <w:tcPr>
            <w:tcW w:type="dxa" w:w="2721"/>
          </w:tcPr>
          <w:p>
            <w:r/>
            <w:r>
              <w:rPr>
                <w:color w:val="1A1D21"/>
                <w:sz w:val="18"/>
              </w:rPr>
              <w:t>19</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74</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L-119 — A developer's land is the asset, and a cash-flow model credits most of it at nothing.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checklist that counts sections never asks whether the method was right.</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Verifying that a report has all its parts tells you nothing about whether the company was valued the way that kind of company should be valued. Those are different questions, and the second one is the one that decides the answer.</w:t>
      </w:r>
    </w:p>
    <w:p>
      <w:pPr>
        <w:spacing w:after="60"/>
        <w:ind w:left="283"/>
      </w:pPr>
      <w:r>
        <w:rPr>
          <w:b w:val="0"/>
          <w:i w:val="0"/>
          <w:color w:val="5B6570"/>
          <w:sz w:val="19"/>
        </w:rPr>
        <w:t>How we know.  A real-estate developer shipped with no asset-based lens and the word land nowhere in it. Six gates passed it: source integrity, the model-report checklist, the beta attestation, 154 recalculations, the table audit and the external-reader scrub.</w:t>
      </w:r>
    </w:p>
    <w:p>
      <w:pPr>
        <w:spacing w:after="160"/>
        <w:ind w:left="283"/>
      </w:pPr>
      <w:r>
        <w:rPr>
          <w:b w:val="0"/>
          <w:i w:val="0"/>
          <w:color w:val="5B6570"/>
          <w:sz w:val="19"/>
        </w:rPr>
        <w:t>What would overturn it.  A study that fails a structural checklist while carrying the right method for its class, which would mean the two checks overlap more than this claims.</w:t>
      </w:r>
    </w:p>
    <w:p>
      <w:pPr>
        <w:keepNext/>
        <w:spacing w:before="240" w:after="60"/>
      </w:pPr>
      <w:r>
        <w:rPr>
          <w:b/>
          <w:color w:val="1A1D21"/>
          <w:sz w:val="22"/>
        </w:rPr>
        <w:t>L-049  One model run at several settings is one opinion, not several.</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Publishing a range built from the same model with different inputs looks like several views and is not. The cases will cluster, because they share every assumption that matters, and the spread will understate how uncertain the answer really is.</w:t>
      </w:r>
    </w:p>
    <w:p>
      <w:pPr>
        <w:spacing w:after="60"/>
        <w:ind w:left="283"/>
      </w:pPr>
      <w:r>
        <w:rPr>
          <w:b w:val="0"/>
          <w:i w:val="0"/>
          <w:color w:val="5B6570"/>
          <w:sz w:val="19"/>
        </w:rPr>
        <w:t>How we know.  Four published cases were two cost-of-capital bases crossed with two readings of one discounted cash flow. Adding a genuinely different lens moved the answer by more than all four cases spanned.</w:t>
      </w:r>
    </w:p>
    <w:p>
      <w:pPr>
        <w:spacing w:after="160"/>
        <w:ind w:left="283"/>
      </w:pPr>
      <w:r>
        <w:rPr>
          <w:b w:val="0"/>
          <w:i w:val="0"/>
          <w:color w:val="5B6570"/>
          <w:sz w:val="19"/>
        </w:rPr>
        <w:t>What would overturn it.  A set of cases from one model whose spread is as wide as the spread between genuinely different methods on the same company.</w:t>
      </w:r>
    </w:p>
    <w:p>
      <w:pPr>
        <w:keepNext/>
        <w:spacing w:before="240" w:after="60"/>
      </w:pPr>
      <w:r>
        <w:rPr>
          <w:b/>
          <w:color w:val="1A1D21"/>
          <w:sz w:val="22"/>
        </w:rPr>
        <w:t>L-050  Where the disclosure cannot support a lens, publish a bound and say so.</w:t>
      </w:r>
    </w:p>
    <w:p>
      <w:pPr>
        <w:keepNext/>
        <w:spacing w:after="100"/>
      </w:pPr>
      <w:r>
        <w:rPr>
          <w:b/>
          <w:color w:val="1D6FA3"/>
          <w:sz w:val="16"/>
        </w:rPr>
        <w:t>EVERY STUDY</w:t>
      </w:r>
      <w:r>
        <w:rPr>
          <w:color w:val="5B6570"/>
          <w:sz w:val="16"/>
        </w:rPr>
        <w:t xml:space="preserve">   applies to every study   ·   learned from a found while building, TMGH study, 1 September 2026</w:t>
      </w:r>
    </w:p>
    <w:p>
      <w:pPr>
        <w:spacing w:after="100"/>
      </w:pPr>
      <w:r>
        <w:rPr>
          <w:b w:val="0"/>
          <w:i w:val="0"/>
          <w:color w:val="1A1D21"/>
          <w:sz w:val="21"/>
        </w:rPr>
        <w:t>When a company discloses an asset's size but not its value, the honest output is an explicit bound plus what the market price implies — not a figure built on a link between the two that nobody published.</w:t>
      </w:r>
    </w:p>
    <w:p>
      <w:pPr>
        <w:spacing w:after="60"/>
        <w:ind w:left="283"/>
      </w:pPr>
      <w:r>
        <w:rPr>
          <w:b w:val="0"/>
          <w:i w:val="0"/>
          <w:color w:val="5B6570"/>
          <w:sz w:val="19"/>
        </w:rPr>
        <w:t>How we know.  Sizing the overlap between landbank and projection used order book divided by landbank as revenue per square metre. The book is units already sold on land already committed; the bank is what remains. The two do not divide into each other.</w:t>
      </w:r>
    </w:p>
    <w:p>
      <w:pPr>
        <w:spacing w:after="160"/>
        <w:ind w:left="283"/>
      </w:pPr>
      <w:r>
        <w:rPr>
          <w:b w:val="0"/>
          <w:i w:val="0"/>
          <w:color w:val="5B6570"/>
          <w:sz w:val="19"/>
        </w:rPr>
        <w:t>What would overturn it.  A disclosure that does link an asset's area to its value directly, where a computed figure would beat a bound.</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keepNext/>
        <w:spacing w:before="240" w:after="60"/>
      </w:pPr>
      <w:r>
        <w:rPr>
          <w:b/>
          <w:color w:val="1A1D21"/>
          <w:sz w:val="22"/>
        </w:rPr>
        <w:t>L-119  A developer's land is the asset, and a cash-flow model credits most of it at nothing.</w:t>
      </w:r>
    </w:p>
    <w:p>
      <w:pPr>
        <w:keepNext/>
        <w:spacing w:after="100"/>
      </w:pPr>
      <w:r>
        <w:rPr>
          <w:b/>
          <w:color w:val="7E4A94"/>
          <w:sz w:val="16"/>
        </w:rPr>
        <w:t>A CLASS OF COMPANY</w:t>
      </w:r>
      <w:r>
        <w:rPr>
          <w:color w:val="5B6570"/>
          <w:sz w:val="16"/>
        </w:rPr>
        <w:t xml:space="preserve">   applies to every real-estate developer, off-plan, point-in-time on handover   ·   learned from a found while building, TMGH study, 1 September 2026</w:t>
      </w:r>
      <w:r>
        <w:rPr>
          <w:b/>
          <w:color w:val="B03A2E"/>
          <w:sz w:val="16"/>
        </w:rPr>
        <w:t xml:space="preserve">   ·   STATUS: PROVISIONAL</w:t>
      </w:r>
    </w:p>
    <w:p>
      <w:pPr>
        <w:spacing w:after="100"/>
      </w:pPr>
      <w:r>
        <w:rPr>
          <w:b w:val="0"/>
          <w:i w:val="0"/>
          <w:color w:val="1A1D21"/>
          <w:sz w:val="21"/>
        </w:rPr>
        <w:t>A projection only earns money from land it builds on inside its window. A developer holding decades of land gets almost all of it valued at zero, and the gap to the market price will be roughly the land that was left out.</w:t>
      </w:r>
    </w:p>
    <w:p>
      <w:pPr>
        <w:spacing w:after="60"/>
        <w:ind w:left="283"/>
      </w:pPr>
      <w:r>
        <w:rPr>
          <w:b w:val="0"/>
          <w:i w:val="0"/>
          <w:color w:val="5B6570"/>
          <w:sz w:val="19"/>
        </w:rPr>
        <w:t>How we know.  20mn sqm held against a projection that builds a fraction of it. The market's premium over the cash-flow value implies EGP 10,863-24,388 per square metre, inside the range serviced land trades at.</w:t>
      </w:r>
    </w:p>
    <w:p>
      <w:pPr>
        <w:spacing w:after="160"/>
        <w:ind w:left="283"/>
      </w:pPr>
      <w:r>
        <w:rPr>
          <w:b w:val="0"/>
          <w:i w:val="0"/>
          <w:color w:val="5B6570"/>
          <w:sz w:val="19"/>
        </w:rPr>
        <w:t>What would overturn it.  A developer whose landbank is short enough that the projection window consumes it, where the two lenses would then agree.</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