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both ways — at book value and proportionally — on every case</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faded toward the delivery rate</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23.6% to 16.5%</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