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13 September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2023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2024</w:t>
            </w:r>
          </w:p>
        </w:tc>
        <w:tc>
          <w:tcPr>
            <w:tcW w:type="dxa" w:w="4680"/>
          </w:tcPr>
          <w:p>
            <w:pPr>
              <w:spacing w:after="20"/>
            </w:pPr>
            <w:r>
              <w:rPr>
                <w:color w:val="1C3A36"/>
                <w:sz w:val="16"/>
              </w:rPr>
              <w:t>Full consolidated income statement, balance sheet and cash flow statement for FY2023 with FY2022 comparatives; three-segment revenue and profit note; loans and borrowings note with average rates by currency; shareholder structure; exchange-rate disclosure note and the March-2024 devaluation subsequent event</w:t>
            </w:r>
          </w:p>
        </w:tc>
      </w:tr>
      <w:tr>
        <w:tc>
          <w:tcPr>
            <w:tcW w:type="dxa" w:w="2232"/>
          </w:tcPr>
          <w:p>
            <w:pPr>
              <w:spacing w:after="20"/>
            </w:pPr>
            <w:r>
              <w:rPr>
                <w:color w:val="1C3A36"/>
                <w:sz w:val="16"/>
              </w:rPr>
              <w:t>Consolidated financial statements for the year ended 31 December 2024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Full consolidated income statement, balance sheet and cash flow statement for FY2024 with FY2023 comparatives; three-segment revenue and profit note; loans and borrowings note including the financing-liability reconciliation; interest-rate risk note with average rates by currency; currency risk note; shareholder structure</w:t>
            </w:r>
          </w:p>
        </w:tc>
      </w:tr>
      <w:tr>
        <w:tc>
          <w:tcPr>
            <w:tcW w:type="dxa" w:w="2232"/>
          </w:tcPr>
          <w:p>
            <w:pPr>
              <w:spacing w:after="20"/>
            </w:pPr>
            <w:r>
              <w:rPr>
                <w:color w:val="1C3A36"/>
                <w:sz w:val="16"/>
              </w:rPr>
              <w:t>Consolidated financial statements for the year ended 31 December 2025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15 March 2026</w:t>
            </w:r>
          </w:p>
        </w:tc>
        <w:tc>
          <w:tcPr>
            <w:tcW w:type="dxa" w:w="4680"/>
          </w:tcPr>
          <w:p>
            <w:pPr>
              <w:spacing w:after="20"/>
            </w:pPr>
            <w:r>
              <w:rPr>
                <w:color w:val="1C3A36"/>
                <w:sz w:val="16"/>
              </w:rPr>
              <w:t>Full consolidated income statement, balance sheet and cash flow statement for FY2025 with FY2024 comparatives; three-segment revenue (Note 5-3) and profit (Note 16) note, each reconciling exactly to consolidated revenue and to operating profit through the corporate cost load; capital-management note (Note 29-1) with the company's own "net debt" definition; loans and borrowings note including the financing-liability reconciliation and average rates by currency; equity-accounted investees note; shareholder structure</w:t>
            </w:r>
          </w:p>
        </w:tc>
      </w:tr>
      <w:tr>
        <w:tc>
          <w:tcPr>
            <w:tcW w:type="dxa" w:w="2232"/>
          </w:tcPr>
          <w:p>
            <w:pPr>
              <w:spacing w:after="20"/>
            </w:pPr>
            <w:r>
              <w:rPr>
                <w:color w:val="1C3A36"/>
                <w:sz w:val="16"/>
              </w:rPr>
              <w:t>Condensed interim consolidated financial statements for the three months ended 31 March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May 2026</w:t>
            </w:r>
          </w:p>
        </w:tc>
        <w:tc>
          <w:tcPr>
            <w:tcW w:type="dxa" w:w="4680"/>
          </w:tcPr>
          <w:p>
            <w:pPr>
              <w:spacing w:after="20"/>
            </w:pPr>
            <w:r>
              <w:rPr>
                <w:color w:val="1C3A36"/>
                <w:sz w:val="16"/>
              </w:rPr>
              <w:t>Q1-2026 income statement with Q1-2025 comparatives; balance sheet at 31 March 2026; three-segment revenue note reconciling exactly to Q1-2026 revenue; loans and borrowings note with average rates by currency; cash-flow statement; confirmation that no FY2025 dividend had been declared, proposed or approved as at the report date</w:t>
            </w:r>
          </w:p>
        </w:tc>
      </w:tr>
      <w:tr>
        <w:tc>
          <w:tcPr>
            <w:tcW w:type="dxa" w:w="2232"/>
          </w:tcPr>
          <w:p>
            <w:pPr>
              <w:spacing w:after="20"/>
            </w:pPr>
            <w:r>
              <w:rPr>
                <w:color w:val="1C3A36"/>
                <w:sz w:val="16"/>
              </w:rPr>
              <w:t>Condensed interim consolidated financial statements for the six months ended 30 June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11 August 2026</w:t>
            </w:r>
          </w:p>
        </w:tc>
        <w:tc>
          <w:tcPr>
            <w:tcW w:type="dxa" w:w="4680"/>
          </w:tcPr>
          <w:p>
            <w:pPr>
              <w:spacing w:after="20"/>
            </w:pPr>
            <w:r>
              <w:rPr>
                <w:color w:val="1C3A36"/>
                <w:sz w:val="16"/>
              </w:rPr>
              <w:t>H1-2026 income statement with H1-2025 comparatives; balance sheet at 30 June 2026; three-segment revenue and segment profit note — the disclosure the three segment margin paths and the FY2026 segment growth rates are RE-ANCHORED on; minority share of profit and of equity; the employees' statutory share for the half; capital expenditure for the half. The most recent disclosure this study reads</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 — the rate reading is that date and is NOT the valuation anchor</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This desk's own daily price library for the Egyptian Exchange — the same series every other name in this book is struck on</w:t>
            </w:r>
          </w:p>
        </w:tc>
        <w:tc>
          <w:tcPr>
            <w:tcW w:type="dxa" w:w="1368"/>
          </w:tcPr>
          <w:p>
            <w:pPr>
              <w:spacing w:after="20"/>
            </w:pPr>
            <w:r>
              <w:rPr>
                <w:color w:val="1C3A36"/>
                <w:sz w:val="16"/>
              </w:rPr>
              <w:t>read to 2026-09-03, the valuation date</w:t>
            </w:r>
          </w:p>
        </w:tc>
        <w:tc>
          <w:tcPr>
            <w:tcW w:type="dxa" w:w="4680"/>
          </w:tcPr>
          <w:p>
            <w:pPr>
              <w:spacing w:after="20"/>
            </w:pPr>
            <w:r>
              <w:rPr>
                <w:color w:val="1C3A36"/>
                <w:sz w:val="16"/>
              </w:rPr>
              <w:t>The anchor price, the volatility estimate, the moving-average structure, the beta regression and the price distributions. A study-local copy of this series was read in earlier editions and is withdrawn: it ended 5 August 2026 at 105.20 against a library close of 130.00 on the valuation date</w:t>
            </w:r>
          </w:p>
        </w:tc>
      </w:tr>
      <w:tr>
        <w:tc>
          <w:tcPr>
            <w:tcW w:type="dxa" w:w="2232"/>
          </w:tcPr>
          <w:p>
            <w:pPr>
              <w:spacing w:after="20"/>
            </w:pPr>
            <w:r>
              <w:rPr>
                <w:color w:val="1C3A36"/>
                <w:sz w:val="16"/>
              </w:rPr>
              <w:t>EGX30, the published index of the exchange this share is listed on</w:t>
            </w:r>
          </w:p>
        </w:tc>
        <w:tc>
          <w:tcPr>
            <w:tcW w:type="dxa" w:w="1800"/>
          </w:tcPr>
          <w:p>
            <w:pPr>
              <w:spacing w:after="20"/>
            </w:pPr>
            <w:r>
              <w:rPr>
                <w:color w:val="1C3A36"/>
                <w:sz w:val="16"/>
              </w:rPr>
              <w:t>Published index series</w:t>
            </w:r>
          </w:p>
        </w:tc>
        <w:tc>
          <w:tcPr>
            <w:tcW w:type="dxa" w:w="1368"/>
          </w:tcPr>
          <w:p>
            <w:pPr>
              <w:spacing w:after="20"/>
            </w:pPr>
            <w:r>
              <w:rPr>
                <w:color w:val="1C3A36"/>
                <w:sz w:val="16"/>
              </w:rPr>
              <w:t>to 2026-09-08</w:t>
            </w:r>
          </w:p>
        </w:tc>
        <w:tc>
          <w:tcPr>
            <w:tcW w:type="dxa" w:w="4680"/>
          </w:tcPr>
          <w:p>
            <w:pPr>
              <w:spacing w:after="20"/>
            </w:pPr>
            <w:r>
              <w:rPr>
                <w:color w:val="1C3A36"/>
                <w:sz w:val="16"/>
              </w:rPr>
              <w:t>The regressor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130.0</w:t>
            </w:r>
          </w:p>
        </w:tc>
        <w:tc>
          <w:tcPr>
            <w:tcW w:type="dxa" w:w="1123"/>
          </w:tcPr>
          <w:p>
            <w:pPr>
              <w:spacing w:after="20"/>
            </w:pPr>
            <w:r>
              <w:rPr>
                <w:color w:val="1C3A36"/>
                <w:sz w:val="15"/>
              </w:rPr>
              <w:t>2026-09-03</w:t>
            </w:r>
          </w:p>
        </w:tc>
        <w:tc>
          <w:tcPr>
            <w:tcW w:type="dxa" w:w="5933"/>
          </w:tcPr>
          <w:p>
            <w:pPr>
              <w:spacing w:after="20"/>
            </w:pPr>
            <w:r>
              <w:rPr>
                <w:color w:val="1C3A36"/>
                <w:sz w:val="15"/>
              </w:rPr>
              <w:t>Closing price supplied by the principal for 3 September 2026. RE-STRUCK: the study was struck at EGP 105.20 of 5 August 2026 and a fair value delivered against a month-old quote is a comparison a reader cannot use. The supplied file records that the figure first arrived as 90.50 and was CORRECTED to 130.00 on 6 September 2026 after it disagreed with this name's own price library on all 35 overlapping sessions after 14 June 2026, including the 5 August close of 105.20 this study was originally struck at. A fair value delivered against a month-old quote is a comparison a reader cannot use</w:t>
            </w:r>
          </w:p>
        </w:tc>
      </w:tr>
    </w:tbl>
    <w:p>
      <w:pPr>
        <w:spacing w:after="40"/>
      </w:pPr>
    </w:p>
    <w:p>
      <w:pPr>
        <w:spacing w:after="60" w:before="160"/>
      </w:pPr>
      <w:r>
        <w:rPr>
          <w:b/>
          <w:i w:val="0"/>
          <w:color w:val="1C3A36"/>
          <w:sz w:val="22"/>
        </w:rPr>
        <w:t>Company layer — 172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123"/>
          </w:tcPr>
          <w:p>
            <w:pPr>
              <w:spacing w:after="20"/>
            </w:pPr>
            <w:r>
              <w:rPr>
                <w:color w:val="1C3A36"/>
                <w:sz w:val="15"/>
              </w:rPr>
              <w:t>2025-12-31</w:t>
            </w:r>
          </w:p>
        </w:tc>
        <w:tc>
          <w:tcPr>
            <w:tcW w:type="dxa" w:w="5933"/>
          </w:tcPr>
          <w:p>
            <w:pPr>
              <w:spacing w:after="20"/>
            </w:pPr>
            <w:r>
              <w:rPr>
                <w:color w:val="1C3A36"/>
                <w:sz w:val="15"/>
              </w:rPr>
              <w:t>Issued and paid-up capital: 2,140,777,876 shares of EGP 1 par value, as stated on the face of the audited FY2025 balance sheet, in the Q1-2026 interim, and on the company's own investor page as issued, paid-up and listed capital. NOTE 39'S 2,139,355,716 IS NOT THIS FIGURE AND IS NOT A CAPITAL REDUCTION: it is the IAS 33 weighted-average denominator, issued capital less the 1,422,160 shares issued under the incentive scheme and not granted, which are excluded from earnings per share because they are not yet outstanding for that purpose. The shares exist. A 10-September pass read the one convention as the other and cut the count, citing an extraordinary general assembly of 19 May 2026 that appears on no filing in the company's own regulatory-filings index -- which lists every general-assembly resolution from 2012 to 2025 and nothing in 2026</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 (confirmed by the FY2024 filing's comparative column)</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 (confirmed by the FY2025 filing's comparative column)</w:t>
            </w:r>
          </w:p>
        </w:tc>
      </w:tr>
      <w:tr>
        <w:tc>
          <w:tcPr>
            <w:tcW w:type="dxa" w:w="1656"/>
          </w:tcPr>
          <w:p>
            <w:pPr>
              <w:spacing w:after="20"/>
            </w:pPr>
            <w:r>
              <w:rPr>
                <w:color w:val="1C3A36"/>
                <w:sz w:val="15"/>
              </w:rPr>
              <w:t>rev fy25</w:t>
            </w:r>
          </w:p>
        </w:tc>
        <w:tc>
          <w:tcPr>
            <w:tcW w:type="dxa" w:w="1368"/>
          </w:tcPr>
          <w:p>
            <w:pPr>
              <w:spacing w:after="20"/>
            </w:pPr>
            <w:r>
              <w:rPr>
                <w:color w:val="1C3A36"/>
                <w:sz w:val="15"/>
              </w:rPr>
              <w:t>281,049.1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w:t>
            </w:r>
          </w:p>
        </w:tc>
      </w:tr>
      <w:tr>
        <w:tc>
          <w:tcPr>
            <w:tcW w:type="dxa" w:w="1656"/>
          </w:tcPr>
          <w:p>
            <w:pPr>
              <w:spacing w:after="20"/>
            </w:pPr>
            <w:r>
              <w:rPr>
                <w:color w:val="1C3A36"/>
                <w:sz w:val="15"/>
              </w:rPr>
              <w:t>gp fy25</w:t>
            </w:r>
          </w:p>
        </w:tc>
        <w:tc>
          <w:tcPr>
            <w:tcW w:type="dxa" w:w="1368"/>
          </w:tcPr>
          <w:p>
            <w:pPr>
              <w:spacing w:after="20"/>
            </w:pPr>
            <w:r>
              <w:rPr>
                <w:color w:val="1C3A36"/>
                <w:sz w:val="15"/>
              </w:rPr>
              <w:t>40,762.1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123"/>
          </w:tcPr>
          <w:p>
            <w:pPr>
              <w:spacing w:after="20"/>
            </w:pPr>
            <w:r>
              <w:rPr>
                <w:color w:val="1C3A36"/>
                <w:sz w:val="15"/>
              </w:rPr>
              <w:t>2024-03-13</w:t>
            </w:r>
          </w:p>
        </w:tc>
        <w:tc>
          <w:tcPr>
            <w:tcW w:type="dxa" w:w="5933"/>
          </w:tcPr>
          <w:p>
            <w:pPr>
              <w:spacing w:after="20"/>
            </w:pPr>
            <w:r>
              <w:rPr>
                <w:color w:val="1C3A36"/>
                <w:sz w:val="15"/>
              </w:rPr>
              <w:t>Operating profit, FY2023 audited financial statements</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123"/>
          </w:tcPr>
          <w:p>
            <w:pPr>
              <w:spacing w:after="20"/>
            </w:pPr>
            <w:r>
              <w:rPr>
                <w:color w:val="1C3A36"/>
                <w:sz w:val="15"/>
              </w:rPr>
              <w:t>2025-03-13</w:t>
            </w:r>
          </w:p>
        </w:tc>
        <w:tc>
          <w:tcPr>
            <w:tcW w:type="dxa" w:w="5933"/>
          </w:tcPr>
          <w:p>
            <w:pPr>
              <w:spacing w:after="20"/>
            </w:pPr>
            <w:r>
              <w:rPr>
                <w:color w:val="1C3A36"/>
                <w:sz w:val="15"/>
              </w:rPr>
              <w:t>Operating profit, FY2024 audited financial statements</w:t>
            </w:r>
          </w:p>
        </w:tc>
      </w:tr>
      <w:tr>
        <w:tc>
          <w:tcPr>
            <w:tcW w:type="dxa" w:w="1656"/>
          </w:tcPr>
          <w:p>
            <w:pPr>
              <w:spacing w:after="20"/>
            </w:pPr>
            <w:r>
              <w:rPr>
                <w:color w:val="1C3A36"/>
                <w:sz w:val="15"/>
              </w:rPr>
              <w:t>op fy25</w:t>
            </w:r>
          </w:p>
        </w:tc>
        <w:tc>
          <w:tcPr>
            <w:tcW w:type="dxa" w:w="1368"/>
          </w:tcPr>
          <w:p>
            <w:pPr>
              <w:spacing w:after="20"/>
            </w:pPr>
            <w:r>
              <w:rPr>
                <w:color w:val="1C3A36"/>
                <w:sz w:val="15"/>
              </w:rPr>
              <w:t>25,354.2</w:t>
            </w:r>
          </w:p>
        </w:tc>
        <w:tc>
          <w:tcPr>
            <w:tcW w:type="dxa" w:w="1123"/>
          </w:tcPr>
          <w:p>
            <w:pPr>
              <w:spacing w:after="20"/>
            </w:pPr>
            <w:r>
              <w:rPr>
                <w:color w:val="1C3A36"/>
                <w:sz w:val="15"/>
              </w:rPr>
              <w:t>2026-03-15</w:t>
            </w:r>
          </w:p>
        </w:tc>
        <w:tc>
          <w:tcPr>
            <w:tcW w:type="dxa" w:w="5933"/>
          </w:tcPr>
          <w:p>
            <w:pPr>
              <w:spacing w:after="20"/>
            </w:pPr>
            <w:r>
              <w:rPr>
                <w:color w:val="1C3A36"/>
                <w:sz w:val="15"/>
              </w:rPr>
              <w:t>Operating profit, FY2025 audited financial statements</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statement of cash flows: PP&amp;E depreciation 2,120.789808 + investment property 6.388342 + intangibles amortisation 53.947575 + right-of-use assets 114.861231</w:t>
            </w:r>
          </w:p>
        </w:tc>
      </w:tr>
      <w:tr>
        <w:tc>
          <w:tcPr>
            <w:tcW w:type="dxa" w:w="1656"/>
          </w:tcPr>
          <w:p>
            <w:pPr>
              <w:spacing w:after="20"/>
            </w:pPr>
            <w:r>
              <w:rPr>
                <w:color w:val="1C3A36"/>
                <w:sz w:val="15"/>
              </w:rPr>
              <w:t>dna fy24</w:t>
            </w:r>
          </w:p>
        </w:tc>
        <w:tc>
          <w:tcPr>
            <w:tcW w:type="dxa" w:w="1368"/>
          </w:tcPr>
          <w:p>
            <w:pPr>
              <w:spacing w:after="20"/>
            </w:pPr>
            <w:r>
              <w:rPr>
                <w:color w:val="1C3A36"/>
                <w:sz w:val="15"/>
              </w:rPr>
              <w:t>2,259.7</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statement of cash flows: PP&amp;E depreciation 2,019.646871 + investment property 1.472753 + intangibles amortisation 80.726323 + right-of-use assets 157.899859</w:t>
            </w:r>
          </w:p>
        </w:tc>
      </w:tr>
      <w:tr>
        <w:tc>
          <w:tcPr>
            <w:tcW w:type="dxa" w:w="1656"/>
          </w:tcPr>
          <w:p>
            <w:pPr>
              <w:spacing w:after="20"/>
            </w:pPr>
            <w:r>
              <w:rPr>
                <w:color w:val="1C3A36"/>
                <w:sz w:val="15"/>
              </w:rPr>
              <w:t>dna fy25</w:t>
            </w:r>
          </w:p>
        </w:tc>
        <w:tc>
          <w:tcPr>
            <w:tcW w:type="dxa" w:w="1368"/>
          </w:tcPr>
          <w:p>
            <w:pPr>
              <w:spacing w:after="20"/>
            </w:pPr>
            <w:r>
              <w:rPr>
                <w:color w:val="1C3A36"/>
                <w:sz w:val="15"/>
              </w:rPr>
              <w:t>3,009.0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statement of cash flows: PP&amp;E depreciation 2,733.671862 + investment property 1.687166 + intangibles amortisation 78.072847 + right-of-use assets 195.545752 — the depreciable base stepped up with the FY2025 capex ramp</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123"/>
          </w:tcPr>
          <w:p>
            <w:pPr>
              <w:spacing w:after="20"/>
            </w:pPr>
            <w:r>
              <w:rPr>
                <w:color w:val="1C3A36"/>
                <w:sz w:val="15"/>
              </w:rPr>
              <w:t>2024-03-13</w:t>
            </w:r>
          </w:p>
        </w:tc>
        <w:tc>
          <w:tcPr>
            <w:tcW w:type="dxa" w:w="5933"/>
          </w:tcPr>
          <w:p>
            <w:pPr>
              <w:spacing w:after="20"/>
            </w:pPr>
            <w:r>
              <w:rPr>
                <w:color w:val="1C3A36"/>
                <w:sz w:val="15"/>
              </w:rPr>
              <w:t>Net finance costs, FY2023 audited financial statements: finance income 2,818.868796 less finance costs 4,943.231073</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123"/>
          </w:tcPr>
          <w:p>
            <w:pPr>
              <w:spacing w:after="20"/>
            </w:pPr>
            <w:r>
              <w:rPr>
                <w:color w:val="1C3A36"/>
                <w:sz w:val="15"/>
              </w:rPr>
              <w:t>2025-03-13</w:t>
            </w:r>
          </w:p>
        </w:tc>
        <w:tc>
          <w:tcPr>
            <w:tcW w:type="dxa" w:w="5933"/>
          </w:tcPr>
          <w:p>
            <w:pPr>
              <w:spacing w:after="20"/>
            </w:pPr>
            <w:r>
              <w:rPr>
                <w:color w:val="1C3A36"/>
                <w:sz w:val="15"/>
              </w:rPr>
              <w:t>Net finance costs, FY2024 audited financial statements: finance income 4,247.625658 less finance costs 7,762.991604</w:t>
            </w:r>
          </w:p>
        </w:tc>
      </w:tr>
      <w:tr>
        <w:tc>
          <w:tcPr>
            <w:tcW w:type="dxa" w:w="1656"/>
          </w:tcPr>
          <w:p>
            <w:pPr>
              <w:spacing w:after="20"/>
            </w:pPr>
            <w:r>
              <w:rPr>
                <w:color w:val="1C3A36"/>
                <w:sz w:val="15"/>
              </w:rPr>
              <w:t>netfin fy25</w:t>
            </w:r>
          </w:p>
        </w:tc>
        <w:tc>
          <w:tcPr>
            <w:tcW w:type="dxa" w:w="1368"/>
          </w:tcPr>
          <w:p>
            <w:pPr>
              <w:spacing w:after="20"/>
            </w:pPr>
            <w:r>
              <w:rPr>
                <w:color w:val="1C3A36"/>
                <w:sz w:val="15"/>
              </w:rPr>
              <w:t>-2,145.4</w:t>
            </w:r>
          </w:p>
        </w:tc>
        <w:tc>
          <w:tcPr>
            <w:tcW w:type="dxa" w:w="1123"/>
          </w:tcPr>
          <w:p>
            <w:pPr>
              <w:spacing w:after="20"/>
            </w:pPr>
            <w:r>
              <w:rPr>
                <w:color w:val="1C3A36"/>
                <w:sz w:val="15"/>
              </w:rPr>
              <w:t>2026-03-15</w:t>
            </w:r>
          </w:p>
        </w:tc>
        <w:tc>
          <w:tcPr>
            <w:tcW w:type="dxa" w:w="5933"/>
          </w:tcPr>
          <w:p>
            <w:pPr>
              <w:spacing w:after="20"/>
            </w:pPr>
            <w:r>
              <w:rPr>
                <w:color w:val="1C3A36"/>
                <w:sz w:val="15"/>
              </w:rPr>
              <w:t>Net finance costs, FY2025 audited financial statements: finance income 3,713.003271 less finance costs 5,858.442026. REPLACES a previous estimate of -3,400 struck when the filing was not reachable — this is the exact audited figure and it is materially smaller (net finance improved even as gross debt grew, because the CBE's easing cycle and a larger cash pile both cut the net charge)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123"/>
          </w:tcPr>
          <w:p>
            <w:pPr>
              <w:spacing w:after="20"/>
            </w:pPr>
            <w:r>
              <w:rPr>
                <w:color w:val="1C3A36"/>
                <w:sz w:val="15"/>
              </w:rPr>
              <w:t>2024-03-13</w:t>
            </w:r>
          </w:p>
        </w:tc>
        <w:tc>
          <w:tcPr>
            <w:tcW w:type="dxa" w:w="5933"/>
          </w:tcPr>
          <w:p>
            <w:pPr>
              <w:spacing w:after="20"/>
            </w:pPr>
            <w:r>
              <w:rPr>
                <w:color w:val="1C3A36"/>
                <w:sz w:val="15"/>
              </w:rPr>
              <w:t>Group's share of profit of equity-accounted investees, FY2023 audited financial statements</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123"/>
          </w:tcPr>
          <w:p>
            <w:pPr>
              <w:spacing w:after="20"/>
            </w:pPr>
            <w:r>
              <w:rPr>
                <w:color w:val="1C3A36"/>
                <w:sz w:val="15"/>
              </w:rPr>
              <w:t>2025-03-13</w:t>
            </w:r>
          </w:p>
        </w:tc>
        <w:tc>
          <w:tcPr>
            <w:tcW w:type="dxa" w:w="5933"/>
          </w:tcPr>
          <w:p>
            <w:pPr>
              <w:spacing w:after="20"/>
            </w:pPr>
            <w:r>
              <w:rPr>
                <w:color w:val="1C3A36"/>
                <w:sz w:val="15"/>
              </w:rPr>
              <w:t>Group's share of profit of equity-accounted investees, FY2024 audited financial statements</w:t>
            </w:r>
          </w:p>
        </w:tc>
      </w:tr>
      <w:tr>
        <w:tc>
          <w:tcPr>
            <w:tcW w:type="dxa" w:w="1656"/>
          </w:tcPr>
          <w:p>
            <w:pPr>
              <w:spacing w:after="20"/>
            </w:pPr>
            <w:r>
              <w:rPr>
                <w:color w:val="1C3A36"/>
                <w:sz w:val="15"/>
              </w:rPr>
              <w:t>assoc fy25</w:t>
            </w:r>
          </w:p>
        </w:tc>
        <w:tc>
          <w:tcPr>
            <w:tcW w:type="dxa" w:w="1368"/>
          </w:tcPr>
          <w:p>
            <w:pPr>
              <w:spacing w:after="20"/>
            </w:pPr>
            <w:r>
              <w:rPr>
                <w:color w:val="1C3A36"/>
                <w:sz w:val="15"/>
              </w:rPr>
              <w:t>1,568.9</w:t>
            </w:r>
          </w:p>
        </w:tc>
        <w:tc>
          <w:tcPr>
            <w:tcW w:type="dxa" w:w="1123"/>
          </w:tcPr>
          <w:p>
            <w:pPr>
              <w:spacing w:after="20"/>
            </w:pPr>
            <w:r>
              <w:rPr>
                <w:color w:val="1C3A36"/>
                <w:sz w:val="15"/>
              </w:rPr>
              <w:t>2026-03-15</w:t>
            </w:r>
          </w:p>
        </w:tc>
        <w:tc>
          <w:tcPr>
            <w:tcW w:type="dxa" w:w="5933"/>
          </w:tcPr>
          <w:p>
            <w:pPr>
              <w:spacing w:after="20"/>
            </w:pPr>
            <w:r>
              <w:rPr>
                <w:color w:val="1C3A36"/>
                <w:sz w:val="15"/>
              </w:rPr>
              <w:t>Group's share of profit of equity-accounted investees, FY2025 audited financial statements — reconciles exactly to the sum of the per-investee shares in Note 20 (Doha Cables 940.3, Elsewedy Cables-Qatar 259.2, SC Zone Utilities 255.5, SWIEP 73.4, Aloula 96.9, Raneen 15.5, Senyar -71.9). REPLACES a previous 1.15x uplift on the FY2024 figure, no longer needed now the actual number is disclosed</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123"/>
          </w:tcPr>
          <w:p>
            <w:pPr>
              <w:spacing w:after="20"/>
            </w:pPr>
            <w:r>
              <w:rPr>
                <w:color w:val="1C3A36"/>
                <w:sz w:val="15"/>
              </w:rPr>
              <w:t>2024-03-13</w:t>
            </w:r>
          </w:p>
        </w:tc>
        <w:tc>
          <w:tcPr>
            <w:tcW w:type="dxa" w:w="5933"/>
          </w:tcPr>
          <w:p>
            <w:pPr>
              <w:spacing w:after="20"/>
            </w:pPr>
            <w:r>
              <w:rPr>
                <w:color w:val="1C3A36"/>
                <w:sz w:val="15"/>
              </w:rPr>
              <w:t>Income tax expense, FY2023 audited financial statements</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123"/>
          </w:tcPr>
          <w:p>
            <w:pPr>
              <w:spacing w:after="20"/>
            </w:pPr>
            <w:r>
              <w:rPr>
                <w:color w:val="1C3A36"/>
                <w:sz w:val="15"/>
              </w:rPr>
              <w:t>2025-03-13</w:t>
            </w:r>
          </w:p>
        </w:tc>
        <w:tc>
          <w:tcPr>
            <w:tcW w:type="dxa" w:w="5933"/>
          </w:tcPr>
          <w:p>
            <w:pPr>
              <w:spacing w:after="20"/>
            </w:pPr>
            <w:r>
              <w:rPr>
                <w:color w:val="1C3A36"/>
                <w:sz w:val="15"/>
              </w:rPr>
              <w:t>Income tax expense, FY2024 audited financial statements</w:t>
            </w:r>
          </w:p>
        </w:tc>
      </w:tr>
      <w:tr>
        <w:tc>
          <w:tcPr>
            <w:tcW w:type="dxa" w:w="1656"/>
          </w:tcPr>
          <w:p>
            <w:pPr>
              <w:spacing w:after="20"/>
            </w:pPr>
            <w:r>
              <w:rPr>
                <w:color w:val="1C3A36"/>
                <w:sz w:val="15"/>
              </w:rPr>
              <w:t>tax fy25</w:t>
            </w:r>
          </w:p>
        </w:tc>
        <w:tc>
          <w:tcPr>
            <w:tcW w:type="dxa" w:w="1368"/>
          </w:tcPr>
          <w:p>
            <w:pPr>
              <w:spacing w:after="20"/>
            </w:pPr>
            <w:r>
              <w:rPr>
                <w:color w:val="1C3A36"/>
                <w:sz w:val="15"/>
              </w:rPr>
              <w:t>-5,591.1</w:t>
            </w:r>
          </w:p>
        </w:tc>
        <w:tc>
          <w:tcPr>
            <w:tcW w:type="dxa" w:w="1123"/>
          </w:tcPr>
          <w:p>
            <w:pPr>
              <w:spacing w:after="20"/>
            </w:pPr>
            <w:r>
              <w:rPr>
                <w:color w:val="1C3A36"/>
                <w:sz w:val="15"/>
              </w:rPr>
              <w:t>2026-03-15</w:t>
            </w:r>
          </w:p>
        </w:tc>
        <w:tc>
          <w:tcPr>
            <w:tcW w:type="dxa" w:w="5933"/>
          </w:tcPr>
          <w:p>
            <w:pPr>
              <w:spacing w:after="20"/>
            </w:pPr>
            <w:r>
              <w:rPr>
                <w:color w:val="1C3A36"/>
                <w:sz w:val="15"/>
              </w:rPr>
              <w:t>Income tax expense, FY2025 audited financial statements: current tax 6,312.161650 less deferred tax credit 721.021868. Effective rate 22.57% against 24,777.689839 pre-tax profit — REPLACES a previous house assumption, registered beside it as tax_rate_retired so the figure this study cites is one it holds rather than one it types</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123"/>
          </w:tcPr>
          <w:p>
            <w:pPr>
              <w:spacing w:after="20"/>
            </w:pPr>
            <w:r>
              <w:rPr>
                <w:color w:val="1C3A36"/>
                <w:sz w:val="15"/>
              </w:rPr>
              <w:t>2024-03-13</w:t>
            </w:r>
          </w:p>
        </w:tc>
        <w:tc>
          <w:tcPr>
            <w:tcW w:type="dxa" w:w="5933"/>
          </w:tcPr>
          <w:p>
            <w:pPr>
              <w:spacing w:after="20"/>
            </w:pPr>
            <w:r>
              <w:rPr>
                <w:color w:val="1C3A36"/>
                <w:sz w:val="15"/>
              </w:rPr>
              <w:t>Profit for the year, FY2023 audited financial statements</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123"/>
          </w:tcPr>
          <w:p>
            <w:pPr>
              <w:spacing w:after="20"/>
            </w:pPr>
            <w:r>
              <w:rPr>
                <w:color w:val="1C3A36"/>
                <w:sz w:val="15"/>
              </w:rPr>
              <w:t>2025-03-13</w:t>
            </w:r>
          </w:p>
        </w:tc>
        <w:tc>
          <w:tcPr>
            <w:tcW w:type="dxa" w:w="5933"/>
          </w:tcPr>
          <w:p>
            <w:pPr>
              <w:spacing w:after="20"/>
            </w:pPr>
            <w:r>
              <w:rPr>
                <w:color w:val="1C3A36"/>
                <w:sz w:val="15"/>
              </w:rPr>
              <w:t>Profit for the year, FY2024 audited financial statements</w:t>
            </w:r>
          </w:p>
        </w:tc>
      </w:tr>
      <w:tr>
        <w:tc>
          <w:tcPr>
            <w:tcW w:type="dxa" w:w="1656"/>
          </w:tcPr>
          <w:p>
            <w:pPr>
              <w:spacing w:after="20"/>
            </w:pPr>
            <w:r>
              <w:rPr>
                <w:color w:val="1C3A36"/>
                <w:sz w:val="15"/>
              </w:rPr>
              <w:t>pat fy25</w:t>
            </w:r>
          </w:p>
        </w:tc>
        <w:tc>
          <w:tcPr>
            <w:tcW w:type="dxa" w:w="1368"/>
          </w:tcPr>
          <w:p>
            <w:pPr>
              <w:spacing w:after="20"/>
            </w:pPr>
            <w:r>
              <w:rPr>
                <w:color w:val="1C3A36"/>
                <w:sz w:val="15"/>
              </w:rPr>
              <w:t>19,186.6</w:t>
            </w:r>
          </w:p>
        </w:tc>
        <w:tc>
          <w:tcPr>
            <w:tcW w:type="dxa" w:w="1123"/>
          </w:tcPr>
          <w:p>
            <w:pPr>
              <w:spacing w:after="20"/>
            </w:pPr>
            <w:r>
              <w:rPr>
                <w:color w:val="1C3A36"/>
                <w:sz w:val="15"/>
              </w:rPr>
              <w:t>2026-03-15</w:t>
            </w:r>
          </w:p>
        </w:tc>
        <w:tc>
          <w:tcPr>
            <w:tcW w:type="dxa" w:w="5933"/>
          </w:tcPr>
          <w:p>
            <w:pPr>
              <w:spacing w:after="20"/>
            </w:pPr>
            <w:r>
              <w:rPr>
                <w:color w:val="1C3A36"/>
                <w:sz w:val="15"/>
              </w:rPr>
              <w:t>Profit for the year, FY2025 audited financial statements</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123"/>
          </w:tcPr>
          <w:p>
            <w:pPr>
              <w:spacing w:after="20"/>
            </w:pPr>
            <w:r>
              <w:rPr>
                <w:color w:val="1C3A36"/>
                <w:sz w:val="15"/>
              </w:rPr>
              <w:t>2024-03-13</w:t>
            </w:r>
          </w:p>
        </w:tc>
        <w:tc>
          <w:tcPr>
            <w:tcW w:type="dxa" w:w="5933"/>
          </w:tcPr>
          <w:p>
            <w:pPr>
              <w:spacing w:after="20"/>
            </w:pPr>
            <w:r>
              <w:rPr>
                <w:color w:val="1C3A36"/>
                <w:sz w:val="15"/>
              </w:rPr>
              <w:t>Profit attributable to owners of the parent, FY2023 audited financial statements. Basic EPS 4.26, diluted 4.25</w:t>
            </w:r>
          </w:p>
        </w:tc>
      </w:tr>
      <w:tr>
        <w:tc>
          <w:tcPr>
            <w:tcW w:type="dxa" w:w="1656"/>
          </w:tcPr>
          <w:p>
            <w:pPr>
              <w:spacing w:after="20"/>
            </w:pPr>
            <w:r>
              <w:rPr>
                <w:color w:val="1C3A36"/>
                <w:sz w:val="15"/>
              </w:rPr>
              <w:t>eps reported</w:t>
            </w:r>
          </w:p>
        </w:tc>
        <w:tc>
          <w:tcPr>
            <w:tcW w:type="dxa" w:w="1368"/>
          </w:tcPr>
          <w:p>
            <w:pPr>
              <w:spacing w:after="20"/>
            </w:pPr>
            <w:r>
              <w:rPr>
                <w:color w:val="1C3A36"/>
                <w:sz w:val="15"/>
              </w:rPr>
              <w:t>FY23: 4.26; FY24: 7.22; FY25: 7.13</w:t>
            </w:r>
          </w:p>
        </w:tc>
        <w:tc>
          <w:tcPr>
            <w:tcW w:type="dxa" w:w="1123"/>
          </w:tcPr>
          <w:p>
            <w:pPr>
              <w:spacing w:after="20"/>
            </w:pPr>
            <w:r>
              <w:rPr>
                <w:color w:val="1C3A36"/>
                <w:sz w:val="15"/>
              </w:rPr>
              <w:t>2026-03-15</w:t>
            </w:r>
          </w:p>
        </w:tc>
        <w:tc>
          <w:tcPr>
            <w:tcW w:type="dxa" w:w="5933"/>
          </w:tcPr>
          <w:p>
            <w:pPr>
              <w:spacing w:after="20"/>
            </w:pPr>
            <w:r>
              <w:rPr>
                <w:color w:val="1C3A36"/>
                <w:sz w:val="15"/>
              </w:rPr>
              <w:t>Basic earnings per share as reported on the face of each year's audited consolidated statement of profit or loss (FY2023 diluted 4.25, FY2024 diluted 7.21, FY2025 basic and diluted both 7.13). Struck AFTER the Egyptian employee and board profit-share appropriation and over the weighted-average share count, so it is lower than attributable profit over shares outstanding; both bases are published</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123"/>
          </w:tcPr>
          <w:p>
            <w:pPr>
              <w:spacing w:after="20"/>
            </w:pPr>
            <w:r>
              <w:rPr>
                <w:color w:val="1C3A36"/>
                <w:sz w:val="15"/>
              </w:rPr>
              <w:t>2025-03-13</w:t>
            </w:r>
          </w:p>
        </w:tc>
        <w:tc>
          <w:tcPr>
            <w:tcW w:type="dxa" w:w="5933"/>
          </w:tcPr>
          <w:p>
            <w:pPr>
              <w:spacing w:after="20"/>
            </w:pPr>
            <w:r>
              <w:rPr>
                <w:color w:val="1C3A36"/>
                <w:sz w:val="15"/>
              </w:rPr>
              <w:t>Profit attributable to owners of the parent, FY2024 audited financial statements. Basic EPS 7.22, diluted 7.21</w:t>
            </w:r>
          </w:p>
        </w:tc>
      </w:tr>
      <w:tr>
        <w:tc>
          <w:tcPr>
            <w:tcW w:type="dxa" w:w="1656"/>
          </w:tcPr>
          <w:p>
            <w:pPr>
              <w:spacing w:after="20"/>
            </w:pPr>
            <w:r>
              <w:rPr>
                <w:color w:val="1C3A36"/>
                <w:sz w:val="15"/>
              </w:rPr>
              <w:t>npa fy25</w:t>
            </w:r>
          </w:p>
        </w:tc>
        <w:tc>
          <w:tcPr>
            <w:tcW w:type="dxa" w:w="1368"/>
          </w:tcPr>
          <w:p>
            <w:pPr>
              <w:spacing w:after="20"/>
            </w:pPr>
            <w:r>
              <w:rPr>
                <w:color w:val="1C3A36"/>
                <w:sz w:val="15"/>
              </w:rPr>
              <w:t>17,330.2</w:t>
            </w:r>
          </w:p>
        </w:tc>
        <w:tc>
          <w:tcPr>
            <w:tcW w:type="dxa" w:w="1123"/>
          </w:tcPr>
          <w:p>
            <w:pPr>
              <w:spacing w:after="20"/>
            </w:pPr>
            <w:r>
              <w:rPr>
                <w:color w:val="1C3A36"/>
                <w:sz w:val="15"/>
              </w:rPr>
              <w:t>2026-03-15</w:t>
            </w:r>
          </w:p>
        </w:tc>
        <w:tc>
          <w:tcPr>
            <w:tcW w:type="dxa" w:w="5933"/>
          </w:tcPr>
          <w:p>
            <w:pPr>
              <w:spacing w:after="20"/>
            </w:pPr>
            <w:r>
              <w:rPr>
                <w:color w:val="1C3A36"/>
                <w:sz w:val="15"/>
              </w:rPr>
              <w:t>Profit attributable to owners of the parent, FY2025 audited financial statements. Basic and diluted EPS both 7.13 (no dilutive instruments beyond the already-deducted ESOP shares)</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financial position, 31 Dec 2023</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financial position, 31 Dec 2024</w:t>
            </w:r>
          </w:p>
        </w:tc>
      </w:tr>
      <w:tr>
        <w:tc>
          <w:tcPr>
            <w:tcW w:type="dxa" w:w="1656"/>
          </w:tcPr>
          <w:p>
            <w:pPr>
              <w:spacing w:after="20"/>
            </w:pPr>
            <w:r>
              <w:rPr>
                <w:color w:val="1C3A36"/>
                <w:sz w:val="15"/>
              </w:rPr>
              <w:t>ppe fy25</w:t>
            </w:r>
          </w:p>
        </w:tc>
        <w:tc>
          <w:tcPr>
            <w:tcW w:type="dxa" w:w="1368"/>
          </w:tcPr>
          <w:p>
            <w:pPr>
              <w:spacing w:after="20"/>
            </w:pPr>
            <w:r>
              <w:rPr>
                <w:color w:val="1C3A36"/>
                <w:sz w:val="15"/>
              </w:rPr>
              <w:t>35,961.1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financial position, 31 Dec 2025</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123"/>
          </w:tcPr>
          <w:p>
            <w:pPr>
              <w:spacing w:after="20"/>
            </w:pPr>
            <w:r>
              <w:rPr>
                <w:color w:val="1C3A36"/>
                <w:sz w:val="15"/>
              </w:rPr>
              <w:t>2024-03-13</w:t>
            </w:r>
          </w:p>
        </w:tc>
        <w:tc>
          <w:tcPr>
            <w:tcW w:type="dxa" w:w="5933"/>
          </w:tcPr>
          <w:p>
            <w:pPr>
              <w:spacing w:after="20"/>
            </w:pPr>
            <w:r>
              <w:rPr>
                <w:color w:val="1C3A36"/>
                <w:sz w:val="15"/>
              </w:rPr>
              <w:t>Inventories, 31 Dec 2023 (net of write-down)</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123"/>
          </w:tcPr>
          <w:p>
            <w:pPr>
              <w:spacing w:after="20"/>
            </w:pPr>
            <w:r>
              <w:rPr>
                <w:color w:val="1C3A36"/>
                <w:sz w:val="15"/>
              </w:rPr>
              <w:t>2025-03-13</w:t>
            </w:r>
          </w:p>
        </w:tc>
        <w:tc>
          <w:tcPr>
            <w:tcW w:type="dxa" w:w="5933"/>
          </w:tcPr>
          <w:p>
            <w:pPr>
              <w:spacing w:after="20"/>
            </w:pPr>
            <w:r>
              <w:rPr>
                <w:color w:val="1C3A36"/>
                <w:sz w:val="15"/>
              </w:rPr>
              <w:t>Inventories, 31 Dec 2024 (net of write-down)</w:t>
            </w:r>
          </w:p>
        </w:tc>
      </w:tr>
      <w:tr>
        <w:tc>
          <w:tcPr>
            <w:tcW w:type="dxa" w:w="1656"/>
          </w:tcPr>
          <w:p>
            <w:pPr>
              <w:spacing w:after="20"/>
            </w:pPr>
            <w:r>
              <w:rPr>
                <w:color w:val="1C3A36"/>
                <w:sz w:val="15"/>
              </w:rPr>
              <w:t>inv fy25</w:t>
            </w:r>
          </w:p>
        </w:tc>
        <w:tc>
          <w:tcPr>
            <w:tcW w:type="dxa" w:w="1368"/>
          </w:tcPr>
          <w:p>
            <w:pPr>
              <w:spacing w:after="20"/>
            </w:pPr>
            <w:r>
              <w:rPr>
                <w:color w:val="1C3A36"/>
                <w:sz w:val="15"/>
              </w:rPr>
              <w:t>59,860.0</w:t>
            </w:r>
          </w:p>
        </w:tc>
        <w:tc>
          <w:tcPr>
            <w:tcW w:type="dxa" w:w="1123"/>
          </w:tcPr>
          <w:p>
            <w:pPr>
              <w:spacing w:after="20"/>
            </w:pPr>
            <w:r>
              <w:rPr>
                <w:color w:val="1C3A36"/>
                <w:sz w:val="15"/>
              </w:rPr>
              <w:t>2026-03-15</w:t>
            </w:r>
          </w:p>
        </w:tc>
        <w:tc>
          <w:tcPr>
            <w:tcW w:type="dxa" w:w="5933"/>
          </w:tcPr>
          <w:p>
            <w:pPr>
              <w:spacing w:after="20"/>
            </w:pPr>
            <w:r>
              <w:rPr>
                <w:color w:val="1C3A36"/>
                <w:sz w:val="15"/>
              </w:rPr>
              <w:t>Inventories, 31 Dec 2025 (net of write-down)</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123"/>
          </w:tcPr>
          <w:p>
            <w:pPr>
              <w:spacing w:after="20"/>
            </w:pPr>
            <w:r>
              <w:rPr>
                <w:color w:val="1C3A36"/>
                <w:sz w:val="15"/>
              </w:rPr>
              <w:t>2024-03-13</w:t>
            </w:r>
          </w:p>
        </w:tc>
        <w:tc>
          <w:tcPr>
            <w:tcW w:type="dxa" w:w="5933"/>
          </w:tcPr>
          <w:p>
            <w:pPr>
              <w:spacing w:after="20"/>
            </w:pPr>
            <w:r>
              <w:rPr>
                <w:color w:val="1C3A36"/>
                <w:sz w:val="15"/>
              </w:rPr>
              <w:t>Contract assets, 31 Dec 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123"/>
          </w:tcPr>
          <w:p>
            <w:pPr>
              <w:spacing w:after="20"/>
            </w:pPr>
            <w:r>
              <w:rPr>
                <w:color w:val="1C3A36"/>
                <w:sz w:val="15"/>
              </w:rPr>
              <w:t>2025-03-13</w:t>
            </w:r>
          </w:p>
        </w:tc>
        <w:tc>
          <w:tcPr>
            <w:tcW w:type="dxa" w:w="5933"/>
          </w:tcPr>
          <w:p>
            <w:pPr>
              <w:spacing w:after="20"/>
            </w:pPr>
            <w:r>
              <w:rPr>
                <w:color w:val="1C3A36"/>
                <w:sz w:val="15"/>
              </w:rPr>
              <w:t>Contract assets, 31 Dec 2024</w:t>
            </w:r>
          </w:p>
        </w:tc>
      </w:tr>
      <w:tr>
        <w:tc>
          <w:tcPr>
            <w:tcW w:type="dxa" w:w="1656"/>
          </w:tcPr>
          <w:p>
            <w:pPr>
              <w:spacing w:after="20"/>
            </w:pPr>
            <w:r>
              <w:rPr>
                <w:color w:val="1C3A36"/>
                <w:sz w:val="15"/>
              </w:rPr>
              <w:t>ca fy25</w:t>
            </w:r>
          </w:p>
        </w:tc>
        <w:tc>
          <w:tcPr>
            <w:tcW w:type="dxa" w:w="1368"/>
          </w:tcPr>
          <w:p>
            <w:pPr>
              <w:spacing w:after="20"/>
            </w:pPr>
            <w:r>
              <w:rPr>
                <w:color w:val="1C3A36"/>
                <w:sz w:val="15"/>
              </w:rPr>
              <w:t>29,894.6</w:t>
            </w:r>
          </w:p>
        </w:tc>
        <w:tc>
          <w:tcPr>
            <w:tcW w:type="dxa" w:w="1123"/>
          </w:tcPr>
          <w:p>
            <w:pPr>
              <w:spacing w:after="20"/>
            </w:pPr>
            <w:r>
              <w:rPr>
                <w:color w:val="1C3A36"/>
                <w:sz w:val="15"/>
              </w:rPr>
              <w:t>2026-03-15</w:t>
            </w:r>
          </w:p>
        </w:tc>
        <w:tc>
          <w:tcPr>
            <w:tcW w:type="dxa" w:w="5933"/>
          </w:tcPr>
          <w:p>
            <w:pPr>
              <w:spacing w:after="20"/>
            </w:pPr>
            <w:r>
              <w:rPr>
                <w:color w:val="1C3A36"/>
                <w:sz w:val="15"/>
              </w:rPr>
              <w:t>Contract assets, 31 Dec 2025</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123"/>
          </w:tcPr>
          <w:p>
            <w:pPr>
              <w:spacing w:after="20"/>
            </w:pPr>
            <w:r>
              <w:rPr>
                <w:color w:val="1C3A36"/>
                <w:sz w:val="15"/>
              </w:rPr>
              <w:t>2024-03-13</w:t>
            </w:r>
          </w:p>
        </w:tc>
        <w:tc>
          <w:tcPr>
            <w:tcW w:type="dxa" w:w="5933"/>
          </w:tcPr>
          <w:p>
            <w:pPr>
              <w:spacing w:after="20"/>
            </w:pPr>
            <w:r>
              <w:rPr>
                <w:color w:val="1C3A36"/>
                <w:sz w:val="15"/>
              </w:rPr>
              <w:t>Trade and other receivables (current), 31 Dec 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123"/>
          </w:tcPr>
          <w:p>
            <w:pPr>
              <w:spacing w:after="20"/>
            </w:pPr>
            <w:r>
              <w:rPr>
                <w:color w:val="1C3A36"/>
                <w:sz w:val="15"/>
              </w:rPr>
              <w:t>2025-03-13</w:t>
            </w:r>
          </w:p>
        </w:tc>
        <w:tc>
          <w:tcPr>
            <w:tcW w:type="dxa" w:w="5933"/>
          </w:tcPr>
          <w:p>
            <w:pPr>
              <w:spacing w:after="20"/>
            </w:pPr>
            <w:r>
              <w:rPr>
                <w:color w:val="1C3A36"/>
                <w:sz w:val="15"/>
              </w:rPr>
              <w:t>Trade and other receivables (current), 31 Dec 2024</w:t>
            </w:r>
          </w:p>
        </w:tc>
      </w:tr>
      <w:tr>
        <w:tc>
          <w:tcPr>
            <w:tcW w:type="dxa" w:w="1656"/>
          </w:tcPr>
          <w:p>
            <w:pPr>
              <w:spacing w:after="20"/>
            </w:pPr>
            <w:r>
              <w:rPr>
                <w:color w:val="1C3A36"/>
                <w:sz w:val="15"/>
              </w:rPr>
              <w:t>recv fy25</w:t>
            </w:r>
          </w:p>
        </w:tc>
        <w:tc>
          <w:tcPr>
            <w:tcW w:type="dxa" w:w="1368"/>
          </w:tcPr>
          <w:p>
            <w:pPr>
              <w:spacing w:after="20"/>
            </w:pPr>
            <w:r>
              <w:rPr>
                <w:color w:val="1C3A36"/>
                <w:sz w:val="15"/>
              </w:rPr>
              <w:t>116,259.8</w:t>
            </w:r>
          </w:p>
        </w:tc>
        <w:tc>
          <w:tcPr>
            <w:tcW w:type="dxa" w:w="1123"/>
          </w:tcPr>
          <w:p>
            <w:pPr>
              <w:spacing w:after="20"/>
            </w:pPr>
            <w:r>
              <w:rPr>
                <w:color w:val="1C3A36"/>
                <w:sz w:val="15"/>
              </w:rPr>
              <w:t>2026-03-15</w:t>
            </w:r>
          </w:p>
        </w:tc>
        <w:tc>
          <w:tcPr>
            <w:tcW w:type="dxa" w:w="5933"/>
          </w:tcPr>
          <w:p>
            <w:pPr>
              <w:spacing w:after="20"/>
            </w:pPr>
            <w:r>
              <w:rPr>
                <w:color w:val="1C3A36"/>
                <w:sz w:val="15"/>
              </w:rPr>
              <w:t>Trade and other receivables (current), 31 Dec 2025</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123"/>
          </w:tcPr>
          <w:p>
            <w:pPr>
              <w:spacing w:after="20"/>
            </w:pPr>
            <w:r>
              <w:rPr>
                <w:color w:val="1C3A36"/>
                <w:sz w:val="15"/>
              </w:rPr>
              <w:t>2024-03-13</w:t>
            </w:r>
          </w:p>
        </w:tc>
        <w:tc>
          <w:tcPr>
            <w:tcW w:type="dxa" w:w="5933"/>
          </w:tcPr>
          <w:p>
            <w:pPr>
              <w:spacing w:after="20"/>
            </w:pPr>
            <w:r>
              <w:rPr>
                <w:color w:val="1C3A36"/>
                <w:sz w:val="15"/>
              </w:rPr>
              <w:t>Trade and other payables, 31 Dec 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123"/>
          </w:tcPr>
          <w:p>
            <w:pPr>
              <w:spacing w:after="20"/>
            </w:pPr>
            <w:r>
              <w:rPr>
                <w:color w:val="1C3A36"/>
                <w:sz w:val="15"/>
              </w:rPr>
              <w:t>2025-03-13</w:t>
            </w:r>
          </w:p>
        </w:tc>
        <w:tc>
          <w:tcPr>
            <w:tcW w:type="dxa" w:w="5933"/>
          </w:tcPr>
          <w:p>
            <w:pPr>
              <w:spacing w:after="20"/>
            </w:pPr>
            <w:r>
              <w:rPr>
                <w:color w:val="1C3A36"/>
                <w:sz w:val="15"/>
              </w:rPr>
              <w:t>Trade and other payables, 31 Dec 2024</w:t>
            </w:r>
          </w:p>
        </w:tc>
      </w:tr>
      <w:tr>
        <w:tc>
          <w:tcPr>
            <w:tcW w:type="dxa" w:w="1656"/>
          </w:tcPr>
          <w:p>
            <w:pPr>
              <w:spacing w:after="20"/>
            </w:pPr>
            <w:r>
              <w:rPr>
                <w:color w:val="1C3A36"/>
                <w:sz w:val="15"/>
              </w:rPr>
              <w:t>pay fy25</w:t>
            </w:r>
          </w:p>
        </w:tc>
        <w:tc>
          <w:tcPr>
            <w:tcW w:type="dxa" w:w="1368"/>
          </w:tcPr>
          <w:p>
            <w:pPr>
              <w:spacing w:after="20"/>
            </w:pPr>
            <w:r>
              <w:rPr>
                <w:color w:val="1C3A36"/>
                <w:sz w:val="15"/>
              </w:rPr>
              <w:t>68,895.7</w:t>
            </w:r>
          </w:p>
        </w:tc>
        <w:tc>
          <w:tcPr>
            <w:tcW w:type="dxa" w:w="1123"/>
          </w:tcPr>
          <w:p>
            <w:pPr>
              <w:spacing w:after="20"/>
            </w:pPr>
            <w:r>
              <w:rPr>
                <w:color w:val="1C3A36"/>
                <w:sz w:val="15"/>
              </w:rPr>
              <w:t>2026-03-15</w:t>
            </w:r>
          </w:p>
        </w:tc>
        <w:tc>
          <w:tcPr>
            <w:tcW w:type="dxa" w:w="5933"/>
          </w:tcPr>
          <w:p>
            <w:pPr>
              <w:spacing w:after="20"/>
            </w:pPr>
            <w:r>
              <w:rPr>
                <w:color w:val="1C3A36"/>
                <w:sz w:val="15"/>
              </w:rPr>
              <w:t>Trade and other payables, 31 Dec 2025</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123"/>
          </w:tcPr>
          <w:p>
            <w:pPr>
              <w:spacing w:after="20"/>
            </w:pPr>
            <w:r>
              <w:rPr>
                <w:color w:val="1C3A36"/>
                <w:sz w:val="15"/>
              </w:rPr>
              <w:t>2024-03-13</w:t>
            </w:r>
          </w:p>
        </w:tc>
        <w:tc>
          <w:tcPr>
            <w:tcW w:type="dxa" w:w="5933"/>
          </w:tcPr>
          <w:p>
            <w:pPr>
              <w:spacing w:after="20"/>
            </w:pPr>
            <w:r>
              <w:rPr>
                <w:color w:val="1C3A36"/>
                <w:sz w:val="15"/>
              </w:rPr>
              <w:t>Contract liabilities, 31 Dec 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123"/>
          </w:tcPr>
          <w:p>
            <w:pPr>
              <w:spacing w:after="20"/>
            </w:pPr>
            <w:r>
              <w:rPr>
                <w:color w:val="1C3A36"/>
                <w:sz w:val="15"/>
              </w:rPr>
              <w:t>2025-03-13</w:t>
            </w:r>
          </w:p>
        </w:tc>
        <w:tc>
          <w:tcPr>
            <w:tcW w:type="dxa" w:w="5933"/>
          </w:tcPr>
          <w:p>
            <w:pPr>
              <w:spacing w:after="20"/>
            </w:pPr>
            <w:r>
              <w:rPr>
                <w:color w:val="1C3A36"/>
                <w:sz w:val="15"/>
              </w:rPr>
              <w:t>Contract liabilities, 31 Dec 2024</w:t>
            </w:r>
          </w:p>
        </w:tc>
      </w:tr>
      <w:tr>
        <w:tc>
          <w:tcPr>
            <w:tcW w:type="dxa" w:w="1656"/>
          </w:tcPr>
          <w:p>
            <w:pPr>
              <w:spacing w:after="20"/>
            </w:pPr>
            <w:r>
              <w:rPr>
                <w:color w:val="1C3A36"/>
                <w:sz w:val="15"/>
              </w:rPr>
              <w:t>cl fy25</w:t>
            </w:r>
          </w:p>
        </w:tc>
        <w:tc>
          <w:tcPr>
            <w:tcW w:type="dxa" w:w="1368"/>
          </w:tcPr>
          <w:p>
            <w:pPr>
              <w:spacing w:after="20"/>
            </w:pPr>
            <w:r>
              <w:rPr>
                <w:color w:val="1C3A36"/>
                <w:sz w:val="15"/>
              </w:rPr>
              <w:t>81,266.2</w:t>
            </w:r>
          </w:p>
        </w:tc>
        <w:tc>
          <w:tcPr>
            <w:tcW w:type="dxa" w:w="1123"/>
          </w:tcPr>
          <w:p>
            <w:pPr>
              <w:spacing w:after="20"/>
            </w:pPr>
            <w:r>
              <w:rPr>
                <w:color w:val="1C3A36"/>
                <w:sz w:val="15"/>
              </w:rPr>
              <w:t>2026-03-15</w:t>
            </w:r>
          </w:p>
        </w:tc>
        <w:tc>
          <w:tcPr>
            <w:tcW w:type="dxa" w:w="5933"/>
          </w:tcPr>
          <w:p>
            <w:pPr>
              <w:spacing w:after="20"/>
            </w:pPr>
            <w:r>
              <w:rPr>
                <w:color w:val="1C3A36"/>
                <w:sz w:val="15"/>
              </w:rPr>
              <w:t>Contract liabilities, 31 Dec 2025</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123"/>
          </w:tcPr>
          <w:p>
            <w:pPr>
              <w:spacing w:after="20"/>
            </w:pPr>
            <w:r>
              <w:rPr>
                <w:color w:val="1C3A36"/>
                <w:sz w:val="15"/>
              </w:rPr>
              <w:t>2024-03-13</w:t>
            </w:r>
          </w:p>
        </w:tc>
        <w:tc>
          <w:tcPr>
            <w:tcW w:type="dxa" w:w="5933"/>
          </w:tcPr>
          <w:p>
            <w:pPr>
              <w:spacing w:after="20"/>
            </w:pPr>
            <w:r>
              <w:rPr>
                <w:color w:val="1C3A36"/>
                <w:sz w:val="15"/>
              </w:rPr>
              <w:t>Cash and cash equivalents, 31 Dec 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123"/>
          </w:tcPr>
          <w:p>
            <w:pPr>
              <w:spacing w:after="20"/>
            </w:pPr>
            <w:r>
              <w:rPr>
                <w:color w:val="1C3A36"/>
                <w:sz w:val="15"/>
              </w:rPr>
              <w:t>2025-03-13</w:t>
            </w:r>
          </w:p>
        </w:tc>
        <w:tc>
          <w:tcPr>
            <w:tcW w:type="dxa" w:w="5933"/>
          </w:tcPr>
          <w:p>
            <w:pPr>
              <w:spacing w:after="20"/>
            </w:pPr>
            <w:r>
              <w:rPr>
                <w:color w:val="1C3A36"/>
                <w:sz w:val="15"/>
              </w:rPr>
              <w:t>Cash and cash equivalents, 31 Dec 2024</w:t>
            </w:r>
          </w:p>
        </w:tc>
      </w:tr>
      <w:tr>
        <w:tc>
          <w:tcPr>
            <w:tcW w:type="dxa" w:w="1656"/>
          </w:tcPr>
          <w:p>
            <w:pPr>
              <w:spacing w:after="20"/>
            </w:pPr>
            <w:r>
              <w:rPr>
                <w:color w:val="1C3A36"/>
                <w:sz w:val="15"/>
              </w:rPr>
              <w:t>cash fy25</w:t>
            </w:r>
          </w:p>
        </w:tc>
        <w:tc>
          <w:tcPr>
            <w:tcW w:type="dxa" w:w="1368"/>
          </w:tcPr>
          <w:p>
            <w:pPr>
              <w:spacing w:after="20"/>
            </w:pPr>
            <w:r>
              <w:rPr>
                <w:color w:val="1C3A36"/>
                <w:sz w:val="15"/>
              </w:rPr>
              <w:t>41,949.2</w:t>
            </w:r>
          </w:p>
        </w:tc>
        <w:tc>
          <w:tcPr>
            <w:tcW w:type="dxa" w:w="1123"/>
          </w:tcPr>
          <w:p>
            <w:pPr>
              <w:spacing w:after="20"/>
            </w:pPr>
            <w:r>
              <w:rPr>
                <w:color w:val="1C3A36"/>
                <w:sz w:val="15"/>
              </w:rPr>
              <w:t>2026-03-15</w:t>
            </w:r>
          </w:p>
        </w:tc>
        <w:tc>
          <w:tcPr>
            <w:tcW w:type="dxa" w:w="5933"/>
          </w:tcPr>
          <w:p>
            <w:pPr>
              <w:spacing w:after="20"/>
            </w:pPr>
            <w:r>
              <w:rPr>
                <w:color w:val="1C3A36"/>
                <w:sz w:val="15"/>
              </w:rPr>
              <w:t>Cash and cash equivalents, 31 Dec 2025: bank time deposits 9,689.1, bank current accounts 32,157.7, cash on hand 102.4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123"/>
          </w:tcPr>
          <w:p>
            <w:pPr>
              <w:spacing w:after="20"/>
            </w:pPr>
            <w:r>
              <w:rPr>
                <w:color w:val="1C3A36"/>
                <w:sz w:val="15"/>
              </w:rPr>
              <w:t>2024-03-13</w:t>
            </w:r>
          </w:p>
        </w:tc>
        <w:tc>
          <w:tcPr>
            <w:tcW w:type="dxa" w:w="5933"/>
          </w:tcPr>
          <w:p>
            <w:pPr>
              <w:spacing w:after="20"/>
            </w:pPr>
            <w:r>
              <w:rPr>
                <w:color w:val="1C3A36"/>
                <w:sz w:val="15"/>
              </w:rPr>
              <w:t>Total assets, 31 Dec 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123"/>
          </w:tcPr>
          <w:p>
            <w:pPr>
              <w:spacing w:after="20"/>
            </w:pPr>
            <w:r>
              <w:rPr>
                <w:color w:val="1C3A36"/>
                <w:sz w:val="15"/>
              </w:rPr>
              <w:t>2025-03-13</w:t>
            </w:r>
          </w:p>
        </w:tc>
        <w:tc>
          <w:tcPr>
            <w:tcW w:type="dxa" w:w="5933"/>
          </w:tcPr>
          <w:p>
            <w:pPr>
              <w:spacing w:after="20"/>
            </w:pPr>
            <w:r>
              <w:rPr>
                <w:color w:val="1C3A36"/>
                <w:sz w:val="15"/>
              </w:rPr>
              <w:t>Total assets, 31 Dec 2024</w:t>
            </w:r>
          </w:p>
        </w:tc>
      </w:tr>
      <w:tr>
        <w:tc>
          <w:tcPr>
            <w:tcW w:type="dxa" w:w="1656"/>
          </w:tcPr>
          <w:p>
            <w:pPr>
              <w:spacing w:after="20"/>
            </w:pPr>
            <w:r>
              <w:rPr>
                <w:color w:val="1C3A36"/>
                <w:sz w:val="15"/>
              </w:rPr>
              <w:t>assets fy25</w:t>
            </w:r>
          </w:p>
        </w:tc>
        <w:tc>
          <w:tcPr>
            <w:tcW w:type="dxa" w:w="1368"/>
          </w:tcPr>
          <w:p>
            <w:pPr>
              <w:spacing w:after="20"/>
            </w:pPr>
            <w:r>
              <w:rPr>
                <w:color w:val="1C3A36"/>
                <w:sz w:val="15"/>
              </w:rPr>
              <w:t>311,099.1</w:t>
            </w:r>
          </w:p>
        </w:tc>
        <w:tc>
          <w:tcPr>
            <w:tcW w:type="dxa" w:w="1123"/>
          </w:tcPr>
          <w:p>
            <w:pPr>
              <w:spacing w:after="20"/>
            </w:pPr>
            <w:r>
              <w:rPr>
                <w:color w:val="1C3A36"/>
                <w:sz w:val="15"/>
              </w:rPr>
              <w:t>2026-03-15</w:t>
            </w:r>
          </w:p>
        </w:tc>
        <w:tc>
          <w:tcPr>
            <w:tcW w:type="dxa" w:w="5933"/>
          </w:tcPr>
          <w:p>
            <w:pPr>
              <w:spacing w:after="20"/>
            </w:pPr>
            <w:r>
              <w:rPr>
                <w:color w:val="1C3A36"/>
                <w:sz w:val="15"/>
              </w:rPr>
              <w:t>Total assets, 31 Dec 2025</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123"/>
          </w:tcPr>
          <w:p>
            <w:pPr>
              <w:spacing w:after="20"/>
            </w:pPr>
            <w:r>
              <w:rPr>
                <w:color w:val="1C3A36"/>
                <w:sz w:val="15"/>
              </w:rPr>
              <w:t>2024-03-13</w:t>
            </w:r>
          </w:p>
        </w:tc>
        <w:tc>
          <w:tcPr>
            <w:tcW w:type="dxa" w:w="5933"/>
          </w:tcPr>
          <w:p>
            <w:pPr>
              <w:spacing w:after="20"/>
            </w:pPr>
            <w:r>
              <w:rPr>
                <w:color w:val="1C3A36"/>
                <w:sz w:val="15"/>
              </w:rPr>
              <w:t>Loans and borrowings including lease liabilities, 31 Dec 2023: current 34,950.810105 (loans 7,401.079843 + bank facilities 27,530.523733 + leases 19.206529) + non-current 6,815.681966 (loans 6,235.939701 + leases 579.742265)</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123"/>
          </w:tcPr>
          <w:p>
            <w:pPr>
              <w:spacing w:after="20"/>
            </w:pPr>
            <w:r>
              <w:rPr>
                <w:color w:val="1C3A36"/>
                <w:sz w:val="15"/>
              </w:rPr>
              <w:t>2025-03-13</w:t>
            </w:r>
          </w:p>
        </w:tc>
        <w:tc>
          <w:tcPr>
            <w:tcW w:type="dxa" w:w="5933"/>
          </w:tcPr>
          <w:p>
            <w:pPr>
              <w:spacing w:after="20"/>
            </w:pPr>
            <w:r>
              <w:rPr>
                <w:color w:val="1C3A36"/>
                <w:sz w:val="15"/>
              </w:rPr>
              <w:t>Loans and borrowings including lease liabilities, 31 Dec 2024: current 52,733.931099 (loans 12,580.708167 + bank facilities 40,049.471127 + leases 103.751805) + non-current 6,349.010708 (loans 6,166.616210 + leases 182.394498)</w:t>
            </w:r>
          </w:p>
        </w:tc>
      </w:tr>
      <w:tr>
        <w:tc>
          <w:tcPr>
            <w:tcW w:type="dxa" w:w="1656"/>
          </w:tcPr>
          <w:p>
            <w:pPr>
              <w:spacing w:after="20"/>
            </w:pPr>
            <w:r>
              <w:rPr>
                <w:color w:val="1C3A36"/>
                <w:sz w:val="15"/>
              </w:rPr>
              <w:t>debt fy25</w:t>
            </w:r>
          </w:p>
        </w:tc>
        <w:tc>
          <w:tcPr>
            <w:tcW w:type="dxa" w:w="1368"/>
          </w:tcPr>
          <w:p>
            <w:pPr>
              <w:spacing w:after="20"/>
            </w:pPr>
            <w:r>
              <w:rPr>
                <w:color w:val="1C3A36"/>
                <w:sz w:val="15"/>
              </w:rPr>
              <w:t>62,509.2</w:t>
            </w:r>
          </w:p>
        </w:tc>
        <w:tc>
          <w:tcPr>
            <w:tcW w:type="dxa" w:w="1123"/>
          </w:tcPr>
          <w:p>
            <w:pPr>
              <w:spacing w:after="20"/>
            </w:pPr>
            <w:r>
              <w:rPr>
                <w:color w:val="1C3A36"/>
                <w:sz w:val="15"/>
              </w:rPr>
              <w:t>2026-03-15</w:t>
            </w:r>
          </w:p>
        </w:tc>
        <w:tc>
          <w:tcPr>
            <w:tcW w:type="dxa" w:w="5933"/>
          </w:tcPr>
          <w:p>
            <w:pPr>
              <w:spacing w:after="20"/>
            </w:pPr>
            <w:r>
              <w:rPr>
                <w:color w:val="1C3A36"/>
                <w:sz w:val="15"/>
              </w:rPr>
              <w:t>Loans and borrowings including lease liabilities, 31 Dec 2025: current 53,888.496799 (loans 26,673.246745 + bank facilities 27,183.559774 + leases 31.690280) + non-current 8,620.714998 (loans 8,605.301580 + leases 15.413418)</w:t>
            </w:r>
          </w:p>
        </w:tc>
      </w:tr>
      <w:tr>
        <w:tc>
          <w:tcPr>
            <w:tcW w:type="dxa" w:w="1656"/>
          </w:tcPr>
          <w:p>
            <w:pPr>
              <w:spacing w:after="20"/>
            </w:pPr>
            <w:r>
              <w:rPr>
                <w:color w:val="1C3A36"/>
                <w:sz w:val="15"/>
              </w:rPr>
              <w:t>nd fy23</w:t>
            </w:r>
          </w:p>
        </w:tc>
        <w:tc>
          <w:tcPr>
            <w:tcW w:type="dxa" w:w="1368"/>
          </w:tcPr>
          <w:p>
            <w:pPr>
              <w:spacing w:after="20"/>
            </w:pPr>
            <w:r>
              <w:rPr>
                <w:color w:val="1C3A36"/>
                <w:sz w:val="15"/>
              </w:rPr>
              <w:t>16,214.4</w:t>
            </w:r>
          </w:p>
        </w:tc>
        <w:tc>
          <w:tcPr>
            <w:tcW w:type="dxa" w:w="1123"/>
          </w:tcPr>
          <w:p>
            <w:pPr>
              <w:spacing w:after="20"/>
            </w:pPr>
            <w:r>
              <w:rPr>
                <w:color w:val="1C3A36"/>
                <w:sz w:val="15"/>
              </w:rPr>
              <w:t>2024-03-13</w:t>
            </w:r>
          </w:p>
        </w:tc>
        <w:tc>
          <w:tcPr>
            <w:tcW w:type="dxa" w:w="5933"/>
          </w:tcPr>
          <w:p>
            <w:pPr>
              <w:spacing w:after="20"/>
            </w:pPr>
            <w:r>
              <w:rPr>
                <w:color w:val="1C3A36"/>
                <w:sz w:val="15"/>
              </w:rPr>
              <w:t>Net financial debt, 31 Dec 2023: total loans and borrowings including leases 41,766.492071 less cash and cash equivalents 25,552.044800. NOTE: this is the interest-bearing-debt definition used for the equity bridge, not the company's own 'net debt' capital-management ratio (Note 29-1), which nets a much broader liability base (total liabilities less deferred tax and provisions) against cash and is a leverage-monitoring metric, not a valuation-bridge quantity</w:t>
            </w:r>
          </w:p>
        </w:tc>
      </w:tr>
      <w:tr>
        <w:tc>
          <w:tcPr>
            <w:tcW w:type="dxa" w:w="1656"/>
          </w:tcPr>
          <w:p>
            <w:pPr>
              <w:spacing w:after="20"/>
            </w:pPr>
            <w:r>
              <w:rPr>
                <w:color w:val="1C3A36"/>
                <w:sz w:val="15"/>
              </w:rPr>
              <w:t>nd fy24</w:t>
            </w:r>
          </w:p>
        </w:tc>
        <w:tc>
          <w:tcPr>
            <w:tcW w:type="dxa" w:w="1368"/>
          </w:tcPr>
          <w:p>
            <w:pPr>
              <w:spacing w:after="20"/>
            </w:pPr>
            <w:r>
              <w:rPr>
                <w:color w:val="1C3A36"/>
                <w:sz w:val="15"/>
              </w:rPr>
              <w:t>20,902.9</w:t>
            </w:r>
          </w:p>
        </w:tc>
        <w:tc>
          <w:tcPr>
            <w:tcW w:type="dxa" w:w="1123"/>
          </w:tcPr>
          <w:p>
            <w:pPr>
              <w:spacing w:after="20"/>
            </w:pPr>
            <w:r>
              <w:rPr>
                <w:color w:val="1C3A36"/>
                <w:sz w:val="15"/>
              </w:rPr>
              <w:t>2025-03-13</w:t>
            </w:r>
          </w:p>
        </w:tc>
        <w:tc>
          <w:tcPr>
            <w:tcW w:type="dxa" w:w="5933"/>
          </w:tcPr>
          <w:p>
            <w:pPr>
              <w:spacing w:after="20"/>
            </w:pPr>
            <w:r>
              <w:rPr>
                <w:color w:val="1C3A36"/>
                <w:sz w:val="15"/>
              </w:rPr>
              <w:t>Net financial debt, 31 Dec 2024: total loans and borrowings including leases 59,082.941807 less cash 38,180.002322</w:t>
            </w:r>
          </w:p>
        </w:tc>
      </w:tr>
      <w:tr>
        <w:tc>
          <w:tcPr>
            <w:tcW w:type="dxa" w:w="1656"/>
          </w:tcPr>
          <w:p>
            <w:pPr>
              <w:spacing w:after="20"/>
            </w:pPr>
            <w:r>
              <w:rPr>
                <w:color w:val="1C3A36"/>
                <w:sz w:val="15"/>
              </w:rPr>
              <w:t>nd fy25</w:t>
            </w:r>
          </w:p>
        </w:tc>
        <w:tc>
          <w:tcPr>
            <w:tcW w:type="dxa" w:w="1368"/>
          </w:tcPr>
          <w:p>
            <w:pPr>
              <w:spacing w:after="20"/>
            </w:pPr>
            <w:r>
              <w:rPr>
                <w:color w:val="1C3A36"/>
                <w:sz w:val="15"/>
              </w:rPr>
              <w:t>20,560.0</w:t>
            </w:r>
          </w:p>
        </w:tc>
        <w:tc>
          <w:tcPr>
            <w:tcW w:type="dxa" w:w="1123"/>
          </w:tcPr>
          <w:p>
            <w:pPr>
              <w:spacing w:after="20"/>
            </w:pPr>
            <w:r>
              <w:rPr>
                <w:color w:val="1C3A36"/>
                <w:sz w:val="15"/>
              </w:rPr>
              <w:t>2026-03-15</w:t>
            </w:r>
          </w:p>
        </w:tc>
        <w:tc>
          <w:tcPr>
            <w:tcW w:type="dxa" w:w="5933"/>
          </w:tcPr>
          <w:p>
            <w:pPr>
              <w:spacing w:after="20"/>
            </w:pPr>
            <w:r>
              <w:rPr>
                <w:color w:val="1C3A36"/>
                <w:sz w:val="15"/>
              </w:rPr>
              <w:t>Net financial debt, 31 Dec 2025: total loans and borrowings including leases 62,509.211797 less cash 41,949.208624. The company's OWN 'net debt' figure (Note 29-1) is EGP 180,102.969196 — total liabilities LESS deferred tax and provisions, less cash — a capital-structure leverage ratio (net debt/equity 2.50x) that nets trade payables and contract liabilities against cash. Using it in an EV-to-equity bridge would double-count operating liabilities already reflected in working capital; the interest-bearing figure above is the correct bridge quantity and is used throughout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123"/>
          </w:tcPr>
          <w:p>
            <w:pPr>
              <w:spacing w:after="20"/>
            </w:pPr>
            <w:r>
              <w:rPr>
                <w:color w:val="1C3A36"/>
                <w:sz w:val="15"/>
              </w:rPr>
              <w:t>2024-03-13</w:t>
            </w:r>
          </w:p>
        </w:tc>
        <w:tc>
          <w:tcPr>
            <w:tcW w:type="dxa" w:w="5933"/>
          </w:tcPr>
          <w:p>
            <w:pPr>
              <w:spacing w:after="20"/>
            </w:pPr>
            <w:r>
              <w:rPr>
                <w:color w:val="1C3A36"/>
                <w:sz w:val="15"/>
              </w:rPr>
              <w:t>Equity attributable to owners of the parent, 31 Dec 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123"/>
          </w:tcPr>
          <w:p>
            <w:pPr>
              <w:spacing w:after="20"/>
            </w:pPr>
            <w:r>
              <w:rPr>
                <w:color w:val="1C3A36"/>
                <w:sz w:val="15"/>
              </w:rPr>
              <w:t>2025-03-13</w:t>
            </w:r>
          </w:p>
        </w:tc>
        <w:tc>
          <w:tcPr>
            <w:tcW w:type="dxa" w:w="5933"/>
          </w:tcPr>
          <w:p>
            <w:pPr>
              <w:spacing w:after="20"/>
            </w:pPr>
            <w:r>
              <w:rPr>
                <w:color w:val="1C3A36"/>
                <w:sz w:val="15"/>
              </w:rPr>
              <w:t>Equity attributable to owners of the parent, 31 Dec 2024</w:t>
            </w:r>
          </w:p>
        </w:tc>
      </w:tr>
      <w:tr>
        <w:tc>
          <w:tcPr>
            <w:tcW w:type="dxa" w:w="1656"/>
          </w:tcPr>
          <w:p>
            <w:pPr>
              <w:spacing w:after="20"/>
            </w:pPr>
            <w:r>
              <w:rPr>
                <w:color w:val="1C3A36"/>
                <w:sz w:val="15"/>
              </w:rPr>
              <w:t>eqp fy25</w:t>
            </w:r>
          </w:p>
        </w:tc>
        <w:tc>
          <w:tcPr>
            <w:tcW w:type="dxa" w:w="1368"/>
          </w:tcPr>
          <w:p>
            <w:pPr>
              <w:spacing w:after="20"/>
            </w:pPr>
            <w:r>
              <w:rPr>
                <w:color w:val="1C3A36"/>
                <w:sz w:val="15"/>
              </w:rPr>
              <w:t>66,870.9</w:t>
            </w:r>
          </w:p>
        </w:tc>
        <w:tc>
          <w:tcPr>
            <w:tcW w:type="dxa" w:w="1123"/>
          </w:tcPr>
          <w:p>
            <w:pPr>
              <w:spacing w:after="20"/>
            </w:pPr>
            <w:r>
              <w:rPr>
                <w:color w:val="1C3A36"/>
                <w:sz w:val="15"/>
              </w:rPr>
              <w:t>2026-03-15</w:t>
            </w:r>
          </w:p>
        </w:tc>
        <w:tc>
          <w:tcPr>
            <w:tcW w:type="dxa" w:w="5933"/>
          </w:tcPr>
          <w:p>
            <w:pPr>
              <w:spacing w:after="20"/>
            </w:pPr>
            <w:r>
              <w:rPr>
                <w:color w:val="1C3A36"/>
                <w:sz w:val="15"/>
              </w:rPr>
              <w:t>Equity attributable to owners of the parent, 31 Dec 2025 — now the audited closing figure, not derived from the prior year plus profit less an assumed dividend</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123"/>
          </w:tcPr>
          <w:p>
            <w:pPr>
              <w:spacing w:after="20"/>
            </w:pPr>
            <w:r>
              <w:rPr>
                <w:color w:val="1C3A36"/>
                <w:sz w:val="15"/>
              </w:rPr>
              <w:t>2024-03-13</w:t>
            </w:r>
          </w:p>
        </w:tc>
        <w:tc>
          <w:tcPr>
            <w:tcW w:type="dxa" w:w="5933"/>
          </w:tcPr>
          <w:p>
            <w:pPr>
              <w:spacing w:after="20"/>
            </w:pPr>
            <w:r>
              <w:rPr>
                <w:color w:val="1C3A36"/>
                <w:sz w:val="15"/>
              </w:rPr>
              <w:t>Non-controlling interests, 31 Dec 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123"/>
          </w:tcPr>
          <w:p>
            <w:pPr>
              <w:spacing w:after="20"/>
            </w:pPr>
            <w:r>
              <w:rPr>
                <w:color w:val="1C3A36"/>
                <w:sz w:val="15"/>
              </w:rPr>
              <w:t>2025-03-13</w:t>
            </w:r>
          </w:p>
        </w:tc>
        <w:tc>
          <w:tcPr>
            <w:tcW w:type="dxa" w:w="5933"/>
          </w:tcPr>
          <w:p>
            <w:pPr>
              <w:spacing w:after="20"/>
            </w:pPr>
            <w:r>
              <w:rPr>
                <w:color w:val="1C3A36"/>
                <w:sz w:val="15"/>
              </w:rPr>
              <w:t>Non-controlling interests, 31 Dec 2024</w:t>
            </w:r>
          </w:p>
        </w:tc>
      </w:tr>
      <w:tr>
        <w:tc>
          <w:tcPr>
            <w:tcW w:type="dxa" w:w="1656"/>
          </w:tcPr>
          <w:p>
            <w:pPr>
              <w:spacing w:after="20"/>
            </w:pPr>
            <w:r>
              <w:rPr>
                <w:color w:val="1C3A36"/>
                <w:sz w:val="15"/>
              </w:rPr>
              <w:t>nci fy25</w:t>
            </w:r>
          </w:p>
        </w:tc>
        <w:tc>
          <w:tcPr>
            <w:tcW w:type="dxa" w:w="1368"/>
          </w:tcPr>
          <w:p>
            <w:pPr>
              <w:spacing w:after="20"/>
            </w:pPr>
            <w:r>
              <w:rPr>
                <w:color w:val="1C3A36"/>
                <w:sz w:val="15"/>
              </w:rPr>
              <w:t>5,119.0</w:t>
            </w:r>
          </w:p>
        </w:tc>
        <w:tc>
          <w:tcPr>
            <w:tcW w:type="dxa" w:w="1123"/>
          </w:tcPr>
          <w:p>
            <w:pPr>
              <w:spacing w:after="20"/>
            </w:pPr>
            <w:r>
              <w:rPr>
                <w:color w:val="1C3A36"/>
                <w:sz w:val="15"/>
              </w:rPr>
              <w:t>2026-03-15</w:t>
            </w:r>
          </w:p>
        </w:tc>
        <w:tc>
          <w:tcPr>
            <w:tcW w:type="dxa" w:w="5933"/>
          </w:tcPr>
          <w:p>
            <w:pPr>
              <w:spacing w:after="20"/>
            </w:pPr>
            <w:r>
              <w:rPr>
                <w:color w:val="1C3A36"/>
                <w:sz w:val="15"/>
              </w:rPr>
              <w:t>Non-controlling interests, 31 Dec 2025: Rowad for Modern Engineering (49%) 1,429.7, Elsewedy Cables-KSA (40%) 2,546.8, Egyptian Co. for Solar Energy (49%) 297.5, Elsewedy Electric Zambia (40%) 453.2, Egyptian Co. for Electrical Insulators (25.17%) 76.1, Pyramids Zona Franca (5%) 17.9, others 297.7</w:t>
            </w:r>
          </w:p>
        </w:tc>
      </w:tr>
      <w:tr>
        <w:tc>
          <w:tcPr>
            <w:tcW w:type="dxa" w:w="1656"/>
          </w:tcPr>
          <w:p>
            <w:pPr>
              <w:spacing w:after="20"/>
            </w:pPr>
            <w:r>
              <w:rPr>
                <w:color w:val="1C3A36"/>
                <w:sz w:val="15"/>
              </w:rPr>
              <w:t>electra sold 2025 mn</w:t>
            </w:r>
          </w:p>
        </w:tc>
        <w:tc>
          <w:tcPr>
            <w:tcW w:type="dxa" w:w="1368"/>
          </w:tcPr>
          <w:p>
            <w:pPr>
              <w:spacing w:after="20"/>
            </w:pPr>
            <w:r>
              <w:rPr>
                <w:color w:val="1C3A36"/>
                <w:sz w:val="15"/>
              </w:rPr>
              <w:t>32.1</w:t>
            </w:r>
          </w:p>
        </w:tc>
        <w:tc>
          <w:tcPr>
            <w:tcW w:type="dxa" w:w="1123"/>
          </w:tcPr>
          <w:p>
            <w:pPr>
              <w:spacing w:after="20"/>
            </w:pPr>
            <w:r>
              <w:rPr>
                <w:color w:val="1C3A36"/>
                <w:sz w:val="15"/>
              </w:rPr>
              <w:t>2026-03-01</w:t>
            </w:r>
          </w:p>
        </w:tc>
        <w:tc>
          <w:tcPr>
            <w:tcW w:type="dxa" w:w="5933"/>
          </w:tcPr>
          <w:p>
            <w:pPr>
              <w:spacing w:after="20"/>
            </w:pPr>
            <w:r>
              <w:rPr>
                <w:color w:val="1C3A36"/>
                <w:sz w:val="15"/>
              </w:rPr>
              <w:t>Shares sold into the market by Electra Investment Holding over calendar 2025, from the FY2025 shareholder table's movement against the FY2024 stake</w:t>
            </w:r>
          </w:p>
        </w:tc>
      </w:tr>
      <w:tr>
        <w:tc>
          <w:tcPr>
            <w:tcW w:type="dxa" w:w="1656"/>
          </w:tcPr>
          <w:p>
            <w:pPr>
              <w:spacing w:after="20"/>
            </w:pPr>
            <w:r>
              <w:rPr>
                <w:color w:val="1C3A36"/>
                <w:sz w:val="15"/>
              </w:rPr>
              <w:t>nd release fy25</w:t>
            </w:r>
          </w:p>
        </w:tc>
        <w:tc>
          <w:tcPr>
            <w:tcW w:type="dxa" w:w="1368"/>
          </w:tcPr>
          <w:p>
            <w:pPr>
              <w:spacing w:after="20"/>
            </w:pPr>
            <w:r>
              <w:rPr>
                <w:color w:val="1C3A36"/>
                <w:sz w:val="15"/>
              </w:rPr>
              <w:t>19,789.0</w:t>
            </w:r>
          </w:p>
        </w:tc>
        <w:tc>
          <w:tcPr>
            <w:tcW w:type="dxa" w:w="1123"/>
          </w:tcPr>
          <w:p>
            <w:pPr>
              <w:spacing w:after="20"/>
            </w:pPr>
            <w:r>
              <w:rPr>
                <w:color w:val="1C3A36"/>
                <w:sz w:val="15"/>
              </w:rPr>
              <w:t>2026-03-01</w:t>
            </w:r>
          </w:p>
        </w:tc>
        <w:tc>
          <w:tcPr>
            <w:tcW w:type="dxa" w:w="5933"/>
          </w:tcPr>
          <w:p>
            <w:pPr>
              <w:spacing w:after="20"/>
            </w:pPr>
            <w:r>
              <w:rPr>
                <w:color w:val="1C3A36"/>
                <w:sz w:val="15"/>
              </w:rPr>
              <w:t>Net debt as the company states it in its own FY2025 earnings release, on a narrower basis than the audited balance sheet (the definitional gap against this study's computed figure is disclosed rather than resolved)</w:t>
            </w:r>
          </w:p>
        </w:tc>
      </w:tr>
      <w:tr>
        <w:tc>
          <w:tcPr>
            <w:tcW w:type="dxa" w:w="1656"/>
          </w:tcPr>
          <w:p>
            <w:pPr>
              <w:spacing w:after="20"/>
            </w:pPr>
            <w:r>
              <w:rPr>
                <w:color w:val="1C3A36"/>
                <w:sz w:val="15"/>
              </w:rPr>
              <w:t>assoc bv fy23</w:t>
            </w:r>
          </w:p>
        </w:tc>
        <w:tc>
          <w:tcPr>
            <w:tcW w:type="dxa" w:w="1368"/>
          </w:tcPr>
          <w:p>
            <w:pPr>
              <w:spacing w:after="20"/>
            </w:pPr>
            <w:r>
              <w:rPr>
                <w:color w:val="1C3A36"/>
                <w:sz w:val="15"/>
              </w:rPr>
              <w:t>3,802.8</w:t>
            </w:r>
          </w:p>
        </w:tc>
        <w:tc>
          <w:tcPr>
            <w:tcW w:type="dxa" w:w="1123"/>
          </w:tcPr>
          <w:p>
            <w:pPr>
              <w:spacing w:after="20"/>
            </w:pPr>
            <w:r>
              <w:rPr>
                <w:color w:val="1C3A36"/>
                <w:sz w:val="15"/>
              </w:rPr>
              <w:t>2024-03-13</w:t>
            </w:r>
          </w:p>
        </w:tc>
        <w:tc>
          <w:tcPr>
            <w:tcW w:type="dxa" w:w="5933"/>
          </w:tcPr>
          <w:p>
            <w:pPr>
              <w:spacing w:after="20"/>
            </w:pPr>
            <w:r>
              <w:rPr>
                <w:color w:val="1C3A36"/>
                <w:sz w:val="15"/>
              </w:rPr>
              <w:t>Investments in associates and joint ventures, carrying value at 31 December 2023, FY2023 audited consolidated balance sheet</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123"/>
          </w:tcPr>
          <w:p>
            <w:pPr>
              <w:spacing w:after="20"/>
            </w:pPr>
            <w:r>
              <w:rPr>
                <w:color w:val="1C3A36"/>
                <w:sz w:val="15"/>
              </w:rPr>
              <w:t>2025-03-13</w:t>
            </w:r>
          </w:p>
        </w:tc>
        <w:tc>
          <w:tcPr>
            <w:tcW w:type="dxa" w:w="5933"/>
          </w:tcPr>
          <w:p>
            <w:pPr>
              <w:spacing w:after="20"/>
            </w:pPr>
            <w:r>
              <w:rPr>
                <w:color w:val="1C3A36"/>
                <w:sz w:val="15"/>
              </w:rPr>
              <w:t>Equity-accounted investees, carrying value, 31 Dec 2024</w:t>
            </w:r>
          </w:p>
        </w:tc>
      </w:tr>
      <w:tr>
        <w:tc>
          <w:tcPr>
            <w:tcW w:type="dxa" w:w="1656"/>
          </w:tcPr>
          <w:p>
            <w:pPr>
              <w:spacing w:after="20"/>
            </w:pPr>
            <w:r>
              <w:rPr>
                <w:color w:val="1C3A36"/>
                <w:sz w:val="15"/>
              </w:rPr>
              <w:t>assoc bv fy25</w:t>
            </w:r>
          </w:p>
        </w:tc>
        <w:tc>
          <w:tcPr>
            <w:tcW w:type="dxa" w:w="1368"/>
          </w:tcPr>
          <w:p>
            <w:pPr>
              <w:spacing w:after="20"/>
            </w:pPr>
            <w:r>
              <w:rPr>
                <w:color w:val="1C3A36"/>
                <w:sz w:val="15"/>
              </w:rPr>
              <w:t>6,757.7</w:t>
            </w:r>
          </w:p>
        </w:tc>
        <w:tc>
          <w:tcPr>
            <w:tcW w:type="dxa" w:w="1123"/>
          </w:tcPr>
          <w:p>
            <w:pPr>
              <w:spacing w:after="20"/>
            </w:pPr>
            <w:r>
              <w:rPr>
                <w:color w:val="1C3A36"/>
                <w:sz w:val="15"/>
              </w:rPr>
              <w:t>2026-03-15</w:t>
            </w:r>
          </w:p>
        </w:tc>
        <w:tc>
          <w:tcPr>
            <w:tcW w:type="dxa" w:w="5933"/>
          </w:tcPr>
          <w:p>
            <w:pPr>
              <w:spacing w:after="20"/>
            </w:pPr>
            <w:r>
              <w:rPr>
                <w:color w:val="1C3A36"/>
                <w:sz w:val="15"/>
              </w:rPr>
              <w:t>Equity-accounted investees, carrying value, 31 Dec 2025 — the closing balance used in the valuation bridge (the anchor date is Aug-2026, so the FY2025 close is the most recent audited figure, not FY2024's). Note 20 names every investee and none is listed, so the house rule leaves book as the only route; the balance reconciles to the prior year through the disclosed 1,174.475 Senyar dividend and 135.317 of translation</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123"/>
          </w:tcPr>
          <w:p>
            <w:pPr>
              <w:spacing w:after="20"/>
            </w:pPr>
            <w:r>
              <w:rPr>
                <w:color w:val="1C3A36"/>
                <w:sz w:val="15"/>
              </w:rPr>
              <w:t>2025-03-13</w:t>
            </w:r>
          </w:p>
        </w:tc>
        <w:tc>
          <w:tcPr>
            <w:tcW w:type="dxa" w:w="5933"/>
          </w:tcPr>
          <w:p>
            <w:pPr>
              <w:spacing w:after="20"/>
            </w:pPr>
            <w:r>
              <w:rPr>
                <w:color w:val="1C3A36"/>
                <w:sz w:val="15"/>
              </w:rPr>
              <w:t>Intangible assets and goodwill, 31 Dec 2024</w:t>
            </w:r>
          </w:p>
        </w:tc>
      </w:tr>
      <w:tr>
        <w:tc>
          <w:tcPr>
            <w:tcW w:type="dxa" w:w="1656"/>
          </w:tcPr>
          <w:p>
            <w:pPr>
              <w:spacing w:after="20"/>
            </w:pPr>
            <w:r>
              <w:rPr>
                <w:color w:val="1C3A36"/>
                <w:sz w:val="15"/>
              </w:rPr>
              <w:t>intang fy25</w:t>
            </w:r>
          </w:p>
        </w:tc>
        <w:tc>
          <w:tcPr>
            <w:tcW w:type="dxa" w:w="1368"/>
          </w:tcPr>
          <w:p>
            <w:pPr>
              <w:spacing w:after="20"/>
            </w:pPr>
            <w:r>
              <w:rPr>
                <w:color w:val="1C3A36"/>
                <w:sz w:val="15"/>
              </w:rPr>
              <w:t>1,748.8</w:t>
            </w:r>
          </w:p>
        </w:tc>
        <w:tc>
          <w:tcPr>
            <w:tcW w:type="dxa" w:w="1123"/>
          </w:tcPr>
          <w:p>
            <w:pPr>
              <w:spacing w:after="20"/>
            </w:pPr>
            <w:r>
              <w:rPr>
                <w:color w:val="1C3A36"/>
                <w:sz w:val="15"/>
              </w:rPr>
              <w:t>2026-03-15</w:t>
            </w:r>
          </w:p>
        </w:tc>
        <w:tc>
          <w:tcPr>
            <w:tcW w:type="dxa" w:w="5933"/>
          </w:tcPr>
          <w:p>
            <w:pPr>
              <w:spacing w:after="20"/>
            </w:pPr>
            <w:r>
              <w:rPr>
                <w:color w:val="1C3A36"/>
                <w:sz w:val="15"/>
              </w:rPr>
              <w:t>Intangible assets and goodwill, 31 Dec 2025</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123"/>
          </w:tcPr>
          <w:p>
            <w:pPr>
              <w:spacing w:after="20"/>
            </w:pPr>
            <w:r>
              <w:rPr>
                <w:color w:val="1C3A36"/>
                <w:sz w:val="15"/>
              </w:rPr>
              <w:t>2026-03-15</w:t>
            </w:r>
          </w:p>
        </w:tc>
        <w:tc>
          <w:tcPr>
            <w:tcW w:type="dxa" w:w="5933"/>
          </w:tcPr>
          <w:p>
            <w:pPr>
              <w:spacing w:after="20"/>
            </w:pPr>
            <w:r>
              <w:rPr>
                <w:color w:val="1C3A36"/>
                <w:sz w:val="15"/>
              </w:rPr>
              <w:t>FY2024 dividend, paid during FY2025: cash flow statement 'dividends paid to shareholders' of 3,111.384454 splits into 2,139.355716 to owners of the parent and 972.028738 to non-controlling interests; 2,139.355716 / 2,139,355,716 weighted shares = EXACTLY EGP 1.00 per share</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123"/>
          </w:tcPr>
          <w:p>
            <w:pPr>
              <w:spacing w:after="20"/>
            </w:pPr>
            <w:r>
              <w:rPr>
                <w:color w:val="1C3A36"/>
                <w:sz w:val="15"/>
              </w:rPr>
              <w:t>2026-05-06</w:t>
            </w:r>
          </w:p>
        </w:tc>
        <w:tc>
          <w:tcPr>
            <w:tcW w:type="dxa" w:w="5933"/>
          </w:tcPr>
          <w:p>
            <w:pPr>
              <w:spacing w:after="20"/>
            </w:pPr>
            <w:r>
              <w:rPr>
                <w:color w:val="1C3A36"/>
                <w:sz w:val="15"/>
              </w:rPr>
              <w:t>FY2025 cash dividend of EGP 1.85/share: recommended with the FY2025 results, ratified by the ordinary general assembly on 6 May 2026, rights with the share through 1 June, paid from 4 June 2026 (EGX disclosure, corroborated by Arab Finance coverage and the quoted ~2.0% trailing yield). RESTORED after external critique: an earlier revision removed this figure because neither the FY2025 annual filing (board-approved 12 Mar 2026) nor the Q1-2026 interim disclosed it — an absence-of-evidence error, since the interim covers a period ending 31 March and carries no subsequent-events note, so its silence was never evidence. Payout = 1.85 / 8.10 attributable EPS = 22.8%</w:t>
            </w:r>
          </w:p>
        </w:tc>
      </w:tr>
      <w:tr>
        <w:tc>
          <w:tcPr>
            <w:tcW w:type="dxa" w:w="1656"/>
          </w:tcPr>
          <w:p>
            <w:pPr>
              <w:spacing w:after="20"/>
            </w:pPr>
            <w:r>
              <w:rPr>
                <w:color w:val="1C3A36"/>
                <w:sz w:val="15"/>
              </w:rPr>
              <w:t>capex fy23</w:t>
            </w:r>
          </w:p>
        </w:tc>
        <w:tc>
          <w:tcPr>
            <w:tcW w:type="dxa" w:w="1368"/>
          </w:tcPr>
          <w:p>
            <w:pPr>
              <w:spacing w:after="20"/>
            </w:pPr>
            <w:r>
              <w:rPr>
                <w:color w:val="1C3A36"/>
                <w:sz w:val="15"/>
              </w:rPr>
              <w:t>4,748.6</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cash flow statement: 'acquisition of property, plant and equipment'</w:t>
            </w:r>
          </w:p>
        </w:tc>
      </w:tr>
      <w:tr>
        <w:tc>
          <w:tcPr>
            <w:tcW w:type="dxa" w:w="1656"/>
          </w:tcPr>
          <w:p>
            <w:pPr>
              <w:spacing w:after="20"/>
            </w:pPr>
            <w:r>
              <w:rPr>
                <w:color w:val="1C3A36"/>
                <w:sz w:val="15"/>
              </w:rPr>
              <w:t>capex fy24</w:t>
            </w:r>
          </w:p>
        </w:tc>
        <w:tc>
          <w:tcPr>
            <w:tcW w:type="dxa" w:w="1368"/>
          </w:tcPr>
          <w:p>
            <w:pPr>
              <w:spacing w:after="20"/>
            </w:pPr>
            <w:r>
              <w:rPr>
                <w:color w:val="1C3A36"/>
                <w:sz w:val="15"/>
              </w:rPr>
              <w:t>8,489.8</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cash flow statement: 'paid for acquisition of property, plant and equipment and projects under construction'</w:t>
            </w:r>
          </w:p>
        </w:tc>
      </w:tr>
      <w:tr>
        <w:tc>
          <w:tcPr>
            <w:tcW w:type="dxa" w:w="1656"/>
          </w:tcPr>
          <w:p>
            <w:pPr>
              <w:spacing w:after="20"/>
            </w:pPr>
            <w:r>
              <w:rPr>
                <w:color w:val="1C3A36"/>
                <w:sz w:val="15"/>
              </w:rPr>
              <w:t>capex fy25</w:t>
            </w:r>
          </w:p>
        </w:tc>
        <w:tc>
          <w:tcPr>
            <w:tcW w:type="dxa" w:w="1368"/>
          </w:tcPr>
          <w:p>
            <w:pPr>
              <w:spacing w:after="20"/>
            </w:pPr>
            <w:r>
              <w:rPr>
                <w:color w:val="1C3A36"/>
                <w:sz w:val="15"/>
              </w:rPr>
              <w:t>13,112.0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cash flow statement: 'paid for acquisition of property, plant and equipment and projects under construction' — a 55% step-up on FY2024, the capacity-expansion cycle referenced throughout this study</w:t>
            </w:r>
          </w:p>
        </w:tc>
      </w:tr>
      <w:tr>
        <w:tc>
          <w:tcPr>
            <w:tcW w:type="dxa" w:w="1656"/>
          </w:tcPr>
          <w:p>
            <w:pPr>
              <w:spacing w:after="20"/>
            </w:pPr>
            <w:r>
              <w:rPr>
                <w:color w:val="1C3A36"/>
                <w:sz w:val="15"/>
              </w:rPr>
              <w:t>int paid fy25</w:t>
            </w:r>
          </w:p>
        </w:tc>
        <w:tc>
          <w:tcPr>
            <w:tcW w:type="dxa" w:w="1368"/>
          </w:tcPr>
          <w:p>
            <w:pPr>
              <w:spacing w:after="20"/>
            </w:pPr>
            <w:r>
              <w:rPr>
                <w:color w:val="1C3A36"/>
                <w:sz w:val="15"/>
              </w:rPr>
              <w:t>5,740.3</w:t>
            </w:r>
          </w:p>
        </w:tc>
        <w:tc>
          <w:tcPr>
            <w:tcW w:type="dxa" w:w="1123"/>
          </w:tcPr>
          <w:p>
            <w:pPr>
              <w:spacing w:after="20"/>
            </w:pPr>
            <w:r>
              <w:rPr>
                <w:color w:val="1C3A36"/>
                <w:sz w:val="15"/>
              </w:rPr>
              <w:t>2026-03-15</w:t>
            </w:r>
          </w:p>
        </w:tc>
        <w:tc>
          <w:tcPr>
            <w:tcW w:type="dxa" w:w="5933"/>
          </w:tcPr>
          <w:p>
            <w:pPr>
              <w:spacing w:after="20"/>
            </w:pPr>
            <w:r>
              <w:rPr>
                <w:color w:val="1C3A36"/>
                <w:sz w:val="15"/>
              </w:rPr>
              <w:t>Interest paid, audited FY2025 consolidated statement of cash flows</w:t>
            </w:r>
          </w:p>
        </w:tc>
      </w:tr>
      <w:tr>
        <w:tc>
          <w:tcPr>
            <w:tcW w:type="dxa" w:w="1656"/>
          </w:tcPr>
          <w:p>
            <w:pPr>
              <w:spacing w:after="20"/>
            </w:pPr>
            <w:r>
              <w:rPr>
                <w:color w:val="1C3A36"/>
                <w:sz w:val="15"/>
              </w:rPr>
              <w:t>tax paid fy25</w:t>
            </w:r>
          </w:p>
        </w:tc>
        <w:tc>
          <w:tcPr>
            <w:tcW w:type="dxa" w:w="1368"/>
          </w:tcPr>
          <w:p>
            <w:pPr>
              <w:spacing w:after="20"/>
            </w:pPr>
            <w:r>
              <w:rPr>
                <w:color w:val="1C3A36"/>
                <w:sz w:val="15"/>
              </w:rPr>
              <w:t>8,298.8</w:t>
            </w:r>
          </w:p>
        </w:tc>
        <w:tc>
          <w:tcPr>
            <w:tcW w:type="dxa" w:w="1123"/>
          </w:tcPr>
          <w:p>
            <w:pPr>
              <w:spacing w:after="20"/>
            </w:pPr>
            <w:r>
              <w:rPr>
                <w:color w:val="1C3A36"/>
                <w:sz w:val="15"/>
              </w:rPr>
              <w:t>2026-03-15</w:t>
            </w:r>
          </w:p>
        </w:tc>
        <w:tc>
          <w:tcPr>
            <w:tcW w:type="dxa" w:w="5933"/>
          </w:tcPr>
          <w:p>
            <w:pPr>
              <w:spacing w:after="20"/>
            </w:pPr>
            <w:r>
              <w:rPr>
                <w:color w:val="1C3A36"/>
                <w:sz w:val="15"/>
              </w:rPr>
              <w:t>Income tax paid, audited FY2025 consolidated statement of cash flows</w:t>
            </w:r>
          </w:p>
        </w:tc>
      </w:tr>
      <w:tr>
        <w:tc>
          <w:tcPr>
            <w:tcW w:type="dxa" w:w="1656"/>
          </w:tcPr>
          <w:p>
            <w:pPr>
              <w:spacing w:after="20"/>
            </w:pPr>
            <w:r>
              <w:rPr>
                <w:color w:val="1C3A36"/>
                <w:sz w:val="15"/>
              </w:rPr>
              <w:t>ocf fy25</w:t>
            </w:r>
          </w:p>
        </w:tc>
        <w:tc>
          <w:tcPr>
            <w:tcW w:type="dxa" w:w="1368"/>
          </w:tcPr>
          <w:p>
            <w:pPr>
              <w:spacing w:after="20"/>
            </w:pPr>
            <w:r>
              <w:rPr>
                <w:color w:val="1C3A36"/>
                <w:sz w:val="15"/>
              </w:rPr>
              <w:t>12,765.9</w:t>
            </w:r>
          </w:p>
        </w:tc>
        <w:tc>
          <w:tcPr>
            <w:tcW w:type="dxa" w:w="1123"/>
          </w:tcPr>
          <w:p>
            <w:pPr>
              <w:spacing w:after="20"/>
            </w:pPr>
            <w:r>
              <w:rPr>
                <w:color w:val="1C3A36"/>
                <w:sz w:val="15"/>
              </w:rPr>
              <w:t>2026-03-15</w:t>
            </w:r>
          </w:p>
        </w:tc>
        <w:tc>
          <w:tcPr>
            <w:tcW w:type="dxa" w:w="5933"/>
          </w:tcPr>
          <w:p>
            <w:pPr>
              <w:spacing w:after="20"/>
            </w:pPr>
            <w:r>
              <w:rPr>
                <w:color w:val="1C3A36"/>
                <w:sz w:val="15"/>
              </w:rPr>
              <w:t>Net cash flows from operating activities, FY2025 (after interest and tax) — 12,765.9 against house EBITDA of 28,363.2, still well below full conversion but a sharp recovery from FY2024's 3,979.4, as the pace of working-capital absorption slowed</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31-Mar-2025 (comparative column of the Q1-2026 filing)</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Q1-2025</w:t>
            </w:r>
          </w:p>
        </w:tc>
      </w:tr>
      <w:tr>
        <w:tc>
          <w:tcPr>
            <w:tcW w:type="dxa" w:w="1656"/>
          </w:tcPr>
          <w:p>
            <w:pPr>
              <w:spacing w:after="20"/>
            </w:pPr>
            <w:r>
              <w:rPr>
                <w:color w:val="1C3A36"/>
                <w:sz w:val="15"/>
              </w:rPr>
              <w:t>q1 26 rev</w:t>
            </w:r>
          </w:p>
        </w:tc>
        <w:tc>
          <w:tcPr>
            <w:tcW w:type="dxa" w:w="1368"/>
          </w:tcPr>
          <w:p>
            <w:pPr>
              <w:spacing w:after="20"/>
            </w:pPr>
            <w:r>
              <w:rPr>
                <w:color w:val="1C3A36"/>
                <w:sz w:val="15"/>
              </w:rPr>
              <w:t>75,298.4</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31-Mar-2026</w:t>
            </w:r>
          </w:p>
        </w:tc>
      </w:tr>
      <w:tr>
        <w:tc>
          <w:tcPr>
            <w:tcW w:type="dxa" w:w="1656"/>
          </w:tcPr>
          <w:p>
            <w:pPr>
              <w:spacing w:after="20"/>
            </w:pPr>
            <w:r>
              <w:rPr>
                <w:color w:val="1C3A36"/>
                <w:sz w:val="15"/>
              </w:rPr>
              <w:t>q1 26 gp</w:t>
            </w:r>
          </w:p>
        </w:tc>
        <w:tc>
          <w:tcPr>
            <w:tcW w:type="dxa" w:w="1368"/>
          </w:tcPr>
          <w:p>
            <w:pPr>
              <w:spacing w:after="20"/>
            </w:pPr>
            <w:r>
              <w:rPr>
                <w:color w:val="1C3A36"/>
                <w:sz w:val="15"/>
              </w:rPr>
              <w:t>13,128.2</w:t>
            </w:r>
          </w:p>
        </w:tc>
        <w:tc>
          <w:tcPr>
            <w:tcW w:type="dxa" w:w="1123"/>
          </w:tcPr>
          <w:p>
            <w:pPr>
              <w:spacing w:after="20"/>
            </w:pPr>
            <w:r>
              <w:rPr>
                <w:color w:val="1C3A36"/>
                <w:sz w:val="15"/>
              </w:rPr>
              <w:t>2026-05-13</w:t>
            </w:r>
          </w:p>
        </w:tc>
        <w:tc>
          <w:tcPr>
            <w:tcW w:type="dxa" w:w="5933"/>
          </w:tcPr>
          <w:p>
            <w:pPr>
              <w:spacing w:after="20"/>
            </w:pPr>
            <w:r>
              <w:rPr>
                <w:color w:val="1C3A36"/>
                <w:sz w:val="15"/>
              </w:rPr>
              <w:t>Gross profit, Q1-2026 interim statements</w:t>
            </w:r>
          </w:p>
        </w:tc>
      </w:tr>
      <w:tr>
        <w:tc>
          <w:tcPr>
            <w:tcW w:type="dxa" w:w="1656"/>
          </w:tcPr>
          <w:p>
            <w:pPr>
              <w:spacing w:after="20"/>
            </w:pPr>
            <w:r>
              <w:rPr>
                <w:color w:val="1C3A36"/>
                <w:sz w:val="15"/>
              </w:rPr>
              <w:t>q1 26 op</w:t>
            </w:r>
          </w:p>
        </w:tc>
        <w:tc>
          <w:tcPr>
            <w:tcW w:type="dxa" w:w="1368"/>
          </w:tcPr>
          <w:p>
            <w:pPr>
              <w:spacing w:after="20"/>
            </w:pPr>
            <w:r>
              <w:rPr>
                <w:color w:val="1C3A36"/>
                <w:sz w:val="15"/>
              </w:rPr>
              <w:t>8,247.2</w:t>
            </w:r>
          </w:p>
        </w:tc>
        <w:tc>
          <w:tcPr>
            <w:tcW w:type="dxa" w:w="1123"/>
          </w:tcPr>
          <w:p>
            <w:pPr>
              <w:spacing w:after="20"/>
            </w:pPr>
            <w:r>
              <w:rPr>
                <w:color w:val="1C3A36"/>
                <w:sz w:val="15"/>
              </w:rPr>
              <w:t>2026-05-13</w:t>
            </w:r>
          </w:p>
        </w:tc>
        <w:tc>
          <w:tcPr>
            <w:tcW w:type="dxa" w:w="5933"/>
          </w:tcPr>
          <w:p>
            <w:pPr>
              <w:spacing w:after="20"/>
            </w:pPr>
            <w:r>
              <w:rPr>
                <w:color w:val="1C3A36"/>
                <w:sz w:val="15"/>
              </w:rPr>
              <w:t>Operating profit, Q1-2026 interim statements</w:t>
            </w:r>
          </w:p>
        </w:tc>
      </w:tr>
      <w:tr>
        <w:tc>
          <w:tcPr>
            <w:tcW w:type="dxa" w:w="1656"/>
          </w:tcPr>
          <w:p>
            <w:pPr>
              <w:spacing w:after="20"/>
            </w:pPr>
            <w:r>
              <w:rPr>
                <w:color w:val="1C3A36"/>
                <w:sz w:val="15"/>
              </w:rPr>
              <w:t>q1 26 netfin</w:t>
            </w:r>
          </w:p>
        </w:tc>
        <w:tc>
          <w:tcPr>
            <w:tcW w:type="dxa" w:w="1368"/>
          </w:tcPr>
          <w:p>
            <w:pPr>
              <w:spacing w:after="20"/>
            </w:pPr>
            <w:r>
              <w:rPr>
                <w:color w:val="1C3A36"/>
                <w:sz w:val="15"/>
              </w:rPr>
              <w:t>-1,458.5</w:t>
            </w:r>
          </w:p>
        </w:tc>
        <w:tc>
          <w:tcPr>
            <w:tcW w:type="dxa" w:w="1123"/>
          </w:tcPr>
          <w:p>
            <w:pPr>
              <w:spacing w:after="20"/>
            </w:pPr>
            <w:r>
              <w:rPr>
                <w:color w:val="1C3A36"/>
                <w:sz w:val="15"/>
              </w:rPr>
              <w:t>2026-05-13</w:t>
            </w:r>
          </w:p>
        </w:tc>
        <w:tc>
          <w:tcPr>
            <w:tcW w:type="dxa" w:w="5933"/>
          </w:tcPr>
          <w:p>
            <w:pPr>
              <w:spacing w:after="20"/>
            </w:pPr>
            <w:r>
              <w:rPr>
                <w:color w:val="1C3A36"/>
                <w:sz w:val="15"/>
              </w:rPr>
              <w:t>Net finance costs, Q1-2026 interim statements: finance income 683.569177 less finance costs 2,142.046788</w:t>
            </w:r>
          </w:p>
        </w:tc>
      </w:tr>
      <w:tr>
        <w:tc>
          <w:tcPr>
            <w:tcW w:type="dxa" w:w="1656"/>
          </w:tcPr>
          <w:p>
            <w:pPr>
              <w:spacing w:after="20"/>
            </w:pPr>
            <w:r>
              <w:rPr>
                <w:color w:val="1C3A36"/>
                <w:sz w:val="15"/>
              </w:rPr>
              <w:t>q1 26 assoc</w:t>
            </w:r>
          </w:p>
        </w:tc>
        <w:tc>
          <w:tcPr>
            <w:tcW w:type="dxa" w:w="1368"/>
          </w:tcPr>
          <w:p>
            <w:pPr>
              <w:spacing w:after="20"/>
            </w:pPr>
            <w:r>
              <w:rPr>
                <w:color w:val="1C3A36"/>
                <w:sz w:val="15"/>
              </w:rPr>
              <w:t>253.2</w:t>
            </w:r>
          </w:p>
        </w:tc>
        <w:tc>
          <w:tcPr>
            <w:tcW w:type="dxa" w:w="1123"/>
          </w:tcPr>
          <w:p>
            <w:pPr>
              <w:spacing w:after="20"/>
            </w:pPr>
            <w:r>
              <w:rPr>
                <w:color w:val="1C3A36"/>
                <w:sz w:val="15"/>
              </w:rPr>
              <w:t>2026-05-13</w:t>
            </w:r>
          </w:p>
        </w:tc>
        <w:tc>
          <w:tcPr>
            <w:tcW w:type="dxa" w:w="5933"/>
          </w:tcPr>
          <w:p>
            <w:pPr>
              <w:spacing w:after="20"/>
            </w:pPr>
            <w:r>
              <w:rPr>
                <w:color w:val="1C3A36"/>
                <w:sz w:val="15"/>
              </w:rPr>
              <w:t>Share of profit of equity-accounted investees, Q1-2026 interim statements</w:t>
            </w:r>
          </w:p>
        </w:tc>
      </w:tr>
      <w:tr>
        <w:tc>
          <w:tcPr>
            <w:tcW w:type="dxa" w:w="1656"/>
          </w:tcPr>
          <w:p>
            <w:pPr>
              <w:spacing w:after="20"/>
            </w:pPr>
            <w:r>
              <w:rPr>
                <w:color w:val="1C3A36"/>
                <w:sz w:val="15"/>
              </w:rPr>
              <w:t>q1 26 tax</w:t>
            </w:r>
          </w:p>
        </w:tc>
        <w:tc>
          <w:tcPr>
            <w:tcW w:type="dxa" w:w="1368"/>
          </w:tcPr>
          <w:p>
            <w:pPr>
              <w:spacing w:after="20"/>
            </w:pPr>
            <w:r>
              <w:rPr>
                <w:color w:val="1C3A36"/>
                <w:sz w:val="15"/>
              </w:rPr>
              <w:t>-1,813.2</w:t>
            </w:r>
          </w:p>
        </w:tc>
        <w:tc>
          <w:tcPr>
            <w:tcW w:type="dxa" w:w="1123"/>
          </w:tcPr>
          <w:p>
            <w:pPr>
              <w:spacing w:after="20"/>
            </w:pPr>
            <w:r>
              <w:rPr>
                <w:color w:val="1C3A36"/>
                <w:sz w:val="15"/>
              </w:rPr>
              <w:t>2026-05-13</w:t>
            </w:r>
          </w:p>
        </w:tc>
        <w:tc>
          <w:tcPr>
            <w:tcW w:type="dxa" w:w="5933"/>
          </w:tcPr>
          <w:p>
            <w:pPr>
              <w:spacing w:after="20"/>
            </w:pPr>
            <w:r>
              <w:rPr>
                <w:color w:val="1C3A36"/>
                <w:sz w:val="15"/>
              </w:rPr>
              <w:t>Income tax expense, Q1-2026 interim statements (effective rate 25.75% on pre-tax profit of 7,041.966803, up from 21.96% in Q1-2025)</w:t>
            </w:r>
          </w:p>
        </w:tc>
      </w:tr>
      <w:tr>
        <w:tc>
          <w:tcPr>
            <w:tcW w:type="dxa" w:w="1656"/>
          </w:tcPr>
          <w:p>
            <w:pPr>
              <w:spacing w:after="20"/>
            </w:pPr>
            <w:r>
              <w:rPr>
                <w:color w:val="1C3A36"/>
                <w:sz w:val="15"/>
              </w:rPr>
              <w:t>q1 26 npa</w:t>
            </w:r>
          </w:p>
        </w:tc>
        <w:tc>
          <w:tcPr>
            <w:tcW w:type="dxa" w:w="1368"/>
          </w:tcPr>
          <w:p>
            <w:pPr>
              <w:spacing w:after="20"/>
            </w:pPr>
            <w:r>
              <w:rPr>
                <w:color w:val="1C3A36"/>
                <w:sz w:val="15"/>
              </w:rPr>
              <w:t>4,845.3</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Q1-2026, +16.9% y/y</w:t>
            </w:r>
          </w:p>
        </w:tc>
      </w:tr>
      <w:tr>
        <w:tc>
          <w:tcPr>
            <w:tcW w:type="dxa" w:w="1656"/>
          </w:tcPr>
          <w:p>
            <w:pPr>
              <w:spacing w:after="20"/>
            </w:pPr>
            <w:r>
              <w:rPr>
                <w:color w:val="1C3A36"/>
                <w:sz w:val="15"/>
              </w:rPr>
              <w:t>q1 26 nd</w:t>
            </w:r>
          </w:p>
        </w:tc>
        <w:tc>
          <w:tcPr>
            <w:tcW w:type="dxa" w:w="1368"/>
          </w:tcPr>
          <w:p>
            <w:pPr>
              <w:spacing w:after="20"/>
            </w:pPr>
            <w:r>
              <w:rPr>
                <w:color w:val="1C3A36"/>
                <w:sz w:val="15"/>
              </w:rPr>
              <w:t>28,768.8</w:t>
            </w:r>
          </w:p>
        </w:tc>
        <w:tc>
          <w:tcPr>
            <w:tcW w:type="dxa" w:w="1123"/>
          </w:tcPr>
          <w:p>
            <w:pPr>
              <w:spacing w:after="20"/>
            </w:pPr>
            <w:r>
              <w:rPr>
                <w:color w:val="1C3A36"/>
                <w:sz w:val="15"/>
              </w:rPr>
              <w:t>2026-05-13</w:t>
            </w:r>
          </w:p>
        </w:tc>
        <w:tc>
          <w:tcPr>
            <w:tcW w:type="dxa" w:w="5933"/>
          </w:tcPr>
          <w:p>
            <w:pPr>
              <w:spacing w:after="20"/>
            </w:pPr>
            <w:r>
              <w:rPr>
                <w:color w:val="1C3A36"/>
                <w:sz w:val="15"/>
              </w:rPr>
              <w:t>Net financial debt, 31 Mar 2026: total loans and borrowings including leases 89,533.539777 less cash 60,764.752555 — up sharply from FY2025-close as working capital absorbed cash (net operating cash flow was NEGATIVE 1,665.1 in the quarter) funded by 30,364.3 of new loan drawdowns</w:t>
            </w:r>
          </w:p>
        </w:tc>
      </w:tr>
      <w:tr>
        <w:tc>
          <w:tcPr>
            <w:tcW w:type="dxa" w:w="1656"/>
          </w:tcPr>
          <w:p>
            <w:pPr>
              <w:spacing w:after="20"/>
            </w:pPr>
            <w:r>
              <w:rPr>
                <w:color w:val="1C3A36"/>
                <w:sz w:val="15"/>
              </w:rPr>
              <w:t>h1 26 rev</w:t>
            </w:r>
          </w:p>
        </w:tc>
        <w:tc>
          <w:tcPr>
            <w:tcW w:type="dxa" w:w="1368"/>
          </w:tcPr>
          <w:p>
            <w:pPr>
              <w:spacing w:after="20"/>
            </w:pPr>
            <w:r>
              <w:rPr>
                <w:color w:val="1C3A36"/>
                <w:sz w:val="15"/>
              </w:rPr>
              <w:t>163,315.7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profit or loss, six months to 30-Jun-2026 (H1-2025 comparative 123,800.551073, +31.9%)</w:t>
            </w:r>
          </w:p>
        </w:tc>
      </w:tr>
      <w:tr>
        <w:tc>
          <w:tcPr>
            <w:tcW w:type="dxa" w:w="1656"/>
          </w:tcPr>
          <w:p>
            <w:pPr>
              <w:spacing w:after="20"/>
            </w:pPr>
            <w:r>
              <w:rPr>
                <w:color w:val="1C3A36"/>
                <w:sz w:val="15"/>
              </w:rPr>
              <w:t>h1 26 gp</w:t>
            </w:r>
          </w:p>
        </w:tc>
        <w:tc>
          <w:tcPr>
            <w:tcW w:type="dxa" w:w="1368"/>
          </w:tcPr>
          <w:p>
            <w:pPr>
              <w:spacing w:after="20"/>
            </w:pPr>
            <w:r>
              <w:rPr>
                <w:color w:val="1C3A36"/>
                <w:sz w:val="15"/>
              </w:rPr>
              <w:t>26,333.3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gross profit on the face (H1-2025 20,245.400138)</w:t>
            </w:r>
          </w:p>
        </w:tc>
      </w:tr>
      <w:tr>
        <w:tc>
          <w:tcPr>
            <w:tcW w:type="dxa" w:w="1656"/>
          </w:tcPr>
          <w:p>
            <w:pPr>
              <w:spacing w:after="20"/>
            </w:pPr>
            <w:r>
              <w:rPr>
                <w:color w:val="1C3A36"/>
                <w:sz w:val="15"/>
              </w:rPr>
              <w:t>h1 26 op</w:t>
            </w:r>
          </w:p>
        </w:tc>
        <w:tc>
          <w:tcPr>
            <w:tcW w:type="dxa" w:w="1368"/>
          </w:tcPr>
          <w:p>
            <w:pPr>
              <w:spacing w:after="20"/>
            </w:pPr>
            <w:r>
              <w:rPr>
                <w:color w:val="1C3A36"/>
                <w:sz w:val="15"/>
              </w:rPr>
              <w:t>16,421.2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operating profit on the face (H1-2025 12,605.157783)</w:t>
            </w:r>
          </w:p>
        </w:tc>
      </w:tr>
      <w:tr>
        <w:tc>
          <w:tcPr>
            <w:tcW w:type="dxa" w:w="1656"/>
          </w:tcPr>
          <w:p>
            <w:pPr>
              <w:spacing w:after="20"/>
            </w:pPr>
            <w:r>
              <w:rPr>
                <w:color w:val="1C3A36"/>
                <w:sz w:val="15"/>
              </w:rPr>
              <w:t>h1 26 netfin</w:t>
            </w:r>
          </w:p>
        </w:tc>
        <w:tc>
          <w:tcPr>
            <w:tcW w:type="dxa" w:w="1368"/>
          </w:tcPr>
          <w:p>
            <w:pPr>
              <w:spacing w:after="20"/>
            </w:pPr>
            <w:r>
              <w:rPr>
                <w:color w:val="1C3A36"/>
                <w:sz w:val="15"/>
              </w:rPr>
              <w:t>-2,141.5</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net finance costs: finance income 1,579.219385 less finance costs 3,720.742200</w:t>
            </w:r>
          </w:p>
        </w:tc>
      </w:tr>
      <w:tr>
        <w:tc>
          <w:tcPr>
            <w:tcW w:type="dxa" w:w="1656"/>
          </w:tcPr>
          <w:p>
            <w:pPr>
              <w:spacing w:after="20"/>
            </w:pPr>
            <w:r>
              <w:rPr>
                <w:color w:val="1C3A36"/>
                <w:sz w:val="15"/>
              </w:rPr>
              <w:t>h1 26 assoc</w:t>
            </w:r>
          </w:p>
        </w:tc>
        <w:tc>
          <w:tcPr>
            <w:tcW w:type="dxa" w:w="1368"/>
          </w:tcPr>
          <w:p>
            <w:pPr>
              <w:spacing w:after="20"/>
            </w:pPr>
            <w:r>
              <w:rPr>
                <w:color w:val="1C3A36"/>
                <w:sz w:val="15"/>
              </w:rPr>
              <w:t>572.6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group share of profit of equity-accounted investees net of tax. A further 542.976117 of gains on sale and revaluation of investments in equity-accounted investees is disclosed SEPARATELY (note 20-3) and is treated as a one-off, not as recurring associate income</w:t>
            </w:r>
          </w:p>
        </w:tc>
      </w:tr>
      <w:tr>
        <w:tc>
          <w:tcPr>
            <w:tcW w:type="dxa" w:w="1656"/>
          </w:tcPr>
          <w:p>
            <w:pPr>
              <w:spacing w:after="20"/>
            </w:pPr>
            <w:r>
              <w:rPr>
                <w:color w:val="1C3A36"/>
                <w:sz w:val="15"/>
              </w:rPr>
              <w:t>h1 26 assoc oneoff</w:t>
            </w:r>
          </w:p>
        </w:tc>
        <w:tc>
          <w:tcPr>
            <w:tcW w:type="dxa" w:w="1368"/>
          </w:tcPr>
          <w:p>
            <w:pPr>
              <w:spacing w:after="20"/>
            </w:pPr>
            <w:r>
              <w:rPr>
                <w:color w:val="1C3A36"/>
                <w:sz w:val="15"/>
              </w:rPr>
              <w:t>543.0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20-3: gains on sale and revaluation of investments in equity-accounted investees. Disclosed on its own line with no comparative, i.e. nothing in H1-2025 — a one-off</w:t>
            </w:r>
          </w:p>
        </w:tc>
      </w:tr>
      <w:tr>
        <w:tc>
          <w:tcPr>
            <w:tcW w:type="dxa" w:w="1656"/>
          </w:tcPr>
          <w:p>
            <w:pPr>
              <w:spacing w:after="20"/>
            </w:pPr>
            <w:r>
              <w:rPr>
                <w:color w:val="1C3A36"/>
                <w:sz w:val="15"/>
              </w:rPr>
              <w:t>h1 26 tax</w:t>
            </w:r>
          </w:p>
        </w:tc>
        <w:tc>
          <w:tcPr>
            <w:tcW w:type="dxa" w:w="1368"/>
          </w:tcPr>
          <w:p>
            <w:pPr>
              <w:spacing w:after="20"/>
            </w:pPr>
            <w:r>
              <w:rPr>
                <w:color w:val="1C3A36"/>
                <w:sz w:val="15"/>
              </w:rPr>
              <w:t>-4,748.6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income tax expense. Effective rate 30.85% on pre-tax profit of 15,395.270255, against 19.39% in H1-2025 and the 24.5% the forecast carries — a material step this re-issue must price rather than average away</w:t>
            </w:r>
          </w:p>
        </w:tc>
      </w:tr>
      <w:tr>
        <w:tc>
          <w:tcPr>
            <w:tcW w:type="dxa" w:w="1656"/>
          </w:tcPr>
          <w:p>
            <w:pPr>
              <w:spacing w:after="20"/>
            </w:pPr>
            <w:r>
              <w:rPr>
                <w:color w:val="1C3A36"/>
                <w:sz w:val="15"/>
              </w:rPr>
              <w:t>h1 26 npa</w:t>
            </w:r>
          </w:p>
        </w:tc>
        <w:tc>
          <w:tcPr>
            <w:tcW w:type="dxa" w:w="1368"/>
          </w:tcPr>
          <w:p>
            <w:pPr>
              <w:spacing w:after="20"/>
            </w:pPr>
            <w:r>
              <w:rPr>
                <w:color w:val="1C3A36"/>
                <w:sz w:val="15"/>
              </w:rPr>
              <w:t>9,921.7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owners of the parent company (H1-2025 8,694.611825, +14.1%)</w:t>
            </w:r>
          </w:p>
        </w:tc>
      </w:tr>
      <w:tr>
        <w:tc>
          <w:tcPr>
            <w:tcW w:type="dxa" w:w="1656"/>
          </w:tcPr>
          <w:p>
            <w:pPr>
              <w:spacing w:after="20"/>
            </w:pPr>
            <w:r>
              <w:rPr>
                <w:color w:val="1C3A36"/>
                <w:sz w:val="15"/>
              </w:rPr>
              <w:t>h1 26 nci</w:t>
            </w:r>
          </w:p>
        </w:tc>
        <w:tc>
          <w:tcPr>
            <w:tcW w:type="dxa" w:w="1368"/>
          </w:tcPr>
          <w:p>
            <w:pPr>
              <w:spacing w:after="20"/>
            </w:pPr>
            <w:r>
              <w:rPr>
                <w:color w:val="1C3A36"/>
                <w:sz w:val="15"/>
              </w:rPr>
              <w:t>725.0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 6.81% of the period's total profit after tax of 10,646.715151</w:t>
            </w:r>
          </w:p>
        </w:tc>
      </w:tr>
      <w:tr>
        <w:tc>
          <w:tcPr>
            <w:tcW w:type="dxa" w:w="1656"/>
          </w:tcPr>
          <w:p>
            <w:pPr>
              <w:spacing w:after="20"/>
            </w:pPr>
            <w:r>
              <w:rPr>
                <w:color w:val="1C3A36"/>
                <w:sz w:val="15"/>
              </w:rPr>
              <w:t>h1 26 eps</w:t>
            </w:r>
          </w:p>
        </w:tc>
        <w:tc>
          <w:tcPr>
            <w:tcW w:type="dxa" w:w="1368"/>
          </w:tcPr>
          <w:p>
            <w:pPr>
              <w:spacing w:after="20"/>
            </w:pPr>
            <w:r>
              <w:rPr>
                <w:color w:val="1C3A36"/>
                <w:sz w:val="15"/>
              </w:rPr>
              <w:t>4.03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basic and diluted earnings per share (H1-2025 3.55)</w:t>
            </w:r>
          </w:p>
        </w:tc>
      </w:tr>
      <w:tr>
        <w:tc>
          <w:tcPr>
            <w:tcW w:type="dxa" w:w="1656"/>
          </w:tcPr>
          <w:p>
            <w:pPr>
              <w:spacing w:after="20"/>
            </w:pPr>
            <w:r>
              <w:rPr>
                <w:color w:val="1C3A36"/>
                <w:sz w:val="15"/>
              </w:rPr>
              <w:t>emp share fy24</w:t>
            </w:r>
          </w:p>
        </w:tc>
        <w:tc>
          <w:tcPr>
            <w:tcW w:type="dxa" w:w="1368"/>
          </w:tcPr>
          <w:p>
            <w:pPr>
              <w:spacing w:after="20"/>
            </w:pPr>
            <w:r>
              <w:rPr>
                <w:color w:val="1C3A36"/>
                <w:sz w:val="15"/>
              </w:rPr>
              <w:t>2,025.8</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(FY2024 comparative): employees' share in profit (estimated), deducted from profit attributable to owners to reach profit attributable to ordinary shareholders — 11.60% of the 17,461.358714 attributable</w:t>
            </w:r>
          </w:p>
        </w:tc>
      </w:tr>
      <w:tr>
        <w:tc>
          <w:tcPr>
            <w:tcW w:type="dxa" w:w="1656"/>
          </w:tcPr>
          <w:p>
            <w:pPr>
              <w:spacing w:after="20"/>
            </w:pPr>
            <w:r>
              <w:rPr>
                <w:color w:val="1C3A36"/>
                <w:sz w:val="15"/>
              </w:rPr>
              <w:t>emp share fy25</w:t>
            </w:r>
          </w:p>
        </w:tc>
        <w:tc>
          <w:tcPr>
            <w:tcW w:type="dxa" w:w="1368"/>
          </w:tcPr>
          <w:p>
            <w:pPr>
              <w:spacing w:after="20"/>
            </w:pPr>
            <w:r>
              <w:rPr>
                <w:color w:val="1C3A36"/>
                <w:sz w:val="15"/>
              </w:rPr>
              <w:t>2,073.1</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employees' share in profit (estimated) — 11.96% of the 17,330.244990 attributable to owners. The reported EPS of 7.13 is struck on the 15,257.140146 that remains, over a weighted-average 2,139,355,716 shares (issued 2,140,777,876 less 1,422,160 ESOP shares issued not granted)</w:t>
            </w:r>
          </w:p>
        </w:tc>
      </w:tr>
      <w:tr>
        <w:tc>
          <w:tcPr>
            <w:tcW w:type="dxa" w:w="1656"/>
          </w:tcPr>
          <w:p>
            <w:pPr>
              <w:spacing w:after="20"/>
            </w:pPr>
            <w:r>
              <w:rPr>
                <w:color w:val="1C3A36"/>
                <w:sz w:val="15"/>
              </w:rPr>
              <w:t>salaries cogs fy25</w:t>
            </w:r>
          </w:p>
        </w:tc>
        <w:tc>
          <w:tcPr>
            <w:tcW w:type="dxa" w:w="1368"/>
          </w:tcPr>
          <w:p>
            <w:pPr>
              <w:spacing w:after="20"/>
            </w:pPr>
            <w:r>
              <w:rPr>
                <w:color w:val="1C3A36"/>
                <w:sz w:val="15"/>
              </w:rPr>
              <w:t>12,646.9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'Salaries and its equivalents'</w:t>
            </w:r>
          </w:p>
        </w:tc>
      </w:tr>
      <w:tr>
        <w:tc>
          <w:tcPr>
            <w:tcW w:type="dxa" w:w="1656"/>
          </w:tcPr>
          <w:p>
            <w:pPr>
              <w:spacing w:after="20"/>
            </w:pPr>
            <w:r>
              <w:rPr>
                <w:color w:val="1C3A36"/>
                <w:sz w:val="15"/>
              </w:rPr>
              <w:t>salaries selling fy25</w:t>
            </w:r>
          </w:p>
        </w:tc>
        <w:tc>
          <w:tcPr>
            <w:tcW w:type="dxa" w:w="1368"/>
          </w:tcPr>
          <w:p>
            <w:pPr>
              <w:spacing w:after="20"/>
            </w:pPr>
            <w:r>
              <w:rPr>
                <w:color w:val="1C3A36"/>
                <w:sz w:val="15"/>
              </w:rPr>
              <w:t>1,588.1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'Salaries and its equivalents'</w:t>
            </w:r>
          </w:p>
        </w:tc>
      </w:tr>
      <w:tr>
        <w:tc>
          <w:tcPr>
            <w:tcW w:type="dxa" w:w="1656"/>
          </w:tcPr>
          <w:p>
            <w:pPr>
              <w:spacing w:after="20"/>
            </w:pPr>
            <w:r>
              <w:rPr>
                <w:color w:val="1C3A36"/>
                <w:sz w:val="15"/>
              </w:rPr>
              <w:t>salaries admin fy25</w:t>
            </w:r>
          </w:p>
        </w:tc>
        <w:tc>
          <w:tcPr>
            <w:tcW w:type="dxa" w:w="1368"/>
          </w:tcPr>
          <w:p>
            <w:pPr>
              <w:spacing w:after="20"/>
            </w:pPr>
            <w:r>
              <w:rPr>
                <w:color w:val="1C3A36"/>
                <w:sz w:val="15"/>
              </w:rPr>
              <w:t>4,670.8</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'Salaries and its equivalents'</w:t>
            </w:r>
          </w:p>
        </w:tc>
      </w:tr>
      <w:tr>
        <w:tc>
          <w:tcPr>
            <w:tcW w:type="dxa" w:w="1656"/>
          </w:tcPr>
          <w:p>
            <w:pPr>
              <w:spacing w:after="20"/>
            </w:pPr>
            <w:r>
              <w:rPr>
                <w:color w:val="1C3A36"/>
                <w:sz w:val="15"/>
              </w:rPr>
              <w:t>salaries cogs fy24</w:t>
            </w:r>
          </w:p>
        </w:tc>
        <w:tc>
          <w:tcPr>
            <w:tcW w:type="dxa" w:w="1368"/>
          </w:tcPr>
          <w:p>
            <w:pPr>
              <w:spacing w:after="20"/>
            </w:pPr>
            <w:r>
              <w:rPr>
                <w:color w:val="1C3A36"/>
                <w:sz w:val="15"/>
              </w:rPr>
              <w:t>7,898.9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FY2024 comparative</w:t>
            </w:r>
          </w:p>
        </w:tc>
      </w:tr>
      <w:tr>
        <w:tc>
          <w:tcPr>
            <w:tcW w:type="dxa" w:w="1656"/>
          </w:tcPr>
          <w:p>
            <w:pPr>
              <w:spacing w:after="20"/>
            </w:pPr>
            <w:r>
              <w:rPr>
                <w:color w:val="1C3A36"/>
                <w:sz w:val="15"/>
              </w:rPr>
              <w:t>salaries selling fy24</w:t>
            </w:r>
          </w:p>
        </w:tc>
        <w:tc>
          <w:tcPr>
            <w:tcW w:type="dxa" w:w="1368"/>
          </w:tcPr>
          <w:p>
            <w:pPr>
              <w:spacing w:after="20"/>
            </w:pPr>
            <w:r>
              <w:rPr>
                <w:color w:val="1C3A36"/>
                <w:sz w:val="15"/>
              </w:rPr>
              <w:t>1,216.0</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FY2024 comparative</w:t>
            </w:r>
          </w:p>
        </w:tc>
      </w:tr>
      <w:tr>
        <w:tc>
          <w:tcPr>
            <w:tcW w:type="dxa" w:w="1656"/>
          </w:tcPr>
          <w:p>
            <w:pPr>
              <w:spacing w:after="20"/>
            </w:pPr>
            <w:r>
              <w:rPr>
                <w:color w:val="1C3A36"/>
                <w:sz w:val="15"/>
              </w:rPr>
              <w:t>salaries admin fy24</w:t>
            </w:r>
          </w:p>
        </w:tc>
        <w:tc>
          <w:tcPr>
            <w:tcW w:type="dxa" w:w="1368"/>
          </w:tcPr>
          <w:p>
            <w:pPr>
              <w:spacing w:after="20"/>
            </w:pPr>
            <w:r>
              <w:rPr>
                <w:color w:val="1C3A36"/>
                <w:sz w:val="15"/>
              </w:rPr>
              <w:t>3,639.1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FY2024 comparative</w:t>
            </w:r>
          </w:p>
        </w:tc>
      </w:tr>
      <w:tr>
        <w:tc>
          <w:tcPr>
            <w:tcW w:type="dxa" w:w="1656"/>
          </w:tcPr>
          <w:p>
            <w:pPr>
              <w:spacing w:after="20"/>
            </w:pPr>
            <w:r>
              <w:rPr>
                <w:color w:val="1C3A36"/>
                <w:sz w:val="15"/>
              </w:rPr>
              <w:t>emp share h1 26</w:t>
            </w:r>
          </w:p>
        </w:tc>
        <w:tc>
          <w:tcPr>
            <w:tcW w:type="dxa" w:w="1368"/>
          </w:tcPr>
          <w:p>
            <w:pPr>
              <w:spacing w:after="20"/>
            </w:pPr>
            <w:r>
              <w:rPr>
                <w:color w:val="1C3A36"/>
                <w:sz w:val="15"/>
              </w:rPr>
              <w:t>1,291.2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employees' share in profit (expected) — 13.01% of the 9,921.669274 attributable to owners (H1-2025 1,104.834367 on 8,694.611825, 12.71%)</w:t>
            </w:r>
          </w:p>
        </w:tc>
      </w:tr>
      <w:tr>
        <w:tc>
          <w:tcPr>
            <w:tcW w:type="dxa" w:w="1656"/>
          </w:tcPr>
          <w:p>
            <w:pPr>
              <w:spacing w:after="20"/>
            </w:pPr>
            <w:r>
              <w:rPr>
                <w:color w:val="1C3A36"/>
                <w:sz w:val="15"/>
              </w:rPr>
              <w:t>eps fy25</w:t>
            </w:r>
          </w:p>
        </w:tc>
        <w:tc>
          <w:tcPr>
            <w:tcW w:type="dxa" w:w="1368"/>
          </w:tcPr>
          <w:p>
            <w:pPr>
              <w:spacing w:after="20"/>
            </w:pPr>
            <w:r>
              <w:rPr>
                <w:color w:val="1C3A36"/>
                <w:sz w:val="15"/>
              </w:rPr>
              <w:t>7.13</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basic and diluted earnings per share. REGISTERED SO THAT IT CAN BE RECONCILED — 17,330.244990 attributable over 2,140.777876 shares gives 8.095, and the difference from 7.13 is the employees' share above plus the ESOP adjustment to the weighted-average count. Neither figure was wrong in the first edition; nothing compared them</w:t>
            </w:r>
          </w:p>
        </w:tc>
      </w:tr>
      <w:tr>
        <w:tc>
          <w:tcPr>
            <w:tcW w:type="dxa" w:w="1656"/>
          </w:tcPr>
          <w:p>
            <w:pPr>
              <w:spacing w:after="20"/>
            </w:pPr>
            <w:r>
              <w:rPr>
                <w:color w:val="1C3A36"/>
                <w:sz w:val="15"/>
              </w:rPr>
              <w:t>seg rev h1 26</w:t>
            </w:r>
          </w:p>
        </w:tc>
        <w:tc>
          <w:tcPr>
            <w:tcW w:type="dxa" w:w="1368"/>
          </w:tcPr>
          <w:p>
            <w:pPr>
              <w:spacing w:after="20"/>
            </w:pPr>
            <w:r>
              <w:rPr>
                <w:color w:val="1C3A36"/>
                <w:sz w:val="15"/>
              </w:rPr>
              <w:t>cables: 96,495.2; construct: 43,831.3; elecprod: 22,989.3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revenue without inter-segment sales, aggregating the inside-Egypt and outside-Egypt columns for each segment. Sums EXACTLY to the consolidated 163,315.717414</w:t>
            </w:r>
          </w:p>
        </w:tc>
      </w:tr>
      <w:tr>
        <w:tc>
          <w:tcPr>
            <w:tcW w:type="dxa" w:w="1656"/>
          </w:tcPr>
          <w:p>
            <w:pPr>
              <w:spacing w:after="20"/>
            </w:pPr>
            <w:r>
              <w:rPr>
                <w:color w:val="1C3A36"/>
                <w:sz w:val="15"/>
              </w:rPr>
              <w:t>seg profit h1 26</w:t>
            </w:r>
          </w:p>
        </w:tc>
        <w:tc>
          <w:tcPr>
            <w:tcW w:type="dxa" w:w="1368"/>
          </w:tcPr>
          <w:p>
            <w:pPr>
              <w:spacing w:after="20"/>
            </w:pPr>
            <w:r>
              <w:rPr>
                <w:color w:val="1C3A36"/>
                <w:sz w:val="15"/>
              </w:rPr>
              <w:t>cables: 12,051.3; construct: 5,081.5; elecprod: 5,725.9</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SEGMENT PROFIT (gross profit less selling and distribution expenses), aggregating both geography columns per segment</w:t>
            </w:r>
          </w:p>
        </w:tc>
      </w:tr>
      <w:tr>
        <w:tc>
          <w:tcPr>
            <w:tcW w:type="dxa" w:w="1656"/>
          </w:tcPr>
          <w:p>
            <w:pPr>
              <w:spacing w:after="20"/>
            </w:pPr>
            <w:r>
              <w:rPr>
                <w:color w:val="1C3A36"/>
                <w:sz w:val="15"/>
              </w:rPr>
              <w:t>seg unalloc h1 26</w:t>
            </w:r>
          </w:p>
        </w:tc>
        <w:tc>
          <w:tcPr>
            <w:tcW w:type="dxa" w:w="1368"/>
          </w:tcPr>
          <w:p>
            <w:pPr>
              <w:spacing w:after="20"/>
            </w:pPr>
            <w:r>
              <w:rPr>
                <w:color w:val="1C3A36"/>
                <w:sz w:val="15"/>
              </w:rPr>
              <w:t>-121.8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the unallocated segment-profit columns</w:t>
            </w:r>
          </w:p>
        </w:tc>
      </w:tr>
      <w:tr>
        <w:tc>
          <w:tcPr>
            <w:tcW w:type="dxa" w:w="1656"/>
          </w:tcPr>
          <w:p>
            <w:pPr>
              <w:spacing w:after="20"/>
            </w:pPr>
            <w:r>
              <w:rPr>
                <w:color w:val="1C3A36"/>
                <w:sz w:val="15"/>
              </w:rPr>
              <w:t>seg rev h1 25</w:t>
            </w:r>
          </w:p>
        </w:tc>
        <w:tc>
          <w:tcPr>
            <w:tcW w:type="dxa" w:w="1368"/>
          </w:tcPr>
          <w:p>
            <w:pPr>
              <w:spacing w:after="20"/>
            </w:pPr>
            <w:r>
              <w:rPr>
                <w:color w:val="1C3A36"/>
                <w:sz w:val="15"/>
              </w:rPr>
              <w:t>cables: 73,904.0; construct: 34,392.8; elecprod: 15,503.8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Sums EXACTLY to 123,800.551073</w:t>
            </w:r>
          </w:p>
        </w:tc>
      </w:tr>
      <w:tr>
        <w:tc>
          <w:tcPr>
            <w:tcW w:type="dxa" w:w="1656"/>
          </w:tcPr>
          <w:p>
            <w:pPr>
              <w:spacing w:after="20"/>
            </w:pPr>
            <w:r>
              <w:rPr>
                <w:color w:val="1C3A36"/>
                <w:sz w:val="15"/>
              </w:rPr>
              <w:t>mgn fy25</w:t>
            </w:r>
          </w:p>
        </w:tc>
        <w:tc>
          <w:tcPr>
            <w:tcW w:type="dxa" w:w="1368"/>
          </w:tcPr>
          <w:p>
            <w:pPr>
              <w:spacing w:after="20"/>
            </w:pPr>
            <w:r>
              <w:rPr>
                <w:color w:val="1C3A36"/>
                <w:sz w:val="15"/>
              </w:rPr>
              <w:t>0.1218</w:t>
            </w:r>
          </w:p>
        </w:tc>
        <w:tc>
          <w:tcPr>
            <w:tcW w:type="dxa" w:w="1123"/>
          </w:tcPr>
          <w:p>
            <w:pPr>
              <w:spacing w:after="20"/>
            </w:pPr>
            <w:r>
              <w:rPr>
                <w:color w:val="1C3A36"/>
                <w:sz w:val="15"/>
              </w:rPr>
              <w:t>2025-12-31</w:t>
            </w:r>
          </w:p>
        </w:tc>
        <w:tc>
          <w:tcPr>
            <w:tcW w:type="dxa" w:w="5933"/>
          </w:tcPr>
          <w:p>
            <w:pPr>
              <w:spacing w:after="20"/>
            </w:pPr>
            <w:r>
              <w:rPr>
                <w:color w:val="1C3A36"/>
                <w:sz w:val="15"/>
              </w:rPr>
              <w:t>FY2025 group segment-profit margin, DERIVED: the three segments' note-16 profit less the disclosed unallocated item, over audited group revenue</w:t>
            </w:r>
          </w:p>
        </w:tc>
      </w:tr>
      <w:tr>
        <w:tc>
          <w:tcPr>
            <w:tcW w:type="dxa" w:w="1656"/>
          </w:tcPr>
          <w:p>
            <w:pPr>
              <w:spacing w:after="20"/>
            </w:pPr>
            <w:r>
              <w:rPr>
                <w:color w:val="1C3A36"/>
                <w:sz w:val="15"/>
              </w:rPr>
              <w:t>mgn h1 25</w:t>
            </w:r>
          </w:p>
        </w:tc>
        <w:tc>
          <w:tcPr>
            <w:tcW w:type="dxa" w:w="1368"/>
          </w:tcPr>
          <w:p>
            <w:pPr>
              <w:spacing w:after="20"/>
            </w:pPr>
            <w:r>
              <w:rPr>
                <w:color w:val="1C3A36"/>
                <w:sz w:val="15"/>
              </w:rPr>
              <w:t>0.1406</w:t>
            </w:r>
          </w:p>
        </w:tc>
        <w:tc>
          <w:tcPr>
            <w:tcW w:type="dxa" w:w="1123"/>
          </w:tcPr>
          <w:p>
            <w:pPr>
              <w:spacing w:after="20"/>
            </w:pPr>
            <w:r>
              <w:rPr>
                <w:color w:val="1C3A36"/>
                <w:sz w:val="15"/>
              </w:rPr>
              <w:t>2025-06-30</w:t>
            </w:r>
          </w:p>
        </w:tc>
        <w:tc>
          <w:tcPr>
            <w:tcW w:type="dxa" w:w="5933"/>
          </w:tcPr>
          <w:p>
            <w:pPr>
              <w:spacing w:after="20"/>
            </w:pPr>
            <w:r>
              <w:rPr>
                <w:color w:val="1C3A36"/>
                <w:sz w:val="15"/>
              </w:rPr>
              <w:t>H1-2025 group segment-profit margin, DERIVED the same way from the note-16 comparative half. It is 1.9 points ABOVE the full year, which is the whole basis of this study's refusal to anchor a full year on a half</w:t>
            </w:r>
          </w:p>
        </w:tc>
      </w:tr>
      <w:tr>
        <w:tc>
          <w:tcPr>
            <w:tcW w:type="dxa" w:w="1656"/>
          </w:tcPr>
          <w:p>
            <w:pPr>
              <w:spacing w:after="20"/>
            </w:pPr>
            <w:r>
              <w:rPr>
                <w:color w:val="1C3A36"/>
                <w:sz w:val="15"/>
              </w:rPr>
              <w:t>seg profit h1 25</w:t>
            </w:r>
          </w:p>
        </w:tc>
        <w:tc>
          <w:tcPr>
            <w:tcW w:type="dxa" w:w="1368"/>
          </w:tcPr>
          <w:p>
            <w:pPr>
              <w:spacing w:after="20"/>
            </w:pPr>
            <w:r>
              <w:rPr>
                <w:color w:val="1C3A36"/>
                <w:sz w:val="15"/>
              </w:rPr>
              <w:t>cables: 10,749.2; construct: 3,115.5; elecprod: 3,636.8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segment profit — THE HALF THIS STUDY MUST COMPARE AGAINST, because FY2025's group margin of 12.18% sits well below H1-2025's 14.06%: this company's halves are not alike and a half-against-full-year comparison is a basis error. Both figures are COMPUTED from the note-16 figures registered here and above rather than typed beside them — they were typed until 09-09-2026, and a figure in a delivered source string that the model does not produce is one prose_check cannot reconcile</w:t>
            </w:r>
          </w:p>
        </w:tc>
      </w:tr>
      <w:tr>
        <w:tc>
          <w:tcPr>
            <w:tcW w:type="dxa" w:w="1656"/>
          </w:tcPr>
          <w:p>
            <w:pPr>
              <w:spacing w:after="20"/>
            </w:pPr>
            <w:r>
              <w:rPr>
                <w:color w:val="1C3A36"/>
                <w:sz w:val="15"/>
              </w:rPr>
              <w:t>h1 26 debt</w:t>
            </w:r>
          </w:p>
        </w:tc>
        <w:tc>
          <w:tcPr>
            <w:tcW w:type="dxa" w:w="1368"/>
          </w:tcPr>
          <w:p>
            <w:pPr>
              <w:spacing w:after="20"/>
            </w:pPr>
            <w:r>
              <w:rPr>
                <w:color w:val="1C3A36"/>
                <w:sz w:val="15"/>
              </w:rPr>
              <w:t>84,005.2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statement of financial position, note 31: loans and borrowings, non-current 8,072.452169 plus current 75,932.760330</w:t>
            </w:r>
          </w:p>
        </w:tc>
      </w:tr>
      <w:tr>
        <w:tc>
          <w:tcPr>
            <w:tcW w:type="dxa" w:w="1656"/>
          </w:tcPr>
          <w:p>
            <w:pPr>
              <w:spacing w:after="20"/>
            </w:pPr>
            <w:r>
              <w:rPr>
                <w:color w:val="1C3A36"/>
                <w:sz w:val="15"/>
              </w:rPr>
              <w:t>h1 26 cash</w:t>
            </w:r>
          </w:p>
        </w:tc>
        <w:tc>
          <w:tcPr>
            <w:tcW w:type="dxa" w:w="1368"/>
          </w:tcPr>
          <w:p>
            <w:pPr>
              <w:spacing w:after="20"/>
            </w:pPr>
            <w:r>
              <w:rPr>
                <w:color w:val="1C3A36"/>
                <w:sz w:val="15"/>
              </w:rPr>
              <w:t>55,376.2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28 cash and cash equivalents 52,775.664158 plus note 27 investments in debt securities at amortised cost 2,600.578354</w:t>
            </w:r>
          </w:p>
        </w:tc>
      </w:tr>
      <w:tr>
        <w:tc>
          <w:tcPr>
            <w:tcW w:type="dxa" w:w="1656"/>
          </w:tcPr>
          <w:p>
            <w:pPr>
              <w:spacing w:after="20"/>
            </w:pPr>
            <w:r>
              <w:rPr>
                <w:color w:val="1C3A36"/>
                <w:sz w:val="15"/>
              </w:rPr>
              <w:t>h1 26 investees</w:t>
            </w:r>
          </w:p>
        </w:tc>
        <w:tc>
          <w:tcPr>
            <w:tcW w:type="dxa" w:w="1368"/>
          </w:tcPr>
          <w:p>
            <w:pPr>
              <w:spacing w:after="20"/>
            </w:pPr>
            <w:r>
              <w:rPr>
                <w:color w:val="1C3A36"/>
                <w:sz w:val="15"/>
              </w:rPr>
              <w:t>7,119.6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 equity-accounted investees at carrying value (31-Dec-2025: 6,757.650507)</w:t>
            </w:r>
          </w:p>
        </w:tc>
      </w:tr>
      <w:tr>
        <w:tc>
          <w:tcPr>
            <w:tcW w:type="dxa" w:w="1656"/>
          </w:tcPr>
          <w:p>
            <w:pPr>
              <w:spacing w:after="20"/>
            </w:pPr>
            <w:r>
              <w:rPr>
                <w:color w:val="1C3A36"/>
                <w:sz w:val="15"/>
              </w:rPr>
              <w:t>h1 26 eq parent</w:t>
            </w:r>
          </w:p>
        </w:tc>
        <w:tc>
          <w:tcPr>
            <w:tcW w:type="dxa" w:w="1368"/>
          </w:tcPr>
          <w:p>
            <w:pPr>
              <w:spacing w:after="20"/>
            </w:pPr>
            <w:r>
              <w:rPr>
                <w:color w:val="1C3A36"/>
                <w:sz w:val="15"/>
              </w:rPr>
              <w:t>70,347.3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equity attributable to owners of the parent company (31-Dec-2025: 66,870.866550)</w:t>
            </w:r>
          </w:p>
        </w:tc>
      </w:tr>
      <w:tr>
        <w:tc>
          <w:tcPr>
            <w:tcW w:type="dxa" w:w="1656"/>
          </w:tcPr>
          <w:p>
            <w:pPr>
              <w:spacing w:after="20"/>
            </w:pPr>
            <w:r>
              <w:rPr>
                <w:color w:val="1C3A36"/>
                <w:sz w:val="15"/>
              </w:rPr>
              <w:t>h1 26 nci eq</w:t>
            </w:r>
          </w:p>
        </w:tc>
        <w:tc>
          <w:tcPr>
            <w:tcW w:type="dxa" w:w="1368"/>
          </w:tcPr>
          <w:p>
            <w:pPr>
              <w:spacing w:after="20"/>
            </w:pPr>
            <w:r>
              <w:rPr>
                <w:color w:val="1C3A36"/>
                <w:sz w:val="15"/>
              </w:rPr>
              <w:t>5,677.3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 7.47% of total equity of 76,024.598402, against the 9.7% value share this study's bridge deducts and 6.81% of the half's profit. The study's figure is conservative on all three readings</w:t>
            </w:r>
          </w:p>
        </w:tc>
      </w:tr>
      <w:tr>
        <w:tc>
          <w:tcPr>
            <w:tcW w:type="dxa" w:w="1656"/>
          </w:tcPr>
          <w:p>
            <w:pPr>
              <w:spacing w:after="20"/>
            </w:pPr>
            <w:r>
              <w:rPr>
                <w:color w:val="1C3A36"/>
                <w:sz w:val="15"/>
              </w:rPr>
              <w:t>seg rev hist</w:t>
            </w:r>
          </w:p>
        </w:tc>
        <w:tc>
          <w:tcPr>
            <w:tcW w:type="dxa" w:w="1368"/>
          </w:tcPr>
          <w:p>
            <w:pPr>
              <w:spacing w:after="20"/>
            </w:pPr>
            <w:r>
              <w:rPr>
                <w:color w:val="1C3A36"/>
                <w:sz w:val="15"/>
              </w:rPr>
              <w:t>FY23: cables: 82,421.3; construct: 53,482.8; elecprod: 16,282.2; FY24: cables: 137,189.8; construct: 70,921.4; elecprod: 23,870.6; FY25: cables: 155,792.9; construct: 90,958.6; elecprod: 34,297.6</w:t>
            </w:r>
          </w:p>
        </w:tc>
        <w:tc>
          <w:tcPr>
            <w:tcW w:type="dxa" w:w="1123"/>
          </w:tcPr>
          <w:p>
            <w:pPr>
              <w:spacing w:after="20"/>
            </w:pPr>
            <w:r>
              <w:rPr>
                <w:color w:val="1C3A36"/>
                <w:sz w:val="15"/>
              </w:rPr>
              <w:t>2026-03-15</w:t>
            </w:r>
          </w:p>
        </w:tc>
        <w:tc>
          <w:tcPr>
            <w:tcW w:type="dxa" w:w="5933"/>
          </w:tcPr>
          <w:p>
            <w:pPr>
              <w:spacing w:after="20"/>
            </w:pPr>
            <w:r>
              <w:rPr>
                <w:color w:val="1C3A36"/>
                <w:sz w:val="15"/>
              </w:rPr>
              <w:t>Revenue by product/service line, Note 5-3, all three audited financial statements. Sums EXACTLY to consolidated revenue in every year (152,186.247545 / 231,981.835577 / 281,049.081719). This REPLACES a seven-way sub-segment split (cables, raw material, engineering &amp; construction, transformers, meters, other electrical products, infrastructure investment) that does not appear in any of three years of audited filings</w:t>
            </w:r>
          </w:p>
        </w:tc>
      </w:tr>
      <w:tr>
        <w:tc>
          <w:tcPr>
            <w:tcW w:type="dxa" w:w="1656"/>
          </w:tcPr>
          <w:p>
            <w:pPr>
              <w:spacing w:after="20"/>
            </w:pPr>
            <w:r>
              <w:rPr>
                <w:color w:val="1C3A36"/>
                <w:sz w:val="15"/>
              </w:rPr>
              <w:t>seg profit hist</w:t>
            </w:r>
          </w:p>
        </w:tc>
        <w:tc>
          <w:tcPr>
            <w:tcW w:type="dxa" w:w="1368"/>
          </w:tcPr>
          <w:p>
            <w:pPr>
              <w:spacing w:after="20"/>
            </w:pPr>
            <w:r>
              <w:rPr>
                <w:color w:val="1C3A36"/>
                <w:sz w:val="15"/>
              </w:rPr>
              <w:t>FY23: cables: 16,057.6; construct: 6,215.5; elecprod: 4,142.8; FY24: cables: 24,851.9; construct: 8,115.9; elecprod: 6,345.3; FY25: cables: 21,016.4; construct: 5,868.9; elecprod: 7,604.8</w:t>
            </w:r>
          </w:p>
        </w:tc>
        <w:tc>
          <w:tcPr>
            <w:tcW w:type="dxa" w:w="1123"/>
          </w:tcPr>
          <w:p>
            <w:pPr>
              <w:spacing w:after="20"/>
            </w:pPr>
            <w:r>
              <w:rPr>
                <w:color w:val="1C3A36"/>
                <w:sz w:val="15"/>
              </w:rPr>
              <w:t>2026-03-15</w:t>
            </w:r>
          </w:p>
        </w:tc>
        <w:tc>
          <w:tcPr>
            <w:tcW w:type="dxa" w:w="5933"/>
          </w:tcPr>
          <w:p>
            <w:pPr>
              <w:spacing w:after="20"/>
            </w:pPr>
            <w:r>
              <w:rPr>
                <w:color w:val="1C3A36"/>
                <w:sz w:val="15"/>
              </w:rPr>
              <w:t>Segment profit by the same three segments, Note 16 (operating segments), all three audited financial statements — the inside-Egypt and outside-Egypt columns summed. This is computed on the segment note's OWN (pre-elimination) revenue base, which is larger than the Note 5-3 external-revenue view because it includes inter-segment sales (chiefly cable output consumed by the Constructions segment on turnkey projects); FY2025 also carries a disclosed unallocated/corporate item of -246.710877 not attributed to any segment. FY2023's three segments sum to 26,415.925233 against a disclosed total of 26,406.917233 (a 9.0 EGP thousand rounding residual in the filing's own inside/outside table, immaterial); FY2024 and FY2025 tie exactly</w:t>
            </w:r>
          </w:p>
        </w:tc>
      </w:tr>
      <w:tr>
        <w:tc>
          <w:tcPr>
            <w:tcW w:type="dxa" w:w="1656"/>
          </w:tcPr>
          <w:p>
            <w:pPr>
              <w:spacing w:after="20"/>
            </w:pPr>
            <w:r>
              <w:rPr>
                <w:color w:val="1C3A36"/>
                <w:sz w:val="15"/>
              </w:rPr>
              <w:t>corp load hist</w:t>
            </w:r>
          </w:p>
        </w:tc>
        <w:tc>
          <w:tcPr>
            <w:tcW w:type="dxa" w:w="1368"/>
          </w:tcPr>
          <w:p>
            <w:pPr>
              <w:spacing w:after="20"/>
            </w:pPr>
            <w:r>
              <w:rPr>
                <w:color w:val="1C3A36"/>
                <w:sz w:val="15"/>
              </w:rPr>
              <w:t>FY23: 0.057; FY24: 0.043; FY25: 0.0316</w:t>
            </w:r>
          </w:p>
        </w:tc>
        <w:tc>
          <w:tcPr>
            <w:tcW w:type="dxa" w:w="1123"/>
          </w:tcPr>
          <w:p>
            <w:pPr>
              <w:spacing w:after="20"/>
            </w:pPr>
            <w:r>
              <w:rPr>
                <w:color w:val="1C3A36"/>
                <w:sz w:val="15"/>
              </w:rPr>
              <w:t>2026-03-15</w:t>
            </w:r>
          </w:p>
        </w:tc>
        <w:tc>
          <w:tcPr>
            <w:tcW w:type="dxa" w:w="5933"/>
          </w:tcPr>
          <w:p>
            <w:pPr>
              <w:spacing w:after="20"/>
            </w:pPr>
            <w:r>
              <w:rPr>
                <w:color w:val="1C3A36"/>
                <w:sz w:val="15"/>
              </w:rPr>
              <w:t>Net corporate cost load = (G&amp;A + net impairment on receivables + other expenses - other income) / revenue, computed from the audited income statements. This is the bridge from segment profit (Note 16) to consolidated operating profit and it reconciles EXACTLY in all three years: e.g. FY2025 segment profit 34,490.095562 less the -246.710877 unallocated/corporate item = 34,243.384685, less 3.163% x revenue 281,049.081719 = 25,354.225619 = the audited operating profit to the EGP. The load has been FALLING — operating leverage improving at the corporate level even as segment margins compressed</w:t>
            </w:r>
          </w:p>
        </w:tc>
      </w:tr>
      <w:tr>
        <w:tc>
          <w:tcPr>
            <w:tcW w:type="dxa" w:w="1656"/>
          </w:tcPr>
          <w:p>
            <w:pPr>
              <w:spacing w:after="20"/>
            </w:pPr>
            <w:r>
              <w:rPr>
                <w:color w:val="1C3A36"/>
                <w:sz w:val="15"/>
              </w:rPr>
              <w:t>seg unalloc fy25</w:t>
            </w:r>
          </w:p>
        </w:tc>
        <w:tc>
          <w:tcPr>
            <w:tcW w:type="dxa" w:w="1368"/>
          </w:tcPr>
          <w:p>
            <w:pPr>
              <w:spacing w:after="20"/>
            </w:pPr>
            <w:r>
              <w:rPr>
                <w:color w:val="1C3A36"/>
                <w:sz w:val="15"/>
              </w:rPr>
              <w:t>-246.7</w:t>
            </w:r>
          </w:p>
        </w:tc>
        <w:tc>
          <w:tcPr>
            <w:tcW w:type="dxa" w:w="1123"/>
          </w:tcPr>
          <w:p>
            <w:pPr>
              <w:spacing w:after="20"/>
            </w:pPr>
            <w:r>
              <w:rPr>
                <w:color w:val="1C3A36"/>
                <w:sz w:val="15"/>
              </w:rPr>
              <w:t>2026-03-15</w:t>
            </w:r>
          </w:p>
        </w:tc>
        <w:tc>
          <w:tcPr>
            <w:tcW w:type="dxa" w:w="5933"/>
          </w:tcPr>
          <w:p>
            <w:pPr>
              <w:spacing w:after="20"/>
            </w:pPr>
            <w:r>
              <w:rPr>
                <w:color w:val="1C3A36"/>
                <w:sz w:val="15"/>
              </w:rPr>
              <w:t>Unallocated/corporate segment item, Note 16, FY2025 audited financial statements — not attributed to any of the three segments; netted against the three segments' summed profit before the corporate-load bridge is applied. No equivalent unallocated item is disclosed for FY2023 or FY2024</w:t>
            </w:r>
          </w:p>
        </w:tc>
      </w:tr>
      <w:tr>
        <w:tc>
          <w:tcPr>
            <w:tcW w:type="dxa" w:w="1656"/>
          </w:tcPr>
          <w:p>
            <w:pPr>
              <w:spacing w:after="20"/>
            </w:pPr>
            <w:r>
              <w:rPr>
                <w:color w:val="1C3A36"/>
                <w:sz w:val="15"/>
              </w:rPr>
              <w:t>dna pct hist</w:t>
            </w:r>
          </w:p>
        </w:tc>
        <w:tc>
          <w:tcPr>
            <w:tcW w:type="dxa" w:w="1368"/>
          </w:tcPr>
          <w:p>
            <w:pPr>
              <w:spacing w:after="20"/>
            </w:pPr>
            <w:r>
              <w:rPr>
                <w:color w:val="1C3A36"/>
                <w:sz w:val="15"/>
              </w:rPr>
              <w:t>FY23: 0.0151; FY24: 0.0097; FY25: 0.0107</w:t>
            </w:r>
          </w:p>
        </w:tc>
        <w:tc>
          <w:tcPr>
            <w:tcW w:type="dxa" w:w="1123"/>
          </w:tcPr>
          <w:p>
            <w:pPr>
              <w:spacing w:after="20"/>
            </w:pPr>
            <w:r>
              <w:rPr>
                <w:color w:val="1C3A36"/>
                <w:sz w:val="15"/>
              </w:rPr>
              <w:t>2026-03-15</w:t>
            </w:r>
          </w:p>
        </w:tc>
        <w:tc>
          <w:tcPr>
            <w:tcW w:type="dxa" w:w="5933"/>
          </w:tcPr>
          <w:p>
            <w:pPr>
              <w:spacing w:after="20"/>
            </w:pPr>
            <w:r>
              <w:rPr>
                <w:color w:val="1C3A36"/>
                <w:sz w:val="15"/>
              </w:rPr>
              <w:t>Depreciation and amortisation as a share of revenue, computed from the audited cash flow statements</w:t>
            </w:r>
          </w:p>
        </w:tc>
      </w:tr>
      <w:tr>
        <w:tc>
          <w:tcPr>
            <w:tcW w:type="dxa" w:w="1656"/>
          </w:tcPr>
          <w:p>
            <w:pPr>
              <w:spacing w:after="20"/>
            </w:pPr>
            <w:r>
              <w:rPr>
                <w:color w:val="1C3A36"/>
                <w:sz w:val="15"/>
              </w:rPr>
              <w:t>capex pct hist</w:t>
            </w:r>
          </w:p>
        </w:tc>
        <w:tc>
          <w:tcPr>
            <w:tcW w:type="dxa" w:w="1368"/>
          </w:tcPr>
          <w:p>
            <w:pPr>
              <w:spacing w:after="20"/>
            </w:pPr>
            <w:r>
              <w:rPr>
                <w:color w:val="1C3A36"/>
                <w:sz w:val="15"/>
              </w:rPr>
              <w:t>FY23: 0.0312; FY24: 0.0366; FY25: 0.0466</w:t>
            </w:r>
          </w:p>
        </w:tc>
        <w:tc>
          <w:tcPr>
            <w:tcW w:type="dxa" w:w="1123"/>
          </w:tcPr>
          <w:p>
            <w:pPr>
              <w:spacing w:after="20"/>
            </w:pPr>
            <w:r>
              <w:rPr>
                <w:color w:val="1C3A36"/>
                <w:sz w:val="15"/>
              </w:rPr>
              <w:t>2026-03-15</w:t>
            </w:r>
          </w:p>
        </w:tc>
        <w:tc>
          <w:tcPr>
            <w:tcW w:type="dxa" w:w="5933"/>
          </w:tcPr>
          <w:p>
            <w:pPr>
              <w:spacing w:after="20"/>
            </w:pPr>
            <w:r>
              <w:rPr>
                <w:color w:val="1C3A36"/>
                <w:sz w:val="15"/>
              </w:rPr>
              <w:t>Capital expenditure (cash paid for PP&amp;E and projects under construction, audited cash flow statements) as a share of revenue — a clear, rising capacity-investment cycle</w:t>
            </w:r>
          </w:p>
        </w:tc>
      </w:tr>
      <w:tr>
        <w:tc>
          <w:tcPr>
            <w:tcW w:type="dxa" w:w="1656"/>
          </w:tcPr>
          <w:p>
            <w:pPr>
              <w:spacing w:after="20"/>
            </w:pPr>
            <w:r>
              <w:rPr>
                <w:color w:val="1C3A36"/>
                <w:sz w:val="15"/>
              </w:rPr>
              <w:t>nwc pct hist</w:t>
            </w:r>
          </w:p>
        </w:tc>
        <w:tc>
          <w:tcPr>
            <w:tcW w:type="dxa" w:w="1368"/>
          </w:tcPr>
          <w:p>
            <w:pPr>
              <w:spacing w:after="20"/>
            </w:pPr>
            <w:r>
              <w:rPr>
                <w:color w:val="1C3A36"/>
                <w:sz w:val="15"/>
              </w:rPr>
              <w:t>FY23: 0.2409; FY24: 0.2306; FY25: 0.1987</w:t>
            </w:r>
          </w:p>
        </w:tc>
        <w:tc>
          <w:tcPr>
            <w:tcW w:type="dxa" w:w="1123"/>
          </w:tcPr>
          <w:p>
            <w:pPr>
              <w:spacing w:after="20"/>
            </w:pPr>
            <w:r>
              <w:rPr>
                <w:color w:val="1C3A36"/>
                <w:sz w:val="15"/>
              </w:rPr>
              <w:t>2026-03-15</w:t>
            </w:r>
          </w:p>
        </w:tc>
        <w:tc>
          <w:tcPr>
            <w:tcW w:type="dxa" w:w="5933"/>
          </w:tcPr>
          <w:p>
            <w:pPr>
              <w:spacing w:after="20"/>
            </w:pPr>
            <w:r>
              <w:rPr>
                <w:color w:val="1C3A36"/>
                <w:sz w:val="15"/>
              </w:rPr>
              <w:t>Net working capital (inventories + contract assets + trade and other receivables, current, LESS trade and other payables LESS contract liabilities; industrial real-estate-development land holdings excluded as a separate quasi-investment item) as a share of revenue, computed from the audited balance sheets. FY2025 shows a genuine, disclosed IMPROVEMENT in working-capital intensity, not an assumption</w:t>
            </w:r>
          </w:p>
        </w:tc>
      </w:tr>
      <w:tr>
        <w:tc>
          <w:tcPr>
            <w:tcW w:type="dxa" w:w="1656"/>
          </w:tcPr>
          <w:p>
            <w:pPr>
              <w:spacing w:after="20"/>
            </w:pPr>
            <w:r>
              <w:rPr>
                <w:color w:val="1C3A36"/>
                <w:sz w:val="15"/>
              </w:rPr>
              <w:t>fx hist</w:t>
            </w:r>
          </w:p>
        </w:tc>
        <w:tc>
          <w:tcPr>
            <w:tcW w:type="dxa" w:w="1368"/>
          </w:tcPr>
          <w:p>
            <w:pPr>
              <w:spacing w:after="20"/>
            </w:pPr>
            <w:r>
              <w:rPr>
                <w:color w:val="1C3A36"/>
                <w:sz w:val="15"/>
              </w:rPr>
              <w:t>FY23: 30.59; FY24: 43.96; FY25: 47.69</w:t>
            </w:r>
          </w:p>
        </w:tc>
        <w:tc>
          <w:tcPr>
            <w:tcW w:type="dxa" w:w="1123"/>
          </w:tcPr>
          <w:p>
            <w:pPr>
              <w:spacing w:after="20"/>
            </w:pPr>
            <w:r>
              <w:rPr>
                <w:color w:val="1C3A36"/>
                <w:sz w:val="15"/>
              </w:rPr>
              <w:t>2026-03-15</w:t>
            </w:r>
          </w:p>
        </w:tc>
        <w:tc>
          <w:tcPr>
            <w:tcW w:type="dxa" w:w="5933"/>
          </w:tcPr>
          <w:p>
            <w:pPr>
              <w:spacing w:after="20"/>
            </w:pPr>
            <w:r>
              <w:rPr>
                <w:color w:val="1C3A36"/>
                <w:sz w:val="15"/>
              </w:rPr>
              <w:t>Annual average USD/EGP, all three DISCLOSED by the issuer rather than estimated. FY2025 47.69 and FY2024 43.96 are note 44-3 of the FY2025 audited statements, 'significant foreign currency exchange rates during the year', average-rate columns; FY2023 30.59 is the FY2023 filing's own note 44-3-1. Revisions to 08-09-2026 typed 49.5 and 45.3 as house averages while the note sat in a filing this study already reads</w:t>
            </w:r>
          </w:p>
        </w:tc>
      </w:tr>
      <w:tr>
        <w:tc>
          <w:tcPr>
            <w:tcW w:type="dxa" w:w="1656"/>
          </w:tcPr>
          <w:p>
            <w:pPr>
              <w:spacing w:after="20"/>
            </w:pPr>
            <w:r>
              <w:rPr>
                <w:color w:val="1C3A36"/>
                <w:sz w:val="15"/>
              </w:rPr>
              <w:t>cables tonnage hist</w:t>
            </w:r>
          </w:p>
        </w:tc>
        <w:tc>
          <w:tcPr>
            <w:tcW w:type="dxa" w:w="1368"/>
          </w:tcPr>
          <w:p>
            <w:pPr>
              <w:spacing w:after="20"/>
            </w:pPr>
            <w:r>
              <w:rPr>
                <w:color w:val="1C3A36"/>
                <w:sz w:val="15"/>
              </w:rPr>
              <w:t>FY22: 144,997; FY23: 156,748; FY24: 167,665; FY25: 185,449</w:t>
            </w:r>
          </w:p>
        </w:tc>
        <w:tc>
          <w:tcPr>
            <w:tcW w:type="dxa" w:w="1123"/>
          </w:tcPr>
          <w:p>
            <w:pPr>
              <w:spacing w:after="20"/>
            </w:pPr>
            <w:r>
              <w:rPr>
                <w:color w:val="1C3A36"/>
                <w:sz w:val="15"/>
              </w:rPr>
              <w:t>2026-02-15</w:t>
            </w:r>
          </w:p>
        </w:tc>
        <w:tc>
          <w:tcPr>
            <w:tcW w:type="dxa" w:w="5933"/>
          </w:tcPr>
          <w:p>
            <w:pPr>
              <w:spacing w:after="20"/>
            </w:pPr>
            <w:r>
              <w:rPr>
                <w:color w:val="1C3A36"/>
                <w:sz w:val="15"/>
              </w:rPr>
              <w:t>Cables sales volumes in tonnes, from Elsewedy Electric's own Q4 earnings releases (4Q2023, 4Q2024, 4Q2025), each printed beside its own prior-year comparative: +8.1%, +7.0%, +10.6%. A compound 8.55% a year over FY2022-25</w:t>
            </w:r>
          </w:p>
        </w:tc>
      </w:tr>
      <w:tr>
        <w:tc>
          <w:tcPr>
            <w:tcW w:type="dxa" w:w="1656"/>
          </w:tcPr>
          <w:p>
            <w:pPr>
              <w:spacing w:after="20"/>
            </w:pPr>
            <w:r>
              <w:rPr>
                <w:color w:val="1C3A36"/>
                <w:sz w:val="15"/>
              </w:rPr>
              <w:t>cables tonnage cagr</w:t>
            </w:r>
          </w:p>
        </w:tc>
        <w:tc>
          <w:tcPr>
            <w:tcW w:type="dxa" w:w="1368"/>
          </w:tcPr>
          <w:p>
            <w:pPr>
              <w:spacing w:after="20"/>
            </w:pPr>
            <w:r>
              <w:rPr>
                <w:color w:val="1C3A36"/>
                <w:sz w:val="15"/>
              </w:rPr>
              <w:t>0.0855</w:t>
            </w:r>
          </w:p>
        </w:tc>
        <w:tc>
          <w:tcPr>
            <w:tcW w:type="dxa" w:w="1123"/>
          </w:tcPr>
          <w:p>
            <w:pPr>
              <w:spacing w:after="20"/>
            </w:pPr>
            <w:r>
              <w:rPr>
                <w:color w:val="1C3A36"/>
                <w:sz w:val="15"/>
              </w:rPr>
              <w:t>2026-02-15</w:t>
            </w:r>
          </w:p>
        </w:tc>
        <w:tc>
          <w:tcPr>
            <w:tcW w:type="dxa" w:w="5933"/>
          </w:tcPr>
          <w:p>
            <w:pPr>
              <w:spacing w:after="20"/>
            </w:pPr>
            <w:r>
              <w:rPr>
                <w:color w:val="1C3A36"/>
                <w:sz w:val="15"/>
              </w:rPr>
              <w:t>Cables tonnage compound growth FY2022-25, DERIVED from the disclosed volume series: (185,449 / 144,997) ^ (1/3) - 1</w:t>
            </w:r>
          </w:p>
        </w:tc>
      </w:tr>
      <w:tr>
        <w:tc>
          <w:tcPr>
            <w:tcW w:type="dxa" w:w="1656"/>
          </w:tcPr>
          <w:p>
            <w:pPr>
              <w:spacing w:after="20"/>
            </w:pPr>
            <w:r>
              <w:rPr>
                <w:color w:val="1C3A36"/>
                <w:sz w:val="15"/>
              </w:rPr>
              <w:t>dna pct fy25</w:t>
            </w:r>
          </w:p>
        </w:tc>
        <w:tc>
          <w:tcPr>
            <w:tcW w:type="dxa" w:w="1368"/>
          </w:tcPr>
          <w:p>
            <w:pPr>
              <w:spacing w:after="20"/>
            </w:pPr>
            <w:r>
              <w:rPr>
                <w:color w:val="1C3A36"/>
                <w:sz w:val="15"/>
              </w:rPr>
              <w:t>0.0107</w:t>
            </w:r>
          </w:p>
        </w:tc>
        <w:tc>
          <w:tcPr>
            <w:tcW w:type="dxa" w:w="1123"/>
          </w:tcPr>
          <w:p>
            <w:pPr>
              <w:spacing w:after="20"/>
            </w:pPr>
            <w:r>
              <w:rPr>
                <w:color w:val="1C3A36"/>
                <w:sz w:val="15"/>
              </w:rPr>
              <w:t>2025-12-31</w:t>
            </w:r>
          </w:p>
        </w:tc>
        <w:tc>
          <w:tcPr>
            <w:tcW w:type="dxa" w:w="5933"/>
          </w:tcPr>
          <w:p>
            <w:pPr>
              <w:spacing w:after="20"/>
            </w:pPr>
            <w:r>
              <w:rPr>
                <w:color w:val="1C3A36"/>
                <w:sz w:val="15"/>
              </w:rPr>
              <w:t>FY2025 depreciation and amortisation as a share of revenue, DERIVED from the audited statements: 3,009 / 281,049</w:t>
            </w:r>
          </w:p>
        </w:tc>
      </w:tr>
      <w:tr>
        <w:tc>
          <w:tcPr>
            <w:tcW w:type="dxa" w:w="1656"/>
          </w:tcPr>
          <w:p>
            <w:pPr>
              <w:spacing w:after="20"/>
            </w:pPr>
            <w:r>
              <w:rPr>
                <w:color w:val="1C3A36"/>
                <w:sz w:val="15"/>
              </w:rPr>
              <w:t>cables tonnage h1</w:t>
            </w:r>
          </w:p>
        </w:tc>
        <w:tc>
          <w:tcPr>
            <w:tcW w:type="dxa" w:w="1368"/>
          </w:tcPr>
          <w:p>
            <w:pPr>
              <w:spacing w:after="20"/>
            </w:pPr>
            <w:r>
              <w:rPr>
                <w:color w:val="1C3A36"/>
                <w:sz w:val="15"/>
              </w:rPr>
              <w:t>H1_25: 89,636; H1_26: 99,239</w:t>
            </w:r>
          </w:p>
        </w:tc>
        <w:tc>
          <w:tcPr>
            <w:tcW w:type="dxa" w:w="1123"/>
          </w:tcPr>
          <w:p>
            <w:pPr>
              <w:spacing w:after="20"/>
            </w:pPr>
            <w:r>
              <w:rPr>
                <w:color w:val="1C3A36"/>
                <w:sz w:val="15"/>
              </w:rPr>
              <w:t>2026-08-14</w:t>
            </w:r>
          </w:p>
        </w:tc>
        <w:tc>
          <w:tcPr>
            <w:tcW w:type="dxa" w:w="5933"/>
          </w:tcPr>
          <w:p>
            <w:pPr>
              <w:spacing w:after="20"/>
            </w:pPr>
            <w:r>
              <w:rPr>
                <w:color w:val="1C3A36"/>
                <w:sz w:val="15"/>
              </w:rPr>
              <w:t>Cables sales volumes, reviewed half: 99,239 tonnes against 89,636, +10.71% — the Q2-2026 earnings release. The most recent volume disclosure, and the year is anchored on it rather than on a typed rate</w:t>
            </w:r>
          </w:p>
        </w:tc>
      </w:tr>
      <w:tr>
        <w:tc>
          <w:tcPr>
            <w:tcW w:type="dxa" w:w="1656"/>
          </w:tcPr>
          <w:p>
            <w:pPr>
              <w:spacing w:after="20"/>
            </w:pPr>
            <w:r>
              <w:rPr>
                <w:color w:val="1C3A36"/>
                <w:sz w:val="15"/>
              </w:rPr>
              <w:t>cables volume growth</w:t>
            </w:r>
          </w:p>
        </w:tc>
        <w:tc>
          <w:tcPr>
            <w:tcW w:type="dxa" w:w="1368"/>
          </w:tcPr>
          <w:p>
            <w:pPr>
              <w:spacing w:after="20"/>
            </w:pPr>
            <w:r>
              <w:rPr>
                <w:color w:val="1C3A36"/>
                <w:sz w:val="15"/>
              </w:rPr>
              <w:t>0.1071, 0.09, 0.075, 0.065, 0.055</w:t>
            </w:r>
          </w:p>
        </w:tc>
        <w:tc>
          <w:tcPr>
            <w:tcW w:type="dxa" w:w="1123"/>
          </w:tcPr>
          <w:p>
            <w:pPr>
              <w:spacing w:after="20"/>
            </w:pPr>
            <w:r>
              <w:rPr>
                <w:color w:val="1C3A36"/>
                <w:sz w:val="15"/>
              </w:rPr>
              <w:t>2026-08-14</w:t>
            </w:r>
          </w:p>
        </w:tc>
        <w:tc>
          <w:tcPr>
            <w:tcW w:type="dxa" w:w="5933"/>
          </w:tcPr>
          <w:p>
            <w:pPr>
              <w:spacing w:after="20"/>
            </w:pPr>
            <w:r>
              <w:rPr>
                <w:color w:val="1C3A36"/>
                <w:sz w:val="15"/>
              </w:rPr>
              <w:t>Cables tonnage growth, RE-ANCHORED on the reviewed half on the most recent disclosure: FY2026 is the reported +10.71%, tapering toward and below the FY2022-25 compound rate of 8.55%. The company's OWN disclosed volume series, not a residual and not a proxy</w:t>
            </w:r>
          </w:p>
        </w:tc>
      </w:tr>
      <w:tr>
        <w:tc>
          <w:tcPr>
            <w:tcW w:type="dxa" w:w="1656"/>
          </w:tcPr>
          <w:p>
            <w:pPr>
              <w:spacing w:after="20"/>
            </w:pPr>
            <w:r>
              <w:rPr>
                <w:color w:val="1C3A36"/>
                <w:sz w:val="15"/>
              </w:rPr>
              <w:t>cables passthrough alt</w:t>
            </w:r>
          </w:p>
        </w:tc>
        <w:tc>
          <w:tcPr>
            <w:tcW w:type="dxa" w:w="1368"/>
          </w:tcPr>
          <w:p>
            <w:pPr>
              <w:spacing w:after="20"/>
            </w:pPr>
            <w:r>
              <w:rPr>
                <w:color w:val="1C3A36"/>
                <w:sz w:val="15"/>
              </w:rPr>
              <w:t>0, -0.1343, -0.1343, -0.0672, 0</w:t>
            </w:r>
          </w:p>
        </w:tc>
        <w:tc>
          <w:tcPr>
            <w:tcW w:type="dxa" w:w="1123"/>
          </w:tcPr>
          <w:p>
            <w:pPr>
              <w:spacing w:after="20"/>
            </w:pPr>
            <w:r>
              <w:rPr>
                <w:color w:val="1C3A36"/>
                <w:sz w:val="15"/>
              </w:rPr>
              <w:t>2026-08-14</w:t>
            </w:r>
          </w:p>
        </w:tc>
        <w:tc>
          <w:tcPr>
            <w:tcW w:type="dxa" w:w="5933"/>
          </w:tcPr>
          <w:p>
            <w:pPr>
              <w:spacing w:after="20"/>
            </w:pPr>
            <w:r>
              <w:rPr>
                <w:color w:val="1C3A36"/>
                <w:sz w:val="15"/>
              </w:rPr>
              <w:t>THE CONTESTED ALTERNATIVE: FY2025's measured shortfall persists two more years before closing — the case that pricing power lost in a copper spike takes a cycle to recover rather than a year. Published beside the adopted case and NEVER averaged with it. A third case was tried and rejected as not serious: holding -13.43% flat for ever makes cables revenue FALL in nominal pounds from FY2028 while volume grows 5-9% a year, which is not a view anybody holds</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123"/>
          </w:tcPr>
          <w:p>
            <w:pPr>
              <w:spacing w:after="20"/>
            </w:pPr>
            <w:r>
              <w:rPr>
                <w:color w:val="1C3A36"/>
                <w:sz w:val="15"/>
              </w:rPr>
              <w:t>2026-03-15</w:t>
            </w:r>
          </w:p>
        </w:tc>
        <w:tc>
          <w:tcPr>
            <w:tcW w:type="dxa" w:w="5933"/>
          </w:tcPr>
          <w:p>
            <w:pPr>
              <w:spacing w:after="20"/>
            </w:pPr>
            <w:r>
              <w:rPr>
                <w:color w:val="1C3A36"/>
                <w:sz w:val="15"/>
              </w:rPr>
              <w:t>'Over 70% of revenues generated abroad' (company commentary); the audited Note 5-2 geographic split gives Outside Egypt 40.7% of FY2025 revenue (114,461.030 / 281,049.082) — geography and hard-currency pricing are different questions, addressed explicitly below</w:t>
            </w:r>
          </w:p>
        </w:tc>
      </w:tr>
      <w:tr>
        <w:tc>
          <w:tcPr>
            <w:tcW w:type="dxa" w:w="1656"/>
          </w:tcPr>
          <w:p>
            <w:pPr>
              <w:spacing w:after="20"/>
            </w:pPr>
            <w:r>
              <w:rPr>
                <w:color w:val="1C3A36"/>
                <w:sz w:val="15"/>
              </w:rPr>
              <w:t>seg export share q2 26</w:t>
            </w:r>
          </w:p>
        </w:tc>
        <w:tc>
          <w:tcPr>
            <w:tcW w:type="dxa" w:w="1368"/>
          </w:tcPr>
          <w:p>
            <w:pPr>
              <w:spacing w:after="20"/>
            </w:pPr>
            <w:r>
              <w:rPr>
                <w:color w:val="1C3A36"/>
                <w:sz w:val="15"/>
              </w:rPr>
              <w:t>group: 0.79; cables: 0.84; ec: 0.67</w:t>
            </w:r>
          </w:p>
        </w:tc>
        <w:tc>
          <w:tcPr>
            <w:tcW w:type="dxa" w:w="1123"/>
          </w:tcPr>
          <w:p>
            <w:pPr>
              <w:spacing w:after="20"/>
            </w:pPr>
            <w:r>
              <w:rPr>
                <w:color w:val="1C3A36"/>
                <w:sz w:val="15"/>
              </w:rPr>
              <w:t>2026-08-12</w:t>
            </w:r>
          </w:p>
        </w:tc>
        <w:tc>
          <w:tcPr>
            <w:tcW w:type="dxa" w:w="5933"/>
          </w:tcPr>
          <w:p>
            <w:pPr>
              <w:spacing w:after="20"/>
            </w:pPr>
            <w:r>
              <w:rPr>
                <w:color w:val="1C3A36"/>
                <w:sz w:val="15"/>
              </w:rPr>
              <w:t>Share of sales generated OUTSIDE EGYPT AND FROM EXPORTS, the company's own Q2-2026 presentation: group 79%, wires and cables 84%, engineering and construction 67%. Q1-2026 gave group 70%, cables 75%, E&amp;C 58% -- a 9-point sequential rise in each. REGISTERED, NOT SUBSTITUTED, and the reason matters: this measure ADDS exports out of Egypt to sales booked abroad, so it is neither the audited geographic split (40.7%, which is where the customer sits and is the right basis for country risk, because an Egyptian factory exporting to Saudi Arabia is still an Egyptian asset under an Egyptian sovereign) nor the hard-currency-pricing share the model derives (51%). It is an UPPER BOUND on the second: an export is usually invoiced in hard currency, a project executed abroad for a local utility often is not. The house export-intensity weights below (cables 65%, constructions 30%) sit well under the company's own 84% and 67%, and now that the company publishes them the study can say how conservative they are instead of asserting it</w:t>
            </w:r>
          </w:p>
        </w:tc>
      </w:tr>
      <w:tr>
        <w:tc>
          <w:tcPr>
            <w:tcW w:type="dxa" w:w="1656"/>
          </w:tcPr>
          <w:p>
            <w:pPr>
              <w:spacing w:after="20"/>
            </w:pPr>
            <w:r>
              <w:rPr>
                <w:color w:val="1C3A36"/>
                <w:sz w:val="15"/>
              </w:rPr>
              <w:t>fgn egp share fy25</w:t>
            </w:r>
          </w:p>
        </w:tc>
        <w:tc>
          <w:tcPr>
            <w:tcW w:type="dxa" w:w="1368"/>
          </w:tcPr>
          <w:p>
            <w:pPr>
              <w:spacing w:after="20"/>
            </w:pPr>
            <w:r>
              <w:rPr>
                <w:color w:val="1C3A36"/>
                <w:sz w:val="15"/>
              </w:rPr>
              <w:t>0.407</w:t>
            </w:r>
          </w:p>
        </w:tc>
        <w:tc>
          <w:tcPr>
            <w:tcW w:type="dxa" w:w="1123"/>
          </w:tcPr>
          <w:p>
            <w:pPr>
              <w:spacing w:after="20"/>
            </w:pPr>
            <w:r>
              <w:rPr>
                <w:color w:val="1C3A36"/>
                <w:sz w:val="15"/>
              </w:rPr>
              <w:t>2026-03-15</w:t>
            </w:r>
          </w:p>
        </w:tc>
        <w:tc>
          <w:tcPr>
            <w:tcW w:type="dxa" w:w="5933"/>
          </w:tcPr>
          <w:p>
            <w:pPr>
              <w:spacing w:after="20"/>
            </w:pPr>
            <w:r>
              <w:rPr>
                <w:color w:val="1C3A36"/>
                <w:sz w:val="15"/>
              </w:rPr>
              <w:t>Revenue earned OUTSIDE Egypt, FY2025, Note 5-2 (geographic disaggregation): 114,461.030219 / 281,049.081719 = 40.72%. This is the audited geographic split; the HARD-CURRENCY-LINKED share used in the currency-of-discounting alternative is derived separately below from the Cables segment's copper linkage, since a project executed abroad for a local utility is foreign revenue but not necessarily dollar-priced</w:t>
            </w:r>
          </w:p>
        </w:tc>
      </w:tr>
      <w:tr>
        <w:tc>
          <w:tcPr>
            <w:tcW w:type="dxa" w:w="1656"/>
          </w:tcPr>
          <w:p>
            <w:pPr>
              <w:spacing w:after="20"/>
            </w:pPr>
            <w:r>
              <w:rPr>
                <w:color w:val="1C3A36"/>
                <w:sz w:val="15"/>
              </w:rPr>
              <w:t>capex h1 26</w:t>
            </w:r>
          </w:p>
        </w:tc>
        <w:tc>
          <w:tcPr>
            <w:tcW w:type="dxa" w:w="1368"/>
          </w:tcPr>
          <w:p>
            <w:pPr>
              <w:spacing w:after="20"/>
            </w:pPr>
            <w:r>
              <w:rPr>
                <w:color w:val="1C3A36"/>
                <w:sz w:val="15"/>
              </w:rPr>
              <w:t>5,435.9</w:t>
            </w:r>
          </w:p>
        </w:tc>
        <w:tc>
          <w:tcPr>
            <w:tcW w:type="dxa" w:w="1123"/>
          </w:tcPr>
          <w:p>
            <w:pPr>
              <w:spacing w:after="20"/>
            </w:pPr>
            <w:r>
              <w:rPr>
                <w:color w:val="1C3A36"/>
                <w:sz w:val="15"/>
              </w:rPr>
              <w:t>2026-06-30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cash flows: 'Paid for acquisition of property, plant and equipment and projects under construction'</w:t>
            </w:r>
          </w:p>
        </w:tc>
      </w:tr>
      <w:tr>
        <w:tc>
          <w:tcPr>
            <w:tcW w:type="dxa" w:w="1656"/>
          </w:tcPr>
          <w:p>
            <w:pPr>
              <w:spacing w:after="20"/>
            </w:pPr>
            <w:r>
              <w:rPr>
                <w:color w:val="1C3A36"/>
                <w:sz w:val="15"/>
              </w:rPr>
              <w:t>capex h1 25</w:t>
            </w:r>
          </w:p>
        </w:tc>
        <w:tc>
          <w:tcPr>
            <w:tcW w:type="dxa" w:w="1368"/>
          </w:tcPr>
          <w:p>
            <w:pPr>
              <w:spacing w:after="20"/>
            </w:pPr>
            <w:r>
              <w:rPr>
                <w:color w:val="1C3A36"/>
                <w:sz w:val="15"/>
              </w:rPr>
              <w:t>5,386.8</w:t>
            </w:r>
          </w:p>
        </w:tc>
        <w:tc>
          <w:tcPr>
            <w:tcW w:type="dxa" w:w="1123"/>
          </w:tcPr>
          <w:p>
            <w:pPr>
              <w:spacing w:after="20"/>
            </w:pPr>
            <w:r>
              <w:rPr>
                <w:color w:val="1C3A36"/>
                <w:sz w:val="15"/>
              </w:rPr>
              <w:t>2025-06-30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same line, comparative column — and independently in the reviewed interim statements for the six months ended 30 June 2025, where it is the current-period figure. Two readings of one fact agreeing</w:t>
            </w:r>
          </w:p>
        </w:tc>
      </w:tr>
      <w:tr>
        <w:tc>
          <w:tcPr>
            <w:tcW w:type="dxa" w:w="1656"/>
          </w:tcPr>
          <w:p>
            <w:pPr>
              <w:spacing w:after="20"/>
            </w:pPr>
            <w:r>
              <w:rPr>
                <w:color w:val="1C3A36"/>
                <w:sz w:val="15"/>
              </w:rPr>
              <w:t>capex h1 24</w:t>
            </w:r>
          </w:p>
        </w:tc>
        <w:tc>
          <w:tcPr>
            <w:tcW w:type="dxa" w:w="1368"/>
          </w:tcPr>
          <w:p>
            <w:pPr>
              <w:spacing w:after="20"/>
            </w:pPr>
            <w:r>
              <w:rPr>
                <w:color w:val="1C3A36"/>
                <w:sz w:val="15"/>
              </w:rPr>
              <w:t>4,595.5</w:t>
            </w:r>
          </w:p>
        </w:tc>
        <w:tc>
          <w:tcPr>
            <w:tcW w:type="dxa" w:w="1123"/>
          </w:tcPr>
          <w:p>
            <w:pPr>
              <w:spacing w:after="20"/>
            </w:pPr>
            <w:r>
              <w:rPr>
                <w:color w:val="1C3A36"/>
                <w:sz w:val="15"/>
              </w:rPr>
              <w:t>2024-06-30</w:t>
            </w:r>
          </w:p>
        </w:tc>
        <w:tc>
          <w:tcPr>
            <w:tcW w:type="dxa" w:w="5933"/>
          </w:tcPr>
          <w:p>
            <w:pPr>
              <w:spacing w:after="20"/>
            </w:pPr>
            <w:r>
              <w:rPr>
                <w:color w:val="1C3A36"/>
                <w:sz w:val="15"/>
              </w:rPr>
              <w:t>Reviewed condensed interim consolidated financial statements for the six months ended 30 June 2024, statement of cash flows, same line</w:t>
            </w:r>
          </w:p>
        </w:tc>
      </w:tr>
      <w:tr>
        <w:tc>
          <w:tcPr>
            <w:tcW w:type="dxa" w:w="1656"/>
          </w:tcPr>
          <w:p>
            <w:pPr>
              <w:spacing w:after="20"/>
            </w:pPr>
            <w:r>
              <w:rPr>
                <w:color w:val="1C3A36"/>
                <w:sz w:val="15"/>
              </w:rPr>
              <w:t>capex h1 23</w:t>
            </w:r>
          </w:p>
        </w:tc>
        <w:tc>
          <w:tcPr>
            <w:tcW w:type="dxa" w:w="1368"/>
          </w:tcPr>
          <w:p>
            <w:pPr>
              <w:spacing w:after="20"/>
            </w:pPr>
            <w:r>
              <w:rPr>
                <w:color w:val="1C3A36"/>
                <w:sz w:val="15"/>
              </w:rPr>
              <w:t>1,858.4</w:t>
            </w:r>
          </w:p>
        </w:tc>
        <w:tc>
          <w:tcPr>
            <w:tcW w:type="dxa" w:w="1123"/>
          </w:tcPr>
          <w:p>
            <w:pPr>
              <w:spacing w:after="20"/>
            </w:pPr>
            <w:r>
              <w:rPr>
                <w:color w:val="1C3A36"/>
                <w:sz w:val="15"/>
              </w:rPr>
              <w:t>2023-06-30</w:t>
            </w:r>
          </w:p>
        </w:tc>
        <w:tc>
          <w:tcPr>
            <w:tcW w:type="dxa" w:w="5933"/>
          </w:tcPr>
          <w:p>
            <w:pPr>
              <w:spacing w:after="20"/>
            </w:pPr>
            <w:r>
              <w:rPr>
                <w:color w:val="1C3A36"/>
                <w:sz w:val="15"/>
              </w:rPr>
              <w:t>Reviewed condensed interim consolidated financial statements for the six months ended 30 June 2024, same line, comparative column</w:t>
            </w:r>
          </w:p>
        </w:tc>
      </w:tr>
      <w:tr>
        <w:tc>
          <w:tcPr>
            <w:tcW w:type="dxa" w:w="1656"/>
          </w:tcPr>
          <w:p>
            <w:pPr>
              <w:spacing w:after="20"/>
            </w:pPr>
            <w:r>
              <w:rPr>
                <w:color w:val="1C3A36"/>
                <w:sz w:val="15"/>
              </w:rPr>
              <w:t>lambda country</w:t>
            </w:r>
          </w:p>
        </w:tc>
        <w:tc>
          <w:tcPr>
            <w:tcW w:type="dxa" w:w="1368"/>
          </w:tcPr>
          <w:p>
            <w:pPr>
              <w:spacing w:after="20"/>
            </w:pPr>
            <w:r>
              <w:rPr>
                <w:color w:val="1C3A36"/>
                <w:sz w:val="15"/>
              </w:rPr>
              <w:t>0.5928</w:t>
            </w:r>
          </w:p>
        </w:tc>
        <w:tc>
          <w:tcPr>
            <w:tcW w:type="dxa" w:w="1123"/>
          </w:tcPr>
          <w:p>
            <w:pPr>
              <w:spacing w:after="20"/>
            </w:pPr>
            <w:r>
              <w:rPr>
                <w:color w:val="1C3A36"/>
                <w:sz w:val="15"/>
              </w:rPr>
              <w:t>2026-03-15</w:t>
            </w:r>
          </w:p>
        </w:tc>
        <w:tc>
          <w:tcPr>
            <w:tcW w:type="dxa" w:w="5933"/>
          </w:tcPr>
          <w:p>
            <w:pPr>
              <w:spacing w:after="20"/>
            </w:pPr>
            <w:r>
              <w:rPr>
                <w:color w:val="1C3A36"/>
                <w:sz w:val="15"/>
              </w:rPr>
              <w:t>Damodaran's lambda: the share of operations exposed to the HOME sovereign, taken from the audited Note 5-2 geographic disaggregation — revenue outside Egypt 114,461.030219 / 281,049.081719 = 40.72%, so 59.28% sits in Egypt. A typical Egyptian listed company earns essentially all of its revenue at home, so the ratio Damodaran defines collapses to the domestic share itself. NOT the 30/70 the retired operations-weighted premium used: that number came from company commentary ('over 70% of revenues generated abroad'), the audited note says 40.72%, and a study may not hold two answers to one question</w:t>
            </w:r>
          </w:p>
        </w:tc>
      </w:tr>
      <w:tr>
        <w:tc>
          <w:tcPr>
            <w:tcW w:type="dxa" w:w="1656"/>
          </w:tcPr>
          <w:p>
            <w:pPr>
              <w:spacing w:after="20"/>
            </w:pPr>
            <w:r>
              <w:rPr>
                <w:color w:val="1C3A36"/>
                <w:sz w:val="15"/>
              </w:rPr>
              <w:t>kd egp note</w:t>
            </w:r>
          </w:p>
        </w:tc>
        <w:tc>
          <w:tcPr>
            <w:tcW w:type="dxa" w:w="1368"/>
          </w:tcPr>
          <w:p>
            <w:pPr>
              <w:spacing w:after="20"/>
            </w:pPr>
            <w:r>
              <w:rPr>
                <w:color w:val="1C3A36"/>
                <w:sz w:val="15"/>
              </w:rPr>
              <w:t>0.213</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Egyptian-pound financial liabilities, audited FY2025 Note 32 (loans and borrowings) and Note 43-3-2 (interest-rate risk) — both give 21.30%/21.3%. DOWN from 28.68% at FY2024-end and further to 20.32% at Q1-2026</w:t>
            </w:r>
          </w:p>
        </w:tc>
      </w:tr>
      <w:tr>
        <w:tc>
          <w:tcPr>
            <w:tcW w:type="dxa" w:w="1656"/>
          </w:tcPr>
          <w:p>
            <w:pPr>
              <w:spacing w:after="20"/>
            </w:pPr>
            <w:r>
              <w:rPr>
                <w:color w:val="1C3A36"/>
                <w:sz w:val="15"/>
              </w:rPr>
              <w:t>kd fy24 egp</w:t>
            </w:r>
          </w:p>
        </w:tc>
        <w:tc>
          <w:tcPr>
            <w:tcW w:type="dxa" w:w="1368"/>
          </w:tcPr>
          <w:p>
            <w:pPr>
              <w:spacing w:after="20"/>
            </w:pPr>
            <w:r>
              <w:rPr>
                <w:color w:val="1C3A36"/>
                <w:sz w:val="15"/>
              </w:rPr>
              <w:t>0.2868</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average interest rate on EGYPTIAN POUND financial liabilities, FY2024, under the three-way split the company published before FY2025</w:t>
            </w:r>
          </w:p>
        </w:tc>
      </w:tr>
      <w:tr>
        <w:tc>
          <w:tcPr>
            <w:tcW w:type="dxa" w:w="1656"/>
          </w:tcPr>
          <w:p>
            <w:pPr>
              <w:spacing w:after="20"/>
            </w:pPr>
            <w:r>
              <w:rPr>
                <w:color w:val="1C3A36"/>
                <w:sz w:val="15"/>
              </w:rPr>
              <w:t>kd fy24 usd</w:t>
            </w:r>
          </w:p>
        </w:tc>
        <w:tc>
          <w:tcPr>
            <w:tcW w:type="dxa" w:w="1368"/>
          </w:tcPr>
          <w:p>
            <w:pPr>
              <w:spacing w:after="20"/>
            </w:pPr>
            <w:r>
              <w:rPr>
                <w:color w:val="1C3A36"/>
                <w:sz w:val="15"/>
              </w:rPr>
              <w:t>0.0649</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US DOLLAR leg of the same superseded three-way split</w:t>
            </w:r>
          </w:p>
        </w:tc>
      </w:tr>
      <w:tr>
        <w:tc>
          <w:tcPr>
            <w:tcW w:type="dxa" w:w="1656"/>
          </w:tcPr>
          <w:p>
            <w:pPr>
              <w:spacing w:after="20"/>
            </w:pPr>
            <w:r>
              <w:rPr>
                <w:color w:val="1C3A36"/>
                <w:sz w:val="15"/>
              </w:rPr>
              <w:t>kd fy24 eur</w:t>
            </w:r>
          </w:p>
        </w:tc>
        <w:tc>
          <w:tcPr>
            <w:tcW w:type="dxa" w:w="1368"/>
          </w:tcPr>
          <w:p>
            <w:pPr>
              <w:spacing w:after="20"/>
            </w:pPr>
            <w:r>
              <w:rPr>
                <w:color w:val="1C3A36"/>
                <w:sz w:val="15"/>
              </w:rPr>
              <w:t>0.0392</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EURO leg of the same superseded three-way split</w:t>
            </w:r>
          </w:p>
        </w:tc>
      </w:tr>
      <w:tr>
        <w:tc>
          <w:tcPr>
            <w:tcW w:type="dxa" w:w="1656"/>
          </w:tcPr>
          <w:p>
            <w:pPr>
              <w:spacing w:after="20"/>
            </w:pPr>
            <w:r>
              <w:rPr>
                <w:color w:val="1C3A36"/>
                <w:sz w:val="15"/>
              </w:rPr>
              <w:t>kd hard note</w:t>
            </w:r>
          </w:p>
        </w:tc>
        <w:tc>
          <w:tcPr>
            <w:tcW w:type="dxa" w:w="1368"/>
          </w:tcPr>
          <w:p>
            <w:pPr>
              <w:spacing w:after="20"/>
            </w:pPr>
            <w:r>
              <w:rPr>
                <w:color w:val="1C3A36"/>
                <w:sz w:val="15"/>
              </w:rPr>
              <w:t>0.0529</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US-dollar and other foreign-currency financial liabilities, blended, audited FY2025 Note 32 and Note 43-3-2. The company simplified its disclosure from a three-way EGP/USD/EUR split (FY2024: 28.68% / 6.49% / 3.92%) to this two-way EGP/blended-foreign split from FY2025 onward; the model follows the company's own current convention rather than preserving a split it no longer publishes</w:t>
            </w:r>
          </w:p>
        </w:tc>
      </w:tr>
      <w:tr>
        <w:tc>
          <w:tcPr>
            <w:tcW w:type="dxa" w:w="1656"/>
          </w:tcPr>
          <w:p>
            <w:pPr>
              <w:spacing w:after="20"/>
            </w:pPr>
            <w:r>
              <w:rPr>
                <w:color w:val="1C3A36"/>
                <w:sz w:val="15"/>
              </w:rPr>
              <w:t>debt open fy25</w:t>
            </w:r>
          </w:p>
        </w:tc>
        <w:tc>
          <w:tcPr>
            <w:tcW w:type="dxa" w:w="1368"/>
          </w:tcPr>
          <w:p>
            <w:pPr>
              <w:spacing w:after="20"/>
            </w:pPr>
            <w:r>
              <w:rPr>
                <w:color w:val="1C3A36"/>
                <w:sz w:val="15"/>
              </w:rPr>
              <w:t>58,796.8</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1 January 2025, financing-liability movement reconciliation, audited FY2025 Note 32</w:t>
            </w:r>
          </w:p>
        </w:tc>
      </w:tr>
      <w:tr>
        <w:tc>
          <w:tcPr>
            <w:tcW w:type="dxa" w:w="1656"/>
          </w:tcPr>
          <w:p>
            <w:pPr>
              <w:spacing w:after="20"/>
            </w:pPr>
            <w:r>
              <w:rPr>
                <w:color w:val="1C3A36"/>
                <w:sz w:val="15"/>
              </w:rPr>
              <w:t>debt close fy25</w:t>
            </w:r>
          </w:p>
        </w:tc>
        <w:tc>
          <w:tcPr>
            <w:tcW w:type="dxa" w:w="1368"/>
          </w:tcPr>
          <w:p>
            <w:pPr>
              <w:spacing w:after="20"/>
            </w:pPr>
            <w:r>
              <w:rPr>
                <w:color w:val="1C3A36"/>
                <w:sz w:val="15"/>
              </w:rPr>
              <w:t>62,462.1</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31 December 2025, financing-liability movement reconciliation, audited FY2025 Note 32</w:t>
            </w:r>
          </w:p>
        </w:tc>
      </w:tr>
      <w:tr>
        <w:tc>
          <w:tcPr>
            <w:tcW w:type="dxa" w:w="1656"/>
          </w:tcPr>
          <w:p>
            <w:pPr>
              <w:spacing w:after="20"/>
            </w:pPr>
            <w:r>
              <w:rPr>
                <w:color w:val="1C3A36"/>
                <w:sz w:val="15"/>
              </w:rPr>
              <w:t>int exp fy25</w:t>
            </w:r>
          </w:p>
        </w:tc>
        <w:tc>
          <w:tcPr>
            <w:tcW w:type="dxa" w:w="1368"/>
          </w:tcPr>
          <w:p>
            <w:pPr>
              <w:spacing w:after="20"/>
            </w:pPr>
            <w:r>
              <w:rPr>
                <w:color w:val="1C3A36"/>
                <w:sz w:val="15"/>
              </w:rPr>
              <w:t>5,966.7</w:t>
            </w:r>
          </w:p>
        </w:tc>
        <w:tc>
          <w:tcPr>
            <w:tcW w:type="dxa" w:w="1123"/>
          </w:tcPr>
          <w:p>
            <w:pPr>
              <w:spacing w:after="20"/>
            </w:pPr>
            <w:r>
              <w:rPr>
                <w:color w:val="1C3A36"/>
                <w:sz w:val="15"/>
              </w:rPr>
              <w:t>2026-03-15</w:t>
            </w:r>
          </w:p>
        </w:tc>
        <w:tc>
          <w:tcPr>
            <w:tcW w:type="dxa" w:w="5933"/>
          </w:tcPr>
          <w:p>
            <w:pPr>
              <w:spacing w:after="20"/>
            </w:pPr>
            <w:r>
              <w:rPr>
                <w:color w:val="1C3A36"/>
                <w:sz w:val="15"/>
              </w:rPr>
              <w:t>Interest expense on loans and credit facilities, audited FY2025 Note 32 financing-liability movement reconciliation (excludes 118.129606 of lease interest, carried separately)</w:t>
            </w:r>
          </w:p>
        </w:tc>
      </w:tr>
      <w:tr>
        <w:tc>
          <w:tcPr>
            <w:tcW w:type="dxa" w:w="1656"/>
          </w:tcPr>
          <w:p>
            <w:pPr>
              <w:spacing w:after="20"/>
            </w:pPr>
            <w:r>
              <w:rPr>
                <w:color w:val="1C3A36"/>
                <w:sz w:val="15"/>
              </w:rPr>
              <w:t>debt q1 26</w:t>
            </w:r>
          </w:p>
        </w:tc>
        <w:tc>
          <w:tcPr>
            <w:tcW w:type="dxa" w:w="1368"/>
          </w:tcPr>
          <w:p>
            <w:pPr>
              <w:spacing w:after="20"/>
            </w:pPr>
            <w:r>
              <w:rPr>
                <w:color w:val="1C3A36"/>
                <w:sz w:val="15"/>
              </w:rPr>
              <w:t>89,039.3</w:t>
            </w:r>
          </w:p>
        </w:tc>
        <w:tc>
          <w:tcPr>
            <w:tcW w:type="dxa" w:w="1123"/>
          </w:tcPr>
          <w:p>
            <w:pPr>
              <w:spacing w:after="20"/>
            </w:pPr>
            <w:r>
              <w:rPr>
                <w:color w:val="1C3A36"/>
                <w:sz w:val="15"/>
              </w:rPr>
              <w:t>2026-05-13</w:t>
            </w:r>
          </w:p>
        </w:tc>
        <w:tc>
          <w:tcPr>
            <w:tcW w:type="dxa" w:w="5933"/>
          </w:tcPr>
          <w:p>
            <w:pPr>
              <w:spacing w:after="20"/>
            </w:pPr>
            <w:r>
              <w:rPr>
                <w:color w:val="1C3A36"/>
                <w:sz w:val="15"/>
              </w:rPr>
              <w:t>Loans and credit facilities (excluding lease liabilities) at 31 March 2026: current 79,171.258437 (loans 39,231.844718 + bank facilities 39,939.413719) + non-current 9,825.097463 (loans only, excluding the 507.330701 of lease liabilities), per the Q1-2026 interim Note 31</w:t>
            </w:r>
          </w:p>
        </w:tc>
      </w:tr>
      <w:tr>
        <w:tc>
          <w:tcPr>
            <w:tcW w:type="dxa" w:w="1656"/>
          </w:tcPr>
          <w:p>
            <w:pPr>
              <w:spacing w:after="20"/>
            </w:pPr>
            <w:r>
              <w:rPr>
                <w:color w:val="1C3A36"/>
                <w:sz w:val="15"/>
              </w:rPr>
              <w:t>ppe gross depreciable fy25</w:t>
            </w:r>
          </w:p>
        </w:tc>
        <w:tc>
          <w:tcPr>
            <w:tcW w:type="dxa" w:w="1368"/>
          </w:tcPr>
          <w:p>
            <w:pPr>
              <w:spacing w:after="20"/>
            </w:pPr>
            <w:r>
              <w:rPr>
                <w:color w:val="1C3A36"/>
                <w:sz w:val="15"/>
              </w:rPr>
              <w:t>50,776.0</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17: gross cost at 31-Dec-2025 of the DEPRECIABLE property, plant and equipment — buildings and constructions 13,357.135195 + machinery and equipment 32,960.824267 + furniture and fixtures 2,464.375061 + vehicles 1,630.540975 + leasehold improvements 363.075076. EXCLUDES land (2,312.648624), which the note states is not depreciated, and projects under construction (8,915.910071), which are not yet in use. The note foots three ways: components to the 53,088.599198 subtotal, subtotal plus projects to the 62,004.509269 total, and the component charges to the 2,733.671862 total charge</w:t>
            </w:r>
          </w:p>
        </w:tc>
      </w:tr>
      <w:tr>
        <w:tc>
          <w:tcPr>
            <w:tcW w:type="dxa" w:w="1656"/>
          </w:tcPr>
          <w:p>
            <w:pPr>
              <w:spacing w:after="20"/>
            </w:pPr>
            <w:r>
              <w:rPr>
                <w:color w:val="1C3A36"/>
                <w:sz w:val="15"/>
              </w:rPr>
              <w:t>asset life source</w:t>
            </w:r>
          </w:p>
        </w:tc>
        <w:tc>
          <w:tcPr>
            <w:tcW w:type="dxa" w:w="1368"/>
          </w:tcPr>
          <w:p>
            <w:pPr>
              <w:spacing w:after="20"/>
            </w:pPr>
            <w:r>
              <w:rPr>
                <w:color w:val="1C3A36"/>
                <w:sz w:val="15"/>
              </w:rPr>
              <w:t>Audited FY2025 consolidated financial statements of El Sewedy Electric Company, note 17 (property, plant and equipment) read with the accounting-policies note on depreciation: average depreciable gross cost over the year's own charge, excluding land, which the policy note states is not depreciated, and projects under construction, which are not in use.</w:t>
            </w:r>
          </w:p>
        </w:tc>
        <w:tc>
          <w:tcPr>
            <w:tcW w:type="dxa" w:w="1123"/>
          </w:tcPr>
          <w:p>
            <w:pPr>
              <w:spacing w:after="20"/>
            </w:pPr>
            <w:r>
              <w:rPr>
                <w:color w:val="1C3A36"/>
                <w:sz w:val="15"/>
              </w:rPr>
              <w:t>2026-03-01</w:t>
            </w:r>
          </w:p>
        </w:tc>
        <w:tc>
          <w:tcPr>
            <w:tcW w:type="dxa" w:w="5933"/>
          </w:tcPr>
          <w:p>
            <w:pPr>
              <w:spacing w:after="20"/>
            </w:pPr>
            <w:r>
              <w:rPr>
                <w:color w:val="1C3A36"/>
                <w:sz w:val="15"/>
              </w:rPr>
              <w:t>The source string the terminal module requires. It refuses a life with no disclosure behind it</w:t>
            </w:r>
          </w:p>
        </w:tc>
      </w:tr>
      <w:tr>
        <w:tc>
          <w:tcPr>
            <w:tcW w:type="dxa" w:w="1656"/>
          </w:tcPr>
          <w:p>
            <w:pPr>
              <w:spacing w:after="20"/>
            </w:pPr>
            <w:r>
              <w:rPr>
                <w:color w:val="1C3A36"/>
                <w:sz w:val="15"/>
              </w:rPr>
              <w:t>ownership</w:t>
            </w:r>
          </w:p>
        </w:tc>
        <w:tc>
          <w:tcPr>
            <w:tcW w:type="dxa" w:w="1368"/>
          </w:tcPr>
          <w:p>
            <w:pPr>
              <w:spacing w:after="20"/>
            </w:pPr>
            <w:r>
              <w:rPr>
                <w:color w:val="1C3A36"/>
                <w:sz w:val="15"/>
              </w:rPr>
              <w:t>family: 0.6799; electra: 0.1887; other: 0.1307; esop: 0.0007</w:t>
            </w:r>
          </w:p>
        </w:tc>
        <w:tc>
          <w:tcPr>
            <w:tcW w:type="dxa" w:w="1123"/>
          </w:tcPr>
          <w:p>
            <w:pPr>
              <w:spacing w:after="20"/>
            </w:pPr>
            <w:r>
              <w:rPr>
                <w:color w:val="1C3A36"/>
                <w:sz w:val="15"/>
              </w:rPr>
              <w:t>2026-03-15</w:t>
            </w:r>
          </w:p>
        </w:tc>
        <w:tc>
          <w:tcPr>
            <w:tcW w:type="dxa" w:w="5933"/>
          </w:tcPr>
          <w:p>
            <w:pPr>
              <w:spacing w:after="20"/>
            </w:pPr>
            <w:r>
              <w:rPr>
                <w:color w:val="1C3A36"/>
                <w:sz w:val="15"/>
              </w:rPr>
              <w:t>EXACT capital restructuring table, Note 29, audited FY2025 financial statements, as at 31 December 2025: Sadek Ahmed Sadek Elsewedy 24.99% (534,980,391 shares), Ahmed Ahmed Sadek Elsewedy 24.99% (534,980,391), Mohamed Ahmed Sadek Elsewedy 18.01% (385,602,690) — family combined 67.99%; Electra Investment Holding Restricted Limited 18.87% (403,997,835); other shareholders 13.07% (279,794,409); ESOP shares issued not granted 0.07% (1,422,160). REPLACES a previous house estimate (family ~68.0%, Electra ~20.4%, float ~11.6%) with the company's own disclosed table. Electra's stake FELL over 2025 — the FY2024 table (same note, prior year) shows Electra at 20.37% (436,109,503 shares) and other shareholders at 11.57% (247,682,741): Electra placed exactly 32,111,668 shares into the free float during the year</w:t>
            </w:r>
          </w:p>
        </w:tc>
      </w:tr>
      <w:tr>
        <w:tc>
          <w:tcPr>
            <w:tcW w:type="dxa" w:w="1656"/>
          </w:tcPr>
          <w:p>
            <w:pPr>
              <w:spacing w:after="20"/>
            </w:pPr>
            <w:r>
              <w:rPr>
                <w:color w:val="1C3A36"/>
                <w:sz w:val="15"/>
              </w:rPr>
              <w:t>sh sadek</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(shareholders' structure) as at 31 December 2025: Sadek Ahmed Sadek Elsewedy, 534,980,391 shares</w:t>
            </w:r>
          </w:p>
        </w:tc>
      </w:tr>
      <w:tr>
        <w:tc>
          <w:tcPr>
            <w:tcW w:type="dxa" w:w="1656"/>
          </w:tcPr>
          <w:p>
            <w:pPr>
              <w:spacing w:after="20"/>
            </w:pPr>
            <w:r>
              <w:rPr>
                <w:color w:val="1C3A36"/>
                <w:sz w:val="15"/>
              </w:rPr>
              <w:t>sh ahmed</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Ahmed Ahmed Sadek Elsewedy, 534,980,391 shares</w:t>
            </w:r>
          </w:p>
        </w:tc>
      </w:tr>
      <w:tr>
        <w:tc>
          <w:tcPr>
            <w:tcW w:type="dxa" w:w="1656"/>
          </w:tcPr>
          <w:p>
            <w:pPr>
              <w:spacing w:after="20"/>
            </w:pPr>
            <w:r>
              <w:rPr>
                <w:color w:val="1C3A36"/>
                <w:sz w:val="15"/>
              </w:rPr>
              <w:t>sh mohamed</w:t>
            </w:r>
          </w:p>
        </w:tc>
        <w:tc>
          <w:tcPr>
            <w:tcW w:type="dxa" w:w="1368"/>
          </w:tcPr>
          <w:p>
            <w:pPr>
              <w:spacing w:after="20"/>
            </w:pPr>
            <w:r>
              <w:rPr>
                <w:color w:val="1C3A36"/>
                <w:sz w:val="15"/>
              </w:rPr>
              <w:t>0.1801</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Mohamed Ahmed Sadek Elsewedy, 385,602,690 shares</w:t>
            </w:r>
          </w:p>
        </w:tc>
      </w:tr>
      <w:tr>
        <w:tc>
          <w:tcPr>
            <w:tcW w:type="dxa" w:w="1656"/>
          </w:tcPr>
          <w:p>
            <w:pPr>
              <w:spacing w:after="20"/>
            </w:pPr>
            <w:r>
              <w:rPr>
                <w:color w:val="1C3A36"/>
                <w:sz w:val="15"/>
              </w:rPr>
              <w:t>sh electra fy24</w:t>
            </w:r>
          </w:p>
        </w:tc>
        <w:tc>
          <w:tcPr>
            <w:tcW w:type="dxa" w:w="1368"/>
          </w:tcPr>
          <w:p>
            <w:pPr>
              <w:spacing w:after="20"/>
            </w:pPr>
            <w:r>
              <w:rPr>
                <w:color w:val="1C3A36"/>
                <w:sz w:val="15"/>
              </w:rPr>
              <w:t>0.2037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Electra Investment Holding, 436,109,503 shares at 31 December 2024</w:t>
            </w:r>
          </w:p>
        </w:tc>
      </w:tr>
      <w:tr>
        <w:tc>
          <w:tcPr>
            <w:tcW w:type="dxa" w:w="1656"/>
          </w:tcPr>
          <w:p>
            <w:pPr>
              <w:spacing w:after="20"/>
            </w:pPr>
            <w:r>
              <w:rPr>
                <w:color w:val="1C3A36"/>
                <w:sz w:val="15"/>
              </w:rPr>
              <w:t>sh other fy24</w:t>
            </w:r>
          </w:p>
        </w:tc>
        <w:tc>
          <w:tcPr>
            <w:tcW w:type="dxa" w:w="1368"/>
          </w:tcPr>
          <w:p>
            <w:pPr>
              <w:spacing w:after="20"/>
            </w:pPr>
            <w:r>
              <w:rPr>
                <w:color w:val="1C3A36"/>
                <w:sz w:val="15"/>
              </w:rPr>
              <w:t>0.1157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other shareholders, 247,682,741 shares at 31 December 2024</w:t>
            </w:r>
          </w:p>
        </w:tc>
      </w:tr>
      <w:tr>
        <w:tc>
          <w:tcPr>
            <w:tcW w:type="dxa" w:w="1656"/>
          </w:tcPr>
          <w:p>
            <w:pPr>
              <w:spacing w:after="20"/>
            </w:pPr>
            <w:r>
              <w:rPr>
                <w:color w:val="1C3A36"/>
                <w:sz w:val="15"/>
              </w:rPr>
              <w:t>stake insulators</w:t>
            </w:r>
          </w:p>
        </w:tc>
        <w:tc>
          <w:tcPr>
            <w:tcW w:type="dxa" w:w="1368"/>
          </w:tcPr>
          <w:p>
            <w:pPr>
              <w:spacing w:after="20"/>
            </w:pPr>
            <w:r>
              <w:rPr>
                <w:color w:val="1C3A36"/>
                <w:sz w:val="15"/>
              </w:rPr>
              <w:t>0.2517</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20 (equity-accounted investees): Egyptian Company for Electrical Insulators, carrying value EGP 76.1mn</w:t>
            </w:r>
          </w:p>
        </w:tc>
      </w:tr>
      <w:tr>
        <w:tc>
          <w:tcPr>
            <w:tcW w:type="dxa" w:w="1656"/>
          </w:tcPr>
          <w:p>
            <w:pPr>
              <w:spacing w:after="20"/>
            </w:pPr>
            <w:r>
              <w:rPr>
                <w:color w:val="1C3A36"/>
                <w:sz w:val="15"/>
              </w:rPr>
              <w:t>etr q1 26</w:t>
            </w:r>
          </w:p>
        </w:tc>
        <w:tc>
          <w:tcPr>
            <w:tcW w:type="dxa" w:w="1368"/>
          </w:tcPr>
          <w:p>
            <w:pPr>
              <w:spacing w:after="20"/>
            </w:pPr>
            <w:r>
              <w:rPr>
                <w:color w:val="1C3A36"/>
                <w:sz w:val="15"/>
              </w:rPr>
              <w:t>0.2575</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at ir.elsewedyelectric.com, income tax expense over profit before tax of 7,041.966803</w:t>
            </w:r>
          </w:p>
        </w:tc>
      </w:tr>
      <w:tr>
        <w:tc>
          <w:tcPr>
            <w:tcW w:type="dxa" w:w="1656"/>
          </w:tcPr>
          <w:p>
            <w:pPr>
              <w:spacing w:after="20"/>
            </w:pPr>
            <w:r>
              <w:rPr>
                <w:color w:val="1C3A36"/>
                <w:sz w:val="15"/>
              </w:rPr>
              <w:t>etr q1 25</w:t>
            </w:r>
          </w:p>
        </w:tc>
        <w:tc>
          <w:tcPr>
            <w:tcW w:type="dxa" w:w="1368"/>
          </w:tcPr>
          <w:p>
            <w:pPr>
              <w:spacing w:after="20"/>
            </w:pPr>
            <w:r>
              <w:rPr>
                <w:color w:val="1C3A36"/>
                <w:sz w:val="15"/>
              </w:rPr>
              <w:t>0.2196</w:t>
            </w:r>
          </w:p>
        </w:tc>
        <w:tc>
          <w:tcPr>
            <w:tcW w:type="dxa" w:w="1123"/>
          </w:tcPr>
          <w:p>
            <w:pPr>
              <w:spacing w:after="20"/>
            </w:pPr>
            <w:r>
              <w:rPr>
                <w:color w:val="1C3A36"/>
                <w:sz w:val="15"/>
              </w:rPr>
              <w:t>2026-05-01</w:t>
            </w:r>
          </w:p>
        </w:tc>
        <w:tc>
          <w:tcPr>
            <w:tcW w:type="dxa" w:w="5933"/>
          </w:tcPr>
          <w:p>
            <w:pPr>
              <w:spacing w:after="20"/>
            </w:pPr>
            <w:r>
              <w:rPr>
                <w:color w:val="1C3A36"/>
                <w:sz w:val="15"/>
              </w:rPr>
              <w:t>Q1-2025 reviewed interim consolidated statements, the comparative column of the Q1-2026 filing: income tax expense over profit before tax</w:t>
            </w:r>
          </w:p>
        </w:tc>
      </w:tr>
      <w:tr>
        <w:tc>
          <w:tcPr>
            <w:tcW w:type="dxa" w:w="1656"/>
          </w:tcPr>
          <w:p>
            <w:pPr>
              <w:spacing w:after="20"/>
            </w:pPr>
            <w:r>
              <w:rPr>
                <w:color w:val="1C3A36"/>
                <w:sz w:val="15"/>
              </w:rPr>
              <w:t>etr h1 25</w:t>
            </w:r>
          </w:p>
        </w:tc>
        <w:tc>
          <w:tcPr>
            <w:tcW w:type="dxa" w:w="1368"/>
          </w:tcPr>
          <w:p>
            <w:pPr>
              <w:spacing w:after="20"/>
            </w:pPr>
            <w:r>
              <w:rPr>
                <w:color w:val="1C3A36"/>
                <w:sz w:val="15"/>
              </w:rPr>
              <w:t>0.3085</w:t>
            </w:r>
          </w:p>
        </w:tc>
        <w:tc>
          <w:tcPr>
            <w:tcW w:type="dxa" w:w="1123"/>
          </w:tcPr>
          <w:p>
            <w:pPr>
              <w:spacing w:after="20"/>
            </w:pPr>
            <w:r>
              <w:rPr>
                <w:color w:val="1C3A36"/>
                <w:sz w:val="15"/>
              </w:rPr>
              <w:t>2026-08-01</w:t>
            </w:r>
          </w:p>
        </w:tc>
        <w:tc>
          <w:tcPr>
            <w:tcW w:type="dxa" w:w="5933"/>
          </w:tcPr>
          <w:p>
            <w:pPr>
              <w:spacing w:after="20"/>
            </w:pPr>
            <w:r>
              <w:rPr>
                <w:color w:val="1C3A36"/>
                <w:sz w:val="15"/>
              </w:rPr>
              <w:t>H1-2025 reviewed interim consolidated statements, the comparative column of the H1-2026 filing: income tax expense over profit before tax of 15,395.270255</w:t>
            </w:r>
          </w:p>
        </w:tc>
      </w:tr>
      <w:tr>
        <w:tc>
          <w:tcPr>
            <w:tcW w:type="dxa" w:w="1656"/>
          </w:tcPr>
          <w:p>
            <w:pPr>
              <w:spacing w:after="20"/>
            </w:pPr>
            <w:r>
              <w:rPr>
                <w:color w:val="1C3A36"/>
                <w:sz w:val="15"/>
              </w:rPr>
              <w:t>nci share h1 26 profit</w:t>
            </w:r>
          </w:p>
        </w:tc>
        <w:tc>
          <w:tcPr>
            <w:tcW w:type="dxa" w:w="1368"/>
          </w:tcPr>
          <w:p>
            <w:pPr>
              <w:spacing w:after="20"/>
            </w:pPr>
            <w:r>
              <w:rPr>
                <w:color w:val="1C3A36"/>
                <w:sz w:val="15"/>
              </w:rPr>
              <w:t>0.0681</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over total profit after tax for the half</w:t>
            </w:r>
          </w:p>
        </w:tc>
      </w:tr>
      <w:tr>
        <w:tc>
          <w:tcPr>
            <w:tcW w:type="dxa" w:w="1656"/>
          </w:tcPr>
          <w:p>
            <w:pPr>
              <w:spacing w:after="20"/>
            </w:pPr>
            <w:r>
              <w:rPr>
                <w:color w:val="1C3A36"/>
                <w:sz w:val="15"/>
              </w:rPr>
              <w:t>nci share h1 26 equity</w:t>
            </w:r>
          </w:p>
        </w:tc>
        <w:tc>
          <w:tcPr>
            <w:tcW w:type="dxa" w:w="1368"/>
          </w:tcPr>
          <w:p>
            <w:pPr>
              <w:spacing w:after="20"/>
            </w:pPr>
            <w:r>
              <w:rPr>
                <w:color w:val="1C3A36"/>
                <w:sz w:val="15"/>
              </w:rPr>
              <w:t>0.0747</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over total equity of 76,024.598402</w:t>
            </w:r>
          </w:p>
        </w:tc>
      </w:tr>
      <w:tr>
        <w:tc>
          <w:tcPr>
            <w:tcW w:type="dxa" w:w="1656"/>
          </w:tcPr>
          <w:p>
            <w:pPr>
              <w:spacing w:after="20"/>
            </w:pPr>
            <w:r>
              <w:rPr>
                <w:color w:val="1C3A36"/>
                <w:sz w:val="15"/>
              </w:rPr>
              <w:t>emp share h1 25</w:t>
            </w:r>
          </w:p>
        </w:tc>
        <w:tc>
          <w:tcPr>
            <w:tcW w:type="dxa" w:w="1368"/>
          </w:tcPr>
          <w:p>
            <w:pPr>
              <w:spacing w:after="20"/>
            </w:pPr>
            <w:r>
              <w:rPr>
                <w:color w:val="1C3A36"/>
                <w:sz w:val="15"/>
              </w:rPr>
              <w:t>0.1271</w:t>
            </w:r>
          </w:p>
        </w:tc>
        <w:tc>
          <w:tcPr>
            <w:tcW w:type="dxa" w:w="1123"/>
          </w:tcPr>
          <w:p>
            <w:pPr>
              <w:spacing w:after="20"/>
            </w:pPr>
            <w:r>
              <w:rPr>
                <w:color w:val="1C3A36"/>
                <w:sz w:val="15"/>
              </w:rPr>
              <w:t>2026-08-01</w:t>
            </w:r>
          </w:p>
        </w:tc>
        <w:tc>
          <w:tcPr>
            <w:tcW w:type="dxa" w:w="5933"/>
          </w:tcPr>
          <w:p>
            <w:pPr>
              <w:spacing w:after="20"/>
            </w:pPr>
            <w:r>
              <w:rPr>
                <w:color w:val="1C3A36"/>
                <w:sz w:val="15"/>
              </w:rPr>
              <w:t>H1-2025 comparative column of the H1-2026 reviewed statements, note 38: employees' share in profit 1,104.834367 over profit attributable to owners of 8,694.611825</w:t>
            </w:r>
          </w:p>
        </w:tc>
      </w:tr>
      <w:tr>
        <w:tc>
          <w:tcPr>
            <w:tcW w:type="dxa" w:w="1656"/>
          </w:tcPr>
          <w:p>
            <w:pPr>
              <w:spacing w:after="20"/>
            </w:pPr>
            <w:r>
              <w:rPr>
                <w:color w:val="1C3A36"/>
                <w:sz w:val="15"/>
              </w:rPr>
              <w:t>export share fy25</w:t>
            </w:r>
          </w:p>
        </w:tc>
        <w:tc>
          <w:tcPr>
            <w:tcW w:type="dxa" w:w="1368"/>
          </w:tcPr>
          <w:p>
            <w:pPr>
              <w:spacing w:after="20"/>
            </w:pPr>
            <w:r>
              <w:rPr>
                <w:color w:val="1C3A36"/>
                <w:sz w:val="15"/>
              </w:rPr>
              <w:t>0.4072</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5 (geographic disaggregation): revenue outside Egypt 114,461.030219 over total revenue 281,049.081719</w:t>
            </w:r>
          </w:p>
        </w:tc>
      </w:tr>
      <w:tr>
        <w:tc>
          <w:tcPr>
            <w:tcW w:type="dxa" w:w="1656"/>
          </w:tcPr>
          <w:p>
            <w:pPr>
              <w:spacing w:after="20"/>
            </w:pPr>
            <w:r>
              <w:rPr>
                <w:color w:val="1C3A36"/>
                <w:sz w:val="15"/>
              </w:rPr>
              <w:t>kd egp fy24</w:t>
            </w:r>
          </w:p>
        </w:tc>
        <w:tc>
          <w:tcPr>
            <w:tcW w:type="dxa" w:w="1368"/>
          </w:tcPr>
          <w:p>
            <w:pPr>
              <w:spacing w:after="20"/>
            </w:pPr>
            <w:r>
              <w:rPr>
                <w:color w:val="1C3A36"/>
                <w:sz w:val="15"/>
              </w:rPr>
              <w:t>0.2868</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32 read with note 44-2: the disclosed weighted average interest rate on Egyptian-pound borrowings at 31 December 2024</w:t>
            </w:r>
          </w:p>
        </w:tc>
      </w:tr>
      <w:tr>
        <w:tc>
          <w:tcPr>
            <w:tcW w:type="dxa" w:w="1656"/>
          </w:tcPr>
          <w:p>
            <w:pPr>
              <w:spacing w:after="20"/>
            </w:pPr>
            <w:r>
              <w:rPr>
                <w:color w:val="1C3A36"/>
                <w:sz w:val="15"/>
              </w:rPr>
              <w:t>kd egp q1 26</w:t>
            </w:r>
          </w:p>
        </w:tc>
        <w:tc>
          <w:tcPr>
            <w:tcW w:type="dxa" w:w="1368"/>
          </w:tcPr>
          <w:p>
            <w:pPr>
              <w:spacing w:after="20"/>
            </w:pPr>
            <w:r>
              <w:rPr>
                <w:color w:val="1C3A36"/>
                <w:sz w:val="15"/>
              </w:rPr>
              <w:t>0.2032</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the disclosed weighted average interest rate on Egyptian-pound borrowings</w:t>
            </w:r>
          </w:p>
        </w:tc>
      </w:tr>
      <w:tr>
        <w:tc>
          <w:tcPr>
            <w:tcW w:type="dxa" w:w="1656"/>
          </w:tcPr>
          <w:p>
            <w:pPr>
              <w:spacing w:after="20"/>
            </w:pPr>
            <w:r>
              <w:rPr>
                <w:color w:val="1C3A36"/>
                <w:sz w:val="15"/>
              </w:rPr>
              <w:t>kd hard q1 26</w:t>
            </w:r>
          </w:p>
        </w:tc>
        <w:tc>
          <w:tcPr>
            <w:tcW w:type="dxa" w:w="1368"/>
          </w:tcPr>
          <w:p>
            <w:pPr>
              <w:spacing w:after="20"/>
            </w:pPr>
            <w:r>
              <w:rPr>
                <w:color w:val="1C3A36"/>
                <w:sz w:val="15"/>
              </w:rPr>
              <w:t>0.0528</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the disclosed weighted average interest rate on 'US dollars and foreign currencies' borrowings, the foreign leg of the same note that gives the Egyptian-pound rate above</w:t>
            </w:r>
          </w:p>
        </w:tc>
      </w:tr>
    </w:tbl>
    <w:p>
      <w:pPr>
        <w:spacing w:after="40"/>
      </w:pPr>
    </w:p>
    <w:p>
      <w:pPr>
        <w:spacing w:after="60" w:before="160"/>
      </w:pPr>
      <w:r>
        <w:rPr>
          <w:b/>
          <w:i w:val="0"/>
          <w:color w:val="1C3A36"/>
          <w:sz w:val="22"/>
        </w:rPr>
        <w:t>Country layer — 11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123"/>
          </w:tcPr>
          <w:p>
            <w:pPr>
              <w:spacing w:after="20"/>
            </w:pPr>
            <w:r>
              <w:rPr>
                <w:color w:val="1C3A36"/>
                <w:sz w:val="15"/>
              </w:rPr>
              <w:t>2026</w:t>
            </w:r>
          </w:p>
        </w:tc>
        <w:tc>
          <w:tcPr>
            <w:tcW w:type="dxa" w:w="5933"/>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123"/>
          </w:tcPr>
          <w:p>
            <w:pPr>
              <w:spacing w:after="20"/>
            </w:pPr>
            <w:r>
              <w:rPr>
                <w:color w:val="1C3A36"/>
                <w:sz w:val="15"/>
              </w:rPr>
              <w:t>2026-08-05</w:t>
            </w:r>
          </w:p>
        </w:tc>
        <w:tc>
          <w:tcPr>
            <w:tcW w:type="dxa" w:w="5933"/>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rf external span</w:t>
            </w:r>
          </w:p>
        </w:tc>
        <w:tc>
          <w:tcPr>
            <w:tcW w:type="dxa" w:w="1368"/>
          </w:tcPr>
          <w:p>
            <w:pPr>
              <w:spacing w:after="20"/>
            </w:pPr>
            <w:r>
              <w:rPr>
                <w:color w:val="1C3A36"/>
                <w:sz w:val="15"/>
              </w:rPr>
              <w:t>0.223, 0.23</w:t>
            </w:r>
          </w:p>
        </w:tc>
        <w:tc>
          <w:tcPr>
            <w:tcW w:type="dxa" w:w="1123"/>
          </w:tcPr>
          <w:p>
            <w:pPr>
              <w:spacing w:after="20"/>
            </w:pPr>
            <w:r>
              <w:rPr>
                <w:color w:val="1C3A36"/>
                <w:sz w:val="15"/>
              </w:rPr>
              <w:t>2026-08-05</w:t>
            </w:r>
          </w:p>
        </w:tc>
        <w:tc>
          <w:tcPr>
            <w:tcW w:type="dxa" w:w="5933"/>
          </w:tcPr>
          <w:p>
            <w:pPr>
              <w:spacing w:after="20"/>
            </w:pPr>
            <w:r>
              <w:rPr>
                <w:color w:val="1C3A36"/>
                <w:sz w:val="15"/>
              </w:rPr>
              <w:t>The span of external readings of Egypt's 10-year local-currency yield around the study's own reading. They disagree with each other, which is why the rate is carried in the sensitivity rather than presented as precise</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123"/>
          </w:tcPr>
          <w:p>
            <w:pPr>
              <w:spacing w:after="20"/>
            </w:pPr>
            <w:r>
              <w:rPr>
                <w:color w:val="1C3A36"/>
                <w:sz w:val="15"/>
              </w:rPr>
              <w:t>2026-07-21</w:t>
            </w:r>
          </w:p>
        </w:tc>
        <w:tc>
          <w:tcPr>
            <w:tcW w:type="dxa" w:w="5933"/>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123"/>
          </w:tcPr>
          <w:p>
            <w:pPr>
              <w:spacing w:after="20"/>
            </w:pPr>
            <w:r>
              <w:rPr>
                <w:color w:val="1C3A36"/>
                <w:sz w:val="15"/>
              </w:rPr>
              <w:t>2026-01-05</w:t>
            </w:r>
          </w:p>
        </w:tc>
        <w:tc>
          <w:tcPr>
            <w:tcW w:type="dxa" w:w="5933"/>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123"/>
          </w:tcPr>
          <w:p>
            <w:pPr>
              <w:spacing w:after="20"/>
            </w:pPr>
            <w:r>
              <w:rPr>
                <w:color w:val="1C3A36"/>
                <w:sz w:val="15"/>
              </w:rPr>
              <w:t>2026-01-05</w:t>
            </w:r>
          </w:p>
        </w:tc>
        <w:tc>
          <w:tcPr>
            <w:tcW w:type="dxa" w:w="5933"/>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rating basis, January-2026 — the alternative</w:t>
            </w:r>
          </w:p>
        </w:tc>
      </w:tr>
      <w:tr>
        <w:tc>
          <w:tcPr>
            <w:tcW w:type="dxa" w:w="1656"/>
          </w:tcPr>
          <w:p>
            <w:pPr>
              <w:spacing w:after="20"/>
            </w:pPr>
            <w:r>
              <w:rPr>
                <w:color w:val="1C3A36"/>
                <w:sz w:val="15"/>
              </w:rPr>
              <w:t>crp foreign</w:t>
            </w:r>
          </w:p>
        </w:tc>
        <w:tc>
          <w:tcPr>
            <w:tcW w:type="dxa" w:w="1368"/>
          </w:tcPr>
          <w:p>
            <w:pPr>
              <w:spacing w:after="20"/>
            </w:pPr>
            <w:r>
              <w:rPr>
                <w:color w:val="1C3A36"/>
                <w:sz w:val="15"/>
              </w:rPr>
              <w:t>0.0226</w:t>
            </w:r>
          </w:p>
        </w:tc>
        <w:tc>
          <w:tcPr>
            <w:tcW w:type="dxa" w:w="1123"/>
          </w:tcPr>
          <w:p>
            <w:pPr>
              <w:spacing w:after="20"/>
            </w:pPr>
            <w:r>
              <w:rPr>
                <w:color w:val="1C3A36"/>
                <w:sz w:val="15"/>
              </w:rPr>
              <w:t>2026-01-05</w:t>
            </w:r>
          </w:p>
        </w:tc>
        <w:tc>
          <w:tcPr>
            <w:tcW w:type="dxa" w:w="5933"/>
          </w:tcPr>
          <w:p>
            <w:pPr>
              <w:spacing w:after="20"/>
            </w:pPr>
            <w:r>
              <w:rPr>
                <w:color w:val="1C3A36"/>
                <w:sz w:val="15"/>
              </w:rPr>
              <w:t>The country premium carried by the 40.72% of revenue earned OUTSIDE Egypt. DERIVED, not typed: the blended emerging/frontier equity premium of 6.50% already registered for those operations, less the mature-market premium of 4.24% derived from Egypt's own total (9.41% less a country premium of 3.40% CDS spread x Damodaran's 1.52 equity-to-bond scaling). It is NOT zero: Zambia, Tanzania, Ghana, Nigeria, Saudi Arabia and Greece are not mature markets, and taking the lambda relief without this offset would be the flattering half of the argument</w:t>
            </w:r>
          </w:p>
        </w:tc>
      </w:tr>
      <w:tr>
        <w:tc>
          <w:tcPr>
            <w:tcW w:type="dxa" w:w="1656"/>
          </w:tcPr>
          <w:p>
            <w:pPr>
              <w:spacing w:after="20"/>
            </w:pPr>
            <w:r>
              <w:rPr>
                <w:color w:val="1C3A36"/>
                <w:sz w:val="15"/>
              </w:rPr>
              <w:t>pi term</w:t>
            </w:r>
          </w:p>
        </w:tc>
        <w:tc>
          <w:tcPr>
            <w:tcW w:type="dxa" w:w="1368"/>
          </w:tcPr>
          <w:p>
            <w:pPr>
              <w:spacing w:after="20"/>
            </w:pPr>
            <w:r>
              <w:rPr>
                <w:color w:val="1C3A36"/>
                <w:sz w:val="15"/>
              </w:rPr>
              <w:t>0.07</w:t>
            </w:r>
          </w:p>
        </w:tc>
        <w:tc>
          <w:tcPr>
            <w:tcW w:type="dxa" w:w="1123"/>
          </w:tcPr>
          <w:p>
            <w:pPr>
              <w:spacing w:after="20"/>
            </w:pPr>
            <w:r>
              <w:rPr>
                <w:color w:val="1C3A36"/>
                <w:sz w:val="15"/>
              </w:rPr>
              <w:t>2026-09-04</w:t>
            </w:r>
          </w:p>
        </w:tc>
        <w:tc>
          <w:tcPr>
            <w:tcW w:type="dxa" w:w="5933"/>
          </w:tcPr>
          <w:p>
            <w:pPr>
              <w:spacing w:after="20"/>
            </w:pPr>
            <w:r>
              <w:rPr>
                <w:color w:val="1C3A36"/>
                <w:sz w:val="15"/>
              </w:rPr>
              <w:t>Long-run Egyptian inflation, taken from this house's single dated macroeconomic path for Egypt rather than set inside this study — one path is used by every Egyptian company we cover, so two studies cannot value companies in economies that disagree with each other. It is registered here so that the terminal growth rate below is DERIVED from it rather than typed beside it</w:t>
            </w:r>
          </w:p>
        </w:tc>
      </w:tr>
      <w:tr>
        <w:tc>
          <w:tcPr>
            <w:tcW w:type="dxa" w:w="1656"/>
          </w:tcPr>
          <w:p>
            <w:pPr>
              <w:spacing w:after="20"/>
            </w:pPr>
            <w:r>
              <w:rPr>
                <w:color w:val="1C3A36"/>
                <w:sz w:val="15"/>
              </w:rPr>
              <w:t>usd rf</w:t>
            </w:r>
          </w:p>
        </w:tc>
        <w:tc>
          <w:tcPr>
            <w:tcW w:type="dxa" w:w="1368"/>
          </w:tcPr>
          <w:p>
            <w:pPr>
              <w:spacing w:after="20"/>
            </w:pPr>
            <w:r>
              <w:rPr>
                <w:color w:val="1C3A36"/>
                <w:sz w:val="15"/>
              </w:rPr>
              <w:t>0.043</w:t>
            </w:r>
          </w:p>
        </w:tc>
        <w:tc>
          <w:tcPr>
            <w:tcW w:type="dxa" w:w="1123"/>
          </w:tcPr>
          <w:p>
            <w:pPr>
              <w:spacing w:after="20"/>
            </w:pPr>
            <w:r>
              <w:rPr>
                <w:color w:val="1C3A36"/>
                <w:sz w:val="15"/>
              </w:rPr>
              <w:t>2026-08-05</w:t>
            </w:r>
          </w:p>
        </w:tc>
        <w:tc>
          <w:tcPr>
            <w:tcW w:type="dxa" w:w="5933"/>
          </w:tcPr>
          <w:p>
            <w:pPr>
              <w:spacing w:after="20"/>
            </w:pPr>
            <w:r>
              <w:rPr>
                <w:color w:val="1C3A36"/>
                <w:sz w:val="15"/>
              </w:rPr>
              <w:t>US dollar risk-free rate for the currency-of-discounting alternative, 10-year US Treasury area (house macro reference)</w:t>
            </w:r>
          </w:p>
        </w:tc>
      </w:tr>
    </w:tbl>
    <w:p>
      <w:pPr>
        <w:spacing w:after="40"/>
      </w:pPr>
    </w:p>
    <w:p>
      <w:pPr>
        <w:spacing w:after="60" w:before="160"/>
      </w:pPr>
      <w:r>
        <w:rPr>
          <w:b/>
          <w:i w:val="0"/>
          <w:color w:val="1C3A36"/>
          <w:sz w:val="22"/>
        </w:rPr>
        <w:t>House layer — 30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cash yield</w:t>
            </w:r>
          </w:p>
        </w:tc>
        <w:tc>
          <w:tcPr>
            <w:tcW w:type="dxa" w:w="1368"/>
          </w:tcPr>
          <w:p>
            <w:pPr>
              <w:spacing w:after="20"/>
            </w:pPr>
            <w:r>
              <w:rPr>
                <w:color w:val="1C3A36"/>
                <w:sz w:val="15"/>
              </w:rPr>
              <w:t>0.1</w:t>
            </w:r>
          </w:p>
        </w:tc>
        <w:tc>
          <w:tcPr>
            <w:tcW w:type="dxa" w:w="1123"/>
          </w:tcPr>
          <w:p>
            <w:pPr>
              <w:spacing w:after="20"/>
            </w:pPr>
            <w:r>
              <w:rPr>
                <w:color w:val="1C3A36"/>
                <w:sz w:val="15"/>
              </w:rPr>
              <w:t>2026-08-05</w:t>
            </w:r>
          </w:p>
        </w:tc>
        <w:tc>
          <w:tcPr>
            <w:tcW w:type="dxa" w:w="5933"/>
          </w:tcPr>
          <w:p>
            <w:pPr>
              <w:spacing w:after="20"/>
            </w:pPr>
            <w:r>
              <w:rPr>
                <w:color w:val="1C3A36"/>
                <w:sz w:val="15"/>
              </w:rPr>
              <w:t>Yield assumed on the cash balance inside the net-finance construction. A house judgement, registered because the document described it in prose while three separate formulas carried it as a literal</w:t>
            </w:r>
          </w:p>
        </w:tc>
      </w:tr>
      <w:tr>
        <w:tc>
          <w:tcPr>
            <w:tcW w:type="dxa" w:w="1656"/>
          </w:tcPr>
          <w:p>
            <w:pPr>
              <w:spacing w:after="20"/>
            </w:pPr>
            <w:r>
              <w:rPr>
                <w:color w:val="1C3A36"/>
                <w:sz w:val="15"/>
              </w:rPr>
              <w:t>w egp implied fy24</w:t>
            </w:r>
          </w:p>
        </w:tc>
        <w:tc>
          <w:tcPr>
            <w:tcW w:type="dxa" w:w="1368"/>
          </w:tcPr>
          <w:p>
            <w:pPr>
              <w:spacing w:after="20"/>
            </w:pPr>
            <w:r>
              <w:rPr>
                <w:color w:val="1C3A36"/>
                <w:sz w:val="15"/>
              </w:rPr>
              <w:t>0.44</w:t>
            </w:r>
          </w:p>
        </w:tc>
        <w:tc>
          <w:tcPr>
            <w:tcW w:type="dxa" w:w="1123"/>
          </w:tcPr>
          <w:p>
            <w:pPr>
              <w:spacing w:after="20"/>
            </w:pPr>
            <w:r>
              <w:rPr>
                <w:color w:val="1C3A36"/>
                <w:sz w:val="15"/>
              </w:rPr>
              <w:t>2025-03-13</w:t>
            </w:r>
          </w:p>
        </w:tc>
        <w:tc>
          <w:tcPr>
            <w:tcW w:type="dxa" w:w="5933"/>
          </w:tcPr>
          <w:p>
            <w:pPr>
              <w:spacing w:after="20"/>
            </w:pPr>
            <w:r>
              <w:rPr>
                <w:color w:val="1C3A36"/>
                <w:sz w:val="15"/>
              </w:rPr>
              <w:t>Pound share of the financial-debt book implied by the FY2024 back-solve of the effective rate against the three-way EGP/USD/EUR disclosure, on the same construction the FY2025 figure uses. INFERRED, not disclosed: the note gives average rates by currency bucket and never the bucket sizes</w:t>
            </w:r>
          </w:p>
        </w:tc>
      </w:tr>
      <w:tr>
        <w:tc>
          <w:tcPr>
            <w:tcW w:type="dxa" w:w="1656"/>
          </w:tcPr>
          <w:p>
            <w:pPr>
              <w:spacing w:after="20"/>
            </w:pPr>
            <w:r>
              <w:rPr>
                <w:color w:val="1C3A36"/>
                <w:sz w:val="15"/>
              </w:rPr>
              <w:t>q1 25 ebitda house</w:t>
            </w:r>
          </w:p>
        </w:tc>
        <w:tc>
          <w:tcPr>
            <w:tcW w:type="dxa" w:w="1368"/>
          </w:tcPr>
          <w:p>
            <w:pPr>
              <w:spacing w:after="20"/>
            </w:pPr>
            <w:r>
              <w:rPr>
                <w:color w:val="1C3A36"/>
                <w:sz w:val="15"/>
              </w:rPr>
              <w:t>7,488.8</w:t>
            </w:r>
          </w:p>
        </w:tc>
        <w:tc>
          <w:tcPr>
            <w:tcW w:type="dxa" w:w="1123"/>
          </w:tcPr>
          <w:p>
            <w:pPr>
              <w:spacing w:after="20"/>
            </w:pPr>
            <w:r>
              <w:rPr>
                <w:color w:val="1C3A36"/>
                <w:sz w:val="15"/>
              </w:rPr>
              <w:t>2026-05-13</w:t>
            </w:r>
          </w:p>
        </w:tc>
        <w:tc>
          <w:tcPr>
            <w:tcW w:type="dxa" w:w="5933"/>
          </w:tcPr>
          <w:p>
            <w:pPr>
              <w:spacing w:after="20"/>
            </w:pPr>
            <w:r>
              <w:rPr>
                <w:color w:val="1C3A36"/>
                <w:sz w:val="15"/>
              </w:rPr>
              <w:t>Q1-2025 house EBITDA: operating profit 6,503.867706 + depreciation/amortisation estimated at the FY2025 D&amp;A ratio applied to Q1-2025 revenue (the interim filing does not itemise D&amp;A separately from operating profit)</w:t>
            </w:r>
          </w:p>
        </w:tc>
      </w:tr>
      <w:tr>
        <w:tc>
          <w:tcPr>
            <w:tcW w:type="dxa" w:w="1656"/>
          </w:tcPr>
          <w:p>
            <w:pPr>
              <w:spacing w:after="20"/>
            </w:pPr>
            <w:r>
              <w:rPr>
                <w:color w:val="1C3A36"/>
                <w:sz w:val="15"/>
              </w:rPr>
              <w:t>fx depreciation path</w:t>
            </w:r>
          </w:p>
        </w:tc>
        <w:tc>
          <w:tcPr>
            <w:tcW w:type="dxa" w:w="1368"/>
          </w:tcPr>
          <w:p>
            <w:pPr>
              <w:spacing w:after="20"/>
            </w:pPr>
            <w:r>
              <w:rPr>
                <w:color w:val="1C3A36"/>
                <w:sz w:val="15"/>
              </w:rPr>
              <w:t>0.1317, 0.0927, 0.0634, 0.0488, 0.0439</w:t>
            </w:r>
          </w:p>
        </w:tc>
        <w:tc>
          <w:tcPr>
            <w:tcW w:type="dxa" w:w="1123"/>
          </w:tcPr>
          <w:p>
            <w:pPr>
              <w:spacing w:after="20"/>
            </w:pPr>
            <w:r>
              <w:rPr>
                <w:color w:val="1C3A36"/>
                <w:sz w:val="15"/>
              </w:rPr>
              <w:t>2026-09-13</w:t>
            </w:r>
          </w:p>
        </w:tc>
        <w:tc>
          <w:tcPr>
            <w:tcW w:type="dxa" w:w="5933"/>
          </w:tcPr>
          <w:p>
            <w:pPr>
              <w:spacing w:after="20"/>
            </w:pPr>
            <w:r>
              <w:rPr>
                <w:color w:val="1C3A36"/>
                <w:sz w:val="15"/>
              </w:rPr>
              <w:t>Relative-purchasing-power depreciation ladder for the pound, READ from the house Egyptian macro path: its own inflation ladder against long-run US inflation, never set by hand. This is the shape the currency path below is built on; the base is the company's own realised FY2025 average rate</w:t>
            </w:r>
          </w:p>
        </w:tc>
      </w:tr>
      <w:tr>
        <w:tc>
          <w:tcPr>
            <w:tcW w:type="dxa" w:w="1656"/>
          </w:tcPr>
          <w:p>
            <w:pPr>
              <w:spacing w:after="20"/>
            </w:pPr>
            <w:r>
              <w:rPr>
                <w:color w:val="1C3A36"/>
                <w:sz w:val="15"/>
              </w:rPr>
              <w:t>fx path</w:t>
            </w:r>
          </w:p>
        </w:tc>
        <w:tc>
          <w:tcPr>
            <w:tcW w:type="dxa" w:w="1368"/>
          </w:tcPr>
          <w:p>
            <w:pPr>
              <w:spacing w:after="20"/>
            </w:pPr>
            <w:r>
              <w:rPr>
                <w:color w:val="1C3A36"/>
                <w:sz w:val="15"/>
              </w:rPr>
              <w:t>53.9711, 58.9733, 62.7131, 65.7723, 68.6598</w:t>
            </w:r>
          </w:p>
        </w:tc>
        <w:tc>
          <w:tcPr>
            <w:tcW w:type="dxa" w:w="1123"/>
          </w:tcPr>
          <w:p>
            <w:pPr>
              <w:spacing w:after="20"/>
            </w:pPr>
            <w:r>
              <w:rPr>
                <w:color w:val="1C3A36"/>
                <w:sz w:val="15"/>
              </w:rPr>
              <w:t>2026-09-13</w:t>
            </w:r>
          </w:p>
        </w:tc>
        <w:tc>
          <w:tcPr>
            <w:tcW w:type="dxa" w:w="5933"/>
          </w:tcPr>
          <w:p>
            <w:pPr>
              <w:spacing w:after="20"/>
            </w:pPr>
            <w:r>
              <w:rPr>
                <w:color w:val="1C3A36"/>
                <w:sz w:val="15"/>
              </w:rPr>
              <w:t>USD/EGP average-rate path, DERIVED and never set by hand: the company's own realised FY2025 average rate of 47.69 from the audited statements, escalated on the house Egyptian macro path's relative-purchasing-power depreciation ladder, registered as its own input beside this one, which is derived in turn from that path's own inflation against long-run US inflation. Used as a genuine driver of the Cables segment's copper-linked revenue and of the currency-of-discounting alternative, not a translation convenience. THE RETIRED PATH ran a flat ~6% a year: deliberately below covered-interest parity on the view that disinflation would close most of the differential, but escalating costs at the full house inflation beside it made the pound appreciate in real terms for ever with nothing saying so. The parity case is still carried as an explicit sensitivity</w:t>
            </w:r>
          </w:p>
        </w:tc>
      </w:tr>
      <w:tr>
        <w:tc>
          <w:tcPr>
            <w:tcW w:type="dxa" w:w="1656"/>
          </w:tcPr>
          <w:p>
            <w:pPr>
              <w:spacing w:after="20"/>
            </w:pPr>
            <w:r>
              <w:rPr>
                <w:color w:val="1C3A36"/>
                <w:sz w:val="15"/>
              </w:rPr>
              <w:t>tax rate retired</w:t>
            </w:r>
          </w:p>
        </w:tc>
        <w:tc>
          <w:tcPr>
            <w:tcW w:type="dxa" w:w="1368"/>
          </w:tcPr>
          <w:p>
            <w:pPr>
              <w:spacing w:after="20"/>
            </w:pPr>
            <w:r>
              <w:rPr>
                <w:color w:val="1C3A36"/>
                <w:sz w:val="15"/>
              </w:rPr>
              <w:t>0.259</w:t>
            </w:r>
          </w:p>
        </w:tc>
        <w:tc>
          <w:tcPr>
            <w:tcW w:type="dxa" w:w="1123"/>
          </w:tcPr>
          <w:p>
            <w:pPr>
              <w:spacing w:after="20"/>
            </w:pPr>
            <w:r>
              <w:rPr>
                <w:color w:val="1C3A36"/>
                <w:sz w:val="15"/>
              </w:rPr>
              <w:t>2026-08-05</w:t>
            </w:r>
          </w:p>
        </w:tc>
        <w:tc>
          <w:tcPr>
            <w:tcW w:type="dxa" w:w="5933"/>
          </w:tcPr>
          <w:p>
            <w:pPr>
              <w:spacing w:after="20"/>
            </w:pPr>
            <w:r>
              <w:rPr>
                <w:color w:val="1C3A36"/>
                <w:sz w:val="15"/>
              </w:rPr>
              <w:t>The house tax assumption this study RETIRED: 25.9%, replaced by the rate the audited statements actually charge. Registered rather than typed into prose, because a study that cites what it changed is asserting that figure too</w:t>
            </w:r>
          </w:p>
        </w:tc>
      </w:tr>
      <w:tr>
        <w:tc>
          <w:tcPr>
            <w:tcW w:type="dxa" w:w="1656"/>
          </w:tcPr>
          <w:p>
            <w:pPr>
              <w:spacing w:after="20"/>
            </w:pPr>
            <w:r>
              <w:rPr>
                <w:color w:val="1C3A36"/>
                <w:sz w:val="15"/>
              </w:rPr>
              <w:t>corp load reversion</w:t>
            </w:r>
          </w:p>
        </w:tc>
        <w:tc>
          <w:tcPr>
            <w:tcW w:type="dxa" w:w="1368"/>
          </w:tcPr>
          <w:p>
            <w:pPr>
              <w:spacing w:after="20"/>
            </w:pPr>
            <w:r>
              <w:rPr>
                <w:color w:val="1C3A36"/>
                <w:sz w:val="15"/>
              </w:rPr>
              <w:t>0.0455, 0.0465, 0.0475, 0.0475, 0.0485</w:t>
            </w:r>
          </w:p>
        </w:tc>
        <w:tc>
          <w:tcPr>
            <w:tcW w:type="dxa" w:w="1123"/>
          </w:tcPr>
          <w:p>
            <w:pPr>
              <w:spacing w:after="20"/>
            </w:pPr>
            <w:r>
              <w:rPr>
                <w:color w:val="1C3A36"/>
                <w:sz w:val="15"/>
              </w:rPr>
              <w:t>2026-08-07</w:t>
            </w:r>
          </w:p>
        </w:tc>
        <w:tc>
          <w:tcPr>
            <w:tcW w:type="dxa" w:w="5933"/>
          </w:tcPr>
          <w:p>
            <w:pPr>
              <w:spacing w:after="20"/>
            </w:pPr>
            <w:r>
              <w:rPr>
                <w:color w:val="1C3A36"/>
                <w:sz w:val="15"/>
              </w:rPr>
              <w:t>THE RETIRED PATH, kept because it is this study's most consequential contested judgement and the depth bar requires such a judgement to be computed BOTH WAYS and published side by side rather than averaged. It glides the load from FY2025's level toward the FY2023-24 average of about 5.0%</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123"/>
          </w:tcPr>
          <w:p>
            <w:pPr>
              <w:spacing w:after="20"/>
            </w:pPr>
            <w:r>
              <w:rPr>
                <w:color w:val="1C3A36"/>
                <w:sz w:val="15"/>
              </w:rPr>
              <w:t>2026-08-05</w:t>
            </w:r>
          </w:p>
        </w:tc>
        <w:tc>
          <w:tcPr>
            <w:tcW w:type="dxa" w:w="5933"/>
          </w:tcPr>
          <w:p>
            <w:pPr>
              <w:spacing w:after="20"/>
            </w:pPr>
            <w:r>
              <w:rPr>
                <w:color w:val="1C3A36"/>
                <w:sz w:val="15"/>
              </w:rPr>
              <w:t>RETIRED — not used, and consumed by no formula in this study. The segment build carries margins directly rather than escalating a unit price, so this array drives nothing. Retained for comparison with the editions that did read it, and declared to the macro-coherence record as retired rather than removed</w:t>
            </w:r>
          </w:p>
        </w:tc>
      </w:tr>
      <w:tr>
        <w:tc>
          <w:tcPr>
            <w:tcW w:type="dxa" w:w="1656"/>
          </w:tcPr>
          <w:p>
            <w:pPr>
              <w:spacing w:after="20"/>
            </w:pPr>
            <w:r>
              <w:rPr>
                <w:color w:val="1C3A36"/>
                <w:sz w:val="15"/>
              </w:rPr>
              <w:t>nwc pct</w:t>
            </w:r>
          </w:p>
        </w:tc>
        <w:tc>
          <w:tcPr>
            <w:tcW w:type="dxa" w:w="1368"/>
          </w:tcPr>
          <w:p>
            <w:pPr>
              <w:spacing w:after="20"/>
            </w:pPr>
            <w:r>
              <w:rPr>
                <w:color w:val="1C3A36"/>
                <w:sz w:val="15"/>
              </w:rPr>
              <w:t>0.1967</w:t>
            </w:r>
          </w:p>
        </w:tc>
        <w:tc>
          <w:tcPr>
            <w:tcW w:type="dxa" w:w="1123"/>
          </w:tcPr>
          <w:p>
            <w:pPr>
              <w:spacing w:after="20"/>
            </w:pPr>
            <w:r>
              <w:rPr>
                <w:color w:val="1C3A36"/>
                <w:sz w:val="15"/>
              </w:rPr>
              <w:t>2026-08-05</w:t>
            </w:r>
          </w:p>
        </w:tc>
        <w:tc>
          <w:tcPr>
            <w:tcW w:type="dxa" w:w="5933"/>
          </w:tcPr>
          <w:p>
            <w:pPr>
              <w:spacing w:after="20"/>
            </w:pPr>
            <w:r>
              <w:rPr>
                <w:color w:val="1C3A36"/>
                <w:sz w:val="15"/>
              </w:rPr>
              <w:t>Net working capital as a share of revenue, RE-ANCHORED on the REVIEWED 30-Jun-2026 sheet: inventories 79,140 + contract assets 40,121 + receivables 130,221 - payables 79,553 - contract liabilities 106,860 = 63,069 on last-twelve-month revenue of 320,564 = 19.67%. Retired: 19.90%, the FY2025 disclosed level (19.87%) — a genuine improvement on FY2023 (24.1%) and FY2024 (23.1%), carried forward without assuming further improvement or reversion</w:t>
            </w:r>
          </w:p>
        </w:tc>
      </w:tr>
      <w:tr>
        <w:tc>
          <w:tcPr>
            <w:tcW w:type="dxa" w:w="1656"/>
          </w:tcPr>
          <w:p>
            <w:pPr>
              <w:spacing w:after="20"/>
            </w:pPr>
            <w:r>
              <w:rPr>
                <w:color w:val="1C3A36"/>
                <w:sz w:val="15"/>
              </w:rPr>
              <w:t>capex pct</w:t>
            </w:r>
          </w:p>
        </w:tc>
        <w:tc>
          <w:tcPr>
            <w:tcW w:type="dxa" w:w="1368"/>
          </w:tcPr>
          <w:p>
            <w:pPr>
              <w:spacing w:after="20"/>
            </w:pPr>
            <w:r>
              <w:rPr>
                <w:color w:val="1C3A36"/>
                <w:sz w:val="15"/>
              </w:rPr>
              <w:t>0.044, 0.04, 0.036, 0.033, 0.031</w:t>
            </w:r>
          </w:p>
        </w:tc>
        <w:tc>
          <w:tcPr>
            <w:tcW w:type="dxa" w:w="1123"/>
          </w:tcPr>
          <w:p>
            <w:pPr>
              <w:spacing w:after="20"/>
            </w:pPr>
            <w:r>
              <w:rPr>
                <w:color w:val="1C3A36"/>
                <w:sz w:val="15"/>
              </w:rPr>
              <w:t>2026-08-05</w:t>
            </w:r>
          </w:p>
        </w:tc>
        <w:tc>
          <w:tcPr>
            <w:tcW w:type="dxa" w:w="5933"/>
          </w:tcPr>
          <w:p>
            <w:pPr>
              <w:spacing w:after="20"/>
            </w:pPr>
            <w:r>
              <w:rPr>
                <w:color w:val="1C3A36"/>
                <w:sz w:val="15"/>
              </w:rPr>
              <w:t>THE RETIRED PATH, superseded 09-09-2026 and kept because the depth bar requires a displaced construction to be published beside the one that replaced it. It tapered from the FY2025 disclosed level of 4.7% (up from 3.1% FY2023 and 3.7% FY2024) toward a lower maintenance-plus-modest-capacity level as the expansion cycle completes — a House glide, on a story about the cycle, set before the reviewed half was read. The half measures the cycle directly: see capex_pct_measured below</w:t>
            </w:r>
          </w:p>
        </w:tc>
      </w:tr>
      <w:tr>
        <w:tc>
          <w:tcPr>
            <w:tcW w:type="dxa" w:w="1656"/>
          </w:tcPr>
          <w:p>
            <w:pPr>
              <w:spacing w:after="20"/>
            </w:pPr>
            <w:r>
              <w:rPr>
                <w:color w:val="1C3A36"/>
                <w:sz w:val="15"/>
              </w:rPr>
              <w:t>dna pct</w:t>
            </w:r>
          </w:p>
        </w:tc>
        <w:tc>
          <w:tcPr>
            <w:tcW w:type="dxa" w:w="1368"/>
          </w:tcPr>
          <w:p>
            <w:pPr>
              <w:spacing w:after="20"/>
            </w:pPr>
            <w:r>
              <w:rPr>
                <w:color w:val="1C3A36"/>
                <w:sz w:val="15"/>
              </w:rPr>
              <w:t>0.0107</w:t>
            </w:r>
          </w:p>
        </w:tc>
        <w:tc>
          <w:tcPr>
            <w:tcW w:type="dxa" w:w="1123"/>
          </w:tcPr>
          <w:p>
            <w:pPr>
              <w:spacing w:after="20"/>
            </w:pPr>
            <w:r>
              <w:rPr>
                <w:color w:val="1C3A36"/>
                <w:sz w:val="15"/>
              </w:rPr>
              <w:t>2026-08-05</w:t>
            </w:r>
          </w:p>
        </w:tc>
        <w:tc>
          <w:tcPr>
            <w:tcW w:type="dxa" w:w="5933"/>
          </w:tcPr>
          <w:p>
            <w:pPr>
              <w:spacing w:after="20"/>
            </w:pPr>
            <w:r>
              <w:rPr>
                <w:color w:val="1C3A36"/>
                <w:sz w:val="15"/>
              </w:rPr>
              <w:t>Depreciation and amortisation as a share of revenue, AT the disclosed level rather than above it: FY2025 3,009/281,049 = 1.071% and the reviewed half 1,748/163,316 = 1.070%, two periods agreeing to a thousandth. The retired 1.25% was the FY2025 level plus a house uplift for the capex ramp, which the reviewed half then measured and did not show. Previously: held near the FY2025 disclosed level (1.07%) with a modest rise reflecting the larger capitalised asset base from the FY2025-26 capex ramp</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123"/>
          </w:tcPr>
          <w:p>
            <w:pPr>
              <w:spacing w:after="20"/>
            </w:pPr>
            <w:r>
              <w:rPr>
                <w:color w:val="1C3A36"/>
                <w:sz w:val="15"/>
              </w:rPr>
              <w:t>2026-08-05</w:t>
            </w:r>
          </w:p>
        </w:tc>
        <w:tc>
          <w:tcPr>
            <w:tcW w:type="dxa" w:w="5933"/>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1.2249</w:t>
            </w:r>
          </w:p>
        </w:tc>
        <w:tc>
          <w:tcPr>
            <w:tcW w:type="dxa" w:w="1123"/>
          </w:tcPr>
          <w:p>
            <w:pPr>
              <w:spacing w:after="20"/>
            </w:pPr>
            <w:r>
              <w:rPr>
                <w:color w:val="1C3A36"/>
                <w:sz w:val="15"/>
              </w:rPr>
              <w:t>2026-09-08</w:t>
            </w:r>
          </w:p>
        </w:tc>
        <w:tc>
          <w:tcPr>
            <w:tcW w:type="dxa" w:w="5933"/>
          </w:tcPr>
          <w:p>
            <w:pPr>
              <w:spacing w:after="20"/>
            </w:pPr>
            <w:r>
              <w:rPr>
                <w:color w:val="1C3A36"/>
                <w:sz w:val="15"/>
              </w:rPr>
              <w:t>Own-stock tier-1 weekly regression against raw_indices/EG/EGX30.csv as at 2026-09-08 — THE PUBLISHED INDEX OF THE EXCHANGE THIS STOCK IS LISTED ON, resolved by beta_regression.own_stock_beta() rather than hand-rolled. R-squared 0.368, n = 256, standard error 0.1699, 90% confidence interval [0.945, 1.504]; Dimson-corrected for thin trading, matched to the exchange's own trading week (W-THU). Clears the usability gate and is not weak-instrument flagged. WITHDRAWN AND KEPT FOR COMPARISON: the previous edition regressed against a 31-name equal-weight composite of the covered library and got 1.0087 at an R-squared of 0.291 — +21.4% against the conforming figure, explaining less of the stock. A constituent composite is a coverage artefact rather than a market and SIGCM calls it a hard fail, not a tier.</w:t>
            </w:r>
          </w:p>
        </w:tc>
      </w:tr>
      <w:tr>
        <w:tc>
          <w:tcPr>
            <w:tcW w:type="dxa" w:w="1656"/>
          </w:tcPr>
          <w:p>
            <w:pPr>
              <w:spacing w:after="20"/>
            </w:pPr>
            <w:r>
              <w:rPr>
                <w:color w:val="1C3A36"/>
                <w:sz w:val="15"/>
              </w:rPr>
              <w:t>kd path</w:t>
            </w:r>
          </w:p>
        </w:tc>
        <w:tc>
          <w:tcPr>
            <w:tcW w:type="dxa" w:w="1368"/>
          </w:tcPr>
          <w:p>
            <w:pPr>
              <w:spacing w:after="20"/>
            </w:pPr>
            <w:r>
              <w:rPr>
                <w:color w:val="1C3A36"/>
                <w:sz w:val="15"/>
              </w:rPr>
              <w:t>0.095, 0.089, 0.084, 0.08, 0.077</w:t>
            </w:r>
          </w:p>
        </w:tc>
        <w:tc>
          <w:tcPr>
            <w:tcW w:type="dxa" w:w="1123"/>
          </w:tcPr>
          <w:p>
            <w:pPr>
              <w:spacing w:after="20"/>
            </w:pPr>
            <w:r>
              <w:rPr>
                <w:color w:val="1C3A36"/>
                <w:sz w:val="15"/>
              </w:rPr>
              <w:t>2026-08-05</w:t>
            </w:r>
          </w:p>
        </w:tc>
        <w:tc>
          <w:tcPr>
            <w:tcW w:type="dxa" w:w="5933"/>
          </w:tcPr>
          <w:p>
            <w:pPr>
              <w:spacing w:after="20"/>
            </w:pPr>
            <w:r>
              <w:rPr>
                <w:color w:val="1C3A36"/>
                <w:sz w:val="15"/>
              </w:rPr>
              <w:t>Forward cost-of-debt path FY26E-FY30E on the blended book, continuing the CBE easing cycle that has already taken the disclosed Egyptian-pound rate from 28.68% (FY2024) to 21.30% (FY2025) to 20.32% (Q1-2026), blended against a broadly flat hard-currency rate.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0.0888</w:t>
            </w:r>
          </w:p>
        </w:tc>
        <w:tc>
          <w:tcPr>
            <w:tcW w:type="dxa" w:w="1123"/>
          </w:tcPr>
          <w:p>
            <w:pPr>
              <w:spacing w:after="20"/>
            </w:pPr>
            <w:r>
              <w:rPr>
                <w:color w:val="1C3A36"/>
                <w:sz w:val="15"/>
              </w:rPr>
              <w:t>2026-08-05</w:t>
            </w:r>
          </w:p>
        </w:tc>
        <w:tc>
          <w:tcPr>
            <w:tcW w:type="dxa" w:w="5933"/>
          </w:tcPr>
          <w:p>
            <w:pPr>
              <w:spacing w:after="20"/>
            </w:pPr>
            <w:r>
              <w:rPr>
                <w:color w:val="1C3A36"/>
                <w:sz w:val="15"/>
              </w:rPr>
              <w:t>Terminal blended cost of debt: 28% Egyptian pound at the 15% long-run Egyptian corporate-borrowing norm and 72% hard currency at 6.5% — the currency WEIGHTS updated to the actual FY2025 composition (formerly modelled 45%/55%, now measured at roughly 28%/72% from the Kd-integrity back-solve); the long-run rate norms themselves are unchanged policy assumptions</w:t>
            </w:r>
          </w:p>
        </w:tc>
      </w:tr>
      <w:tr>
        <w:tc>
          <w:tcPr>
            <w:tcW w:type="dxa" w:w="1656"/>
          </w:tcPr>
          <w:p>
            <w:pPr>
              <w:spacing w:after="20"/>
            </w:pPr>
            <w:r>
              <w:rPr>
                <w:color w:val="1C3A36"/>
                <w:sz w:val="15"/>
              </w:rPr>
              <w:t>grid centre retired</w:t>
            </w:r>
          </w:p>
        </w:tc>
        <w:tc>
          <w:tcPr>
            <w:tcW w:type="dxa" w:w="1368"/>
          </w:tcPr>
          <w:p>
            <w:pPr>
              <w:spacing w:after="20"/>
            </w:pPr>
            <w:r>
              <w:rPr>
                <w:color w:val="1C3A36"/>
                <w:sz w:val="15"/>
              </w:rPr>
              <w:t>49.7076</w:t>
            </w:r>
          </w:p>
        </w:tc>
        <w:tc>
          <w:tcPr>
            <w:tcW w:type="dxa" w:w="1123"/>
          </w:tcPr>
          <w:p>
            <w:pPr>
              <w:spacing w:after="20"/>
            </w:pPr>
            <w:r>
              <w:rPr>
                <w:color w:val="1C3A36"/>
                <w:sz w:val="15"/>
              </w:rPr>
              <w:t>2026-09-04</w:t>
            </w:r>
          </w:p>
        </w:tc>
        <w:tc>
          <w:tcPr>
            <w:tcW w:type="dxa" w:w="5933"/>
          </w:tcPr>
          <w:p>
            <w:pPr>
              <w:spacing w:after="20"/>
            </w:pPr>
            <w:r>
              <w:rPr>
                <w:color w:val="1C3A36"/>
                <w:sz w:val="15"/>
              </w:rPr>
              <w:t>What the RETIRED sensitivity grid returned at the adopted rates, growth and beta, before the grids were pointed at the same valuation function as the headline. It re-implemented the terminal on a construction this study had already retired and omitted the employees' statutory share of profit that the bridge charges. Quoted so a reader can see what changed; a different function produced it, so this model cannot compute it</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123"/>
          </w:tcPr>
          <w:p>
            <w:pPr>
              <w:spacing w:after="20"/>
            </w:pPr>
            <w:r>
              <w:rPr>
                <w:color w:val="1C3A36"/>
                <w:sz w:val="15"/>
              </w:rPr>
              <w:t>2026-09-09</w:t>
            </w:r>
          </w:p>
        </w:tc>
        <w:tc>
          <w:tcPr>
            <w:tcW w:type="dxa" w:w="5933"/>
          </w:tcPr>
          <w:p>
            <w:pPr>
              <w:spacing w:after="20"/>
            </w:pPr>
            <w:r>
              <w:rPr>
                <w:color w:val="1C3A36"/>
                <w:sz w:val="15"/>
              </w:rPr>
              <w:t>Terminal risk-free rate, DERIVED from the house macro path as the inflation target in force plus the real-rate convention, never typed: 7.00% + 3.50% = 10.50%. Revisions to 08-09-2026 carried 10.50%, built on a 5% inflation this study chose for itself while the terminal growth line four rows above used the house 7% and said the house path was the only source of an inflation rate here.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123"/>
          </w:tcPr>
          <w:p>
            <w:pPr>
              <w:spacing w:after="20"/>
            </w:pPr>
            <w:r>
              <w:rPr>
                <w:color w:val="1C3A36"/>
                <w:sz w:val="15"/>
              </w:rPr>
              <w:t>2026-08-05</w:t>
            </w:r>
          </w:p>
        </w:tc>
        <w:tc>
          <w:tcPr>
            <w:tcW w:type="dxa" w:w="5933"/>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0.15</w:t>
            </w:r>
          </w:p>
        </w:tc>
        <w:tc>
          <w:tcPr>
            <w:tcW w:type="dxa" w:w="1123"/>
          </w:tcPr>
          <w:p>
            <w:pPr>
              <w:spacing w:after="20"/>
            </w:pPr>
            <w:r>
              <w:rPr>
                <w:color w:val="1C3A36"/>
                <w:sz w:val="15"/>
              </w:rPr>
              <w:t>2026-08-07</w:t>
            </w:r>
          </w:p>
        </w:tc>
        <w:tc>
          <w:tcPr>
            <w:tcW w:type="dxa" w:w="5933"/>
          </w:tcPr>
          <w:p>
            <w:pPr>
              <w:spacing w:after="20"/>
            </w:pPr>
            <w:r>
              <w:rPr>
                <w:color w:val="1C3A36"/>
                <w:sz w:val="15"/>
              </w:rPr>
              <w:t>Terminal debt weight D/(D+E) on a net basis, NORMALISED — but reconciled to the model's OWN forecast balance sheet rather than asserted. REVISED from 25% after external critique (and the same finding in this study's own re-audit): at a 25% payout the forecast still deleverages toward a mid-single-digit net-debt weight by FY2030E, so a 25% terminal weight contradicted the model's own trajectory in the direction that flattered the valuation. 15% sits between today's 8.4% net weight and the old 25%, acknowledging that a working-capital-heavy industrial retains structural gross leverage. Worth about -5.3/share on the DCF lens versus the old 25%</w:t>
            </w:r>
          </w:p>
        </w:tc>
      </w:tr>
      <w:tr>
        <w:tc>
          <w:tcPr>
            <w:tcW w:type="dxa" w:w="1656"/>
          </w:tcPr>
          <w:p>
            <w:pPr>
              <w:spacing w:after="20"/>
            </w:pPr>
            <w:r>
              <w:rPr>
                <w:color w:val="1C3A36"/>
                <w:sz w:val="15"/>
              </w:rPr>
              <w:t>g term real</w:t>
            </w:r>
          </w:p>
        </w:tc>
        <w:tc>
          <w:tcPr>
            <w:tcW w:type="dxa" w:w="1368"/>
          </w:tcPr>
          <w:p>
            <w:pPr>
              <w:spacing w:after="20"/>
            </w:pPr>
            <w:r>
              <w:rPr>
                <w:color w:val="1C3A36"/>
                <w:sz w:val="15"/>
              </w:rPr>
              <w:t>0.02</w:t>
            </w:r>
          </w:p>
        </w:tc>
        <w:tc>
          <w:tcPr>
            <w:tcW w:type="dxa" w:w="1123"/>
          </w:tcPr>
          <w:p>
            <w:pPr>
              <w:spacing w:after="20"/>
            </w:pPr>
            <w:r>
              <w:rPr>
                <w:color w:val="1C3A36"/>
                <w:sz w:val="15"/>
              </w:rPr>
              <w:t>2026-09-10</w:t>
            </w:r>
          </w:p>
        </w:tc>
        <w:tc>
          <w:tcPr>
            <w:tcW w:type="dxa" w:w="5933"/>
          </w:tcPr>
          <w:p>
            <w:pPr>
              <w:spacing w:after="20"/>
            </w:pPr>
            <w:r>
              <w:rPr>
                <w:color w:val="1C3A36"/>
                <w:sz w:val="15"/>
              </w:rPr>
              <w:t>STATED real terminal growth: 2.0%, held BELOW the house path's long-run Egyptian real GDP growth of 4.5%% — the gap is the share of the economy this company is assumed to cede in perpetuity. THE RETIRED FIGURE WAS ZERO, and zero was wrong on its own terms rather than merely conservative: an economy growing 4.5% a year in real terms with a company growing 0% means the company shrinks to nothing relative to it, forever, which is not what 'a mature diversified industrial holding its real scale' meant. It is also not what this group has done — Constructions grew 32.6% then 28.3% and Electrical Products 46.6% then 43.7% in nominal terms, neither of them copper-linked. 2.0% is under half the economy's rate and well under the Cables segment's own forward real driver</w:t>
            </w:r>
          </w:p>
        </w:tc>
      </w:tr>
      <w:tr>
        <w:tc>
          <w:tcPr>
            <w:tcW w:type="dxa" w:w="1656"/>
          </w:tcPr>
          <w:p>
            <w:pPr>
              <w:spacing w:after="20"/>
            </w:pPr>
            <w:r>
              <w:rPr>
                <w:color w:val="1C3A36"/>
                <w:sz w:val="15"/>
              </w:rPr>
              <w:t>g term</w:t>
            </w:r>
          </w:p>
        </w:tc>
        <w:tc>
          <w:tcPr>
            <w:tcW w:type="dxa" w:w="1368"/>
          </w:tcPr>
          <w:p>
            <w:pPr>
              <w:spacing w:after="20"/>
            </w:pPr>
            <w:r>
              <w:rPr>
                <w:color w:val="1C3A36"/>
                <w:sz w:val="15"/>
              </w:rPr>
              <w:t>0.0914</w:t>
            </w:r>
          </w:p>
        </w:tc>
        <w:tc>
          <w:tcPr>
            <w:tcW w:type="dxa" w:w="1123"/>
          </w:tcPr>
          <w:p>
            <w:pPr>
              <w:spacing w:after="20"/>
            </w:pPr>
            <w:r>
              <w:rPr>
                <w:color w:val="1C3A36"/>
                <w:sz w:val="15"/>
              </w:rPr>
              <w:t>2026-09-10</w:t>
            </w:r>
          </w:p>
        </w:tc>
        <w:tc>
          <w:tcPr>
            <w:tcW w:type="dxa" w:w="5933"/>
          </w:tcPr>
          <w:p>
            <w:pPr>
              <w:spacing w:after="20"/>
            </w:pPr>
            <w:r>
              <w:rPr>
                <w:color w:val="1C3A36"/>
                <w:sz w:val="15"/>
              </w:rPr>
              <w:t>Terminal NOMINAL growth, DERIVED and read from the house path rather than chosen: (1 + 2.0% stated real growth) x (1 + 7.0% long-run Egyptian inflation) - 1, read from the house path. It is the only source of an inflation rate in this study, and macro_path refuses a real rate at or above the economy's own. Two earlier figures are retired: 5.0%, struck against an assumed 5% inflation and therefore a real DECLINE of 1.87% a year; and 7.0%, which fixed the inflation half and left real growth at zero</w:t>
            </w:r>
          </w:p>
        </w:tc>
      </w:tr>
      <w:tr>
        <w:tc>
          <w:tcPr>
            <w:tcW w:type="dxa" w:w="1656"/>
          </w:tcPr>
          <w:p>
            <w:pPr>
              <w:spacing w:after="20"/>
            </w:pPr>
            <w:r>
              <w:rPr>
                <w:color w:val="1C3A36"/>
                <w:sz w:val="15"/>
              </w:rPr>
              <w:t>usd erp</w:t>
            </w:r>
          </w:p>
        </w:tc>
        <w:tc>
          <w:tcPr>
            <w:tcW w:type="dxa" w:w="1368"/>
          </w:tcPr>
          <w:p>
            <w:pPr>
              <w:spacing w:after="20"/>
            </w:pPr>
            <w:r>
              <w:rPr>
                <w:color w:val="1C3A36"/>
                <w:sz w:val="15"/>
              </w:rPr>
              <w:t>0.075</w:t>
            </w:r>
          </w:p>
        </w:tc>
        <w:tc>
          <w:tcPr>
            <w:tcW w:type="dxa" w:w="1123"/>
          </w:tcPr>
          <w:p>
            <w:pPr>
              <w:spacing w:after="20"/>
            </w:pPr>
            <w:r>
              <w:rPr>
                <w:color w:val="1C3A36"/>
                <w:sz w:val="15"/>
              </w:rPr>
              <w:t>2026-08-05</w:t>
            </w:r>
          </w:p>
        </w:tc>
        <w:tc>
          <w:tcPr>
            <w:tcW w:type="dxa" w:w="5933"/>
          </w:tcPr>
          <w:p>
            <w:pPr>
              <w:spacing w:after="20"/>
            </w:pPr>
            <w:r>
              <w:rPr>
                <w:color w:val="1C3A36"/>
                <w:sz w:val="15"/>
              </w:rPr>
              <w:t>Equity risk premium for the hard-currency leg: mature-market premium plus a reduced operating-exposure country premium — deliberately NOT the full Egypt premium, since this alternative's whole point is to price the hard-currency cash flows as hard-currency cash flows</w:t>
            </w:r>
          </w:p>
        </w:tc>
      </w:tr>
      <w:tr>
        <w:tc>
          <w:tcPr>
            <w:tcW w:type="dxa" w:w="1656"/>
          </w:tcPr>
          <w:p>
            <w:pPr>
              <w:spacing w:after="20"/>
            </w:pPr>
            <w:r>
              <w:rPr>
                <w:color w:val="1C3A36"/>
                <w:sz w:val="15"/>
              </w:rPr>
              <w:t>usd kd</w:t>
            </w:r>
          </w:p>
        </w:tc>
        <w:tc>
          <w:tcPr>
            <w:tcW w:type="dxa" w:w="1368"/>
          </w:tcPr>
          <w:p>
            <w:pPr>
              <w:spacing w:after="20"/>
            </w:pPr>
            <w:r>
              <w:rPr>
                <w:color w:val="1C3A36"/>
                <w:sz w:val="15"/>
              </w:rPr>
              <w:t>0.065</w:t>
            </w:r>
          </w:p>
        </w:tc>
        <w:tc>
          <w:tcPr>
            <w:tcW w:type="dxa" w:w="1123"/>
          </w:tcPr>
          <w:p>
            <w:pPr>
              <w:spacing w:after="20"/>
            </w:pPr>
            <w:r>
              <w:rPr>
                <w:color w:val="1C3A36"/>
                <w:sz w:val="15"/>
              </w:rPr>
              <w:t>2026-08-05</w:t>
            </w:r>
          </w:p>
        </w:tc>
        <w:tc>
          <w:tcPr>
            <w:tcW w:type="dxa" w:w="5933"/>
          </w:tcPr>
          <w:p>
            <w:pPr>
              <w:spacing w:after="20"/>
            </w:pPr>
            <w:r>
              <w:rPr>
                <w:color w:val="1C3A36"/>
                <w:sz w:val="15"/>
              </w:rPr>
              <w:t>US dollar cost of debt for the alternative: the disclosed 5.3% hard-currency book rate plus a term/credit allowance</w:t>
            </w:r>
          </w:p>
        </w:tc>
      </w:tr>
      <w:tr>
        <w:tc>
          <w:tcPr>
            <w:tcW w:type="dxa" w:w="1656"/>
          </w:tcPr>
          <w:p>
            <w:pPr>
              <w:spacing w:after="20"/>
            </w:pPr>
            <w:r>
              <w:rPr>
                <w:color w:val="1C3A36"/>
                <w:sz w:val="15"/>
              </w:rPr>
              <w:t>usd wd</w:t>
            </w:r>
          </w:p>
        </w:tc>
        <w:tc>
          <w:tcPr>
            <w:tcW w:type="dxa" w:w="1368"/>
          </w:tcPr>
          <w:p>
            <w:pPr>
              <w:spacing w:after="20"/>
            </w:pPr>
            <w:r>
              <w:rPr>
                <w:color w:val="1C3A36"/>
                <w:sz w:val="15"/>
              </w:rPr>
              <w:t>0.25</w:t>
            </w:r>
          </w:p>
        </w:tc>
        <w:tc>
          <w:tcPr>
            <w:tcW w:type="dxa" w:w="1123"/>
          </w:tcPr>
          <w:p>
            <w:pPr>
              <w:spacing w:after="20"/>
            </w:pPr>
            <w:r>
              <w:rPr>
                <w:color w:val="1C3A36"/>
                <w:sz w:val="15"/>
              </w:rPr>
              <w:t>2026-08-05</w:t>
            </w:r>
          </w:p>
        </w:tc>
        <w:tc>
          <w:tcPr>
            <w:tcW w:type="dxa" w:w="5933"/>
          </w:tcPr>
          <w:p>
            <w:pPr>
              <w:spacing w:after="20"/>
            </w:pPr>
            <w:r>
              <w:rPr>
                <w:color w:val="1C3A36"/>
                <w:sz w:val="15"/>
              </w:rPr>
              <w:t>Debt weight for the USD-leg cost of capital</w:t>
            </w:r>
          </w:p>
        </w:tc>
      </w:tr>
      <w:tr>
        <w:tc>
          <w:tcPr>
            <w:tcW w:type="dxa" w:w="1656"/>
          </w:tcPr>
          <w:p>
            <w:pPr>
              <w:spacing w:after="20"/>
            </w:pPr>
            <w:r>
              <w:rPr>
                <w:color w:val="1C3A36"/>
                <w:sz w:val="15"/>
              </w:rPr>
              <w:t>usd g term</w:t>
            </w:r>
          </w:p>
        </w:tc>
        <w:tc>
          <w:tcPr>
            <w:tcW w:type="dxa" w:w="1368"/>
          </w:tcPr>
          <w:p>
            <w:pPr>
              <w:spacing w:after="20"/>
            </w:pPr>
            <w:r>
              <w:rPr>
                <w:color w:val="1C3A36"/>
                <w:sz w:val="15"/>
              </w:rPr>
              <w:t>0.035</w:t>
            </w:r>
          </w:p>
        </w:tc>
        <w:tc>
          <w:tcPr>
            <w:tcW w:type="dxa" w:w="1123"/>
          </w:tcPr>
          <w:p>
            <w:pPr>
              <w:spacing w:after="20"/>
            </w:pPr>
            <w:r>
              <w:rPr>
                <w:color w:val="1C3A36"/>
                <w:sz w:val="15"/>
              </w:rPr>
              <w:t>2026-08-05</w:t>
            </w:r>
          </w:p>
        </w:tc>
        <w:tc>
          <w:tcPr>
            <w:tcW w:type="dxa" w:w="5933"/>
          </w:tcPr>
          <w:p>
            <w:pPr>
              <w:spacing w:after="20"/>
            </w:pPr>
            <w:r>
              <w:rPr>
                <w:color w:val="1C3A36"/>
                <w:sz w:val="15"/>
              </w:rPr>
              <w:t>Terminal growth of the USD-denominated leg — real growth plus dollar inflation, below the EGP terminal growth by the inflation differential</w:t>
            </w:r>
          </w:p>
        </w:tc>
      </w:tr>
      <w:tr>
        <w:tc>
          <w:tcPr>
            <w:tcW w:type="dxa" w:w="1656"/>
          </w:tcPr>
          <w:p>
            <w:pPr>
              <w:spacing w:after="20"/>
            </w:pPr>
            <w:r>
              <w:rPr>
                <w:color w:val="1C3A36"/>
                <w:sz w:val="15"/>
              </w:rPr>
              <w:t>anchor days</w:t>
            </w:r>
          </w:p>
        </w:tc>
        <w:tc>
          <w:tcPr>
            <w:tcW w:type="dxa" w:w="1368"/>
          </w:tcPr>
          <w:p>
            <w:pPr>
              <w:spacing w:after="20"/>
            </w:pPr>
            <w:r>
              <w:rPr>
                <w:color w:val="1C3A36"/>
                <w:sz w:val="15"/>
              </w:rPr>
              <w:t>246</w:t>
            </w:r>
          </w:p>
        </w:tc>
        <w:tc>
          <w:tcPr>
            <w:tcW w:type="dxa" w:w="1123"/>
          </w:tcPr>
          <w:p>
            <w:pPr>
              <w:spacing w:after="20"/>
            </w:pPr>
            <w:r>
              <w:rPr>
                <w:color w:val="1C3A36"/>
                <w:sz w:val="15"/>
              </w:rPr>
              <w:t>2026-09-13</w:t>
            </w:r>
          </w:p>
        </w:tc>
        <w:tc>
          <w:tcPr>
            <w:tcW w:type="dxa" w:w="5933"/>
          </w:tcPr>
          <w:p>
            <w:pPr>
              <w:spacing w:after="20"/>
            </w:pPr>
            <w:r>
              <w:rPr>
                <w:color w:val="1C3A36"/>
                <w:sz w:val="15"/>
              </w:rPr>
              <w:t>Days from the DCF's construction date (31 Dec 2025, the audited balance-sheet date the bridge is built on) to the anchor date of 3 Sep 2026 — the study's valuation date, and the close the fair value is measured against. All lens values are rolled to the anchor at the cost of equity, net of the FY2025 dividend paid inside the window, which is itself carried forward to the anchor rather than deducted at its ex-date. Added after external critique correctly noted the model was dated 31-Dec-2025 while the comparison price was seven months later, breaching the study's own one-date rule by that much accretion</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123"/>
          </w:tcPr>
          <w:p>
            <w:pPr>
              <w:spacing w:after="20"/>
            </w:pPr>
            <w:r>
              <w:rPr>
                <w:color w:val="1C3A36"/>
                <w:sz w:val="15"/>
              </w:rPr>
              <w:t>2026-08-05</w:t>
            </w:r>
          </w:p>
        </w:tc>
        <w:tc>
          <w:tcPr>
            <w:tcW w:type="dxa" w:w="5933"/>
          </w:tcPr>
          <w:p>
            <w:pPr>
              <w:spacing w:after="20"/>
            </w:pPr>
            <w:r>
              <w:rPr>
                <w:color w:val="1C3A36"/>
                <w:sz w:val="15"/>
              </w:rPr>
              <w:t>Justified EV/EBITDA on mid-cycle FY27E EBITDA, applied forward and discounted back two years. A HOUSE JUDGEMENT WITH NO PEER ANCHOR: no peer multiple is computed anywhere in this study, and an earlier edition's claim that 'peers trade 8-11x' was unsupported by any calculation and is withdrawn here as it already was in the study. The figure is struck below this company's own trailing multiple as an Egyptian-market discount for sovereign, currency-convertibility and disclosure risk; the SIZE of that discount is a judgement and is not derived. Sensitised 5.5x to 8.0x, and the lens is a cross-check that is never weighted into the central</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123"/>
          </w:tcPr>
          <w:p>
            <w:pPr>
              <w:spacing w:after="20"/>
            </w:pPr>
            <w:r>
              <w:rPr>
                <w:color w:val="1C3A36"/>
                <w:sz w:val="15"/>
              </w:rPr>
              <w:t>2026-08-05</w:t>
            </w:r>
          </w:p>
        </w:tc>
        <w:tc>
          <w:tcPr>
            <w:tcW w:type="dxa" w:w="5933"/>
          </w:tcPr>
          <w:p>
            <w:pPr>
              <w:spacing w:after="20"/>
            </w:pPr>
            <w:r>
              <w:rPr>
                <w:color w:val="1C3A36"/>
                <w:sz w:val="15"/>
              </w:rPr>
              <w:t>Justified through-cycle P/E on normalised earnings.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123"/>
          </w:tcPr>
          <w:p>
            <w:pPr>
              <w:spacing w:after="20"/>
            </w:pPr>
            <w:r>
              <w:rPr>
                <w:color w:val="1C3A36"/>
                <w:sz w:val="15"/>
              </w:rPr>
              <w:t>2026-08-05</w:t>
            </w:r>
          </w:p>
        </w:tc>
        <w:tc>
          <w:tcPr>
            <w:tcW w:type="dxa" w:w="5933"/>
          </w:tcPr>
          <w:p>
            <w:pPr>
              <w:spacing w:after="20"/>
            </w:pPr>
            <w:r>
              <w:rPr>
                <w:color w:val="1C3A36"/>
                <w:sz w:val="15"/>
              </w:rPr>
              <w:t>Sustainable return on equity for the book lens. Trailing ROE on average parent equity is well above this;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123"/>
          </w:tcPr>
          <w:p>
            <w:pPr>
              <w:spacing w:after="20"/>
            </w:pPr>
            <w:r>
              <w:rPr>
                <w:color w:val="1C3A36"/>
                <w:sz w:val="15"/>
              </w:rPr>
              <w:t>2026-08-05</w:t>
            </w:r>
          </w:p>
        </w:tc>
        <w:tc>
          <w:tcPr>
            <w:tcW w:type="dxa" w:w="5933"/>
          </w:tcPr>
          <w:p>
            <w:pPr>
              <w:spacing w:after="20"/>
            </w:pPr>
            <w:r>
              <w:rPr>
                <w:color w:val="1C3A36"/>
                <w:sz w:val="15"/>
              </w:rPr>
              <w:t>DCF primary for an operating manufacturer with a genuine, if undisclosed, contracted order book; the relative and normalised-earnings lenses carry equal secondary weight and the book lens least, because reported book value is distorted by three years of currency translation</w:t>
            </w:r>
          </w:p>
        </w:tc>
      </w:tr>
    </w:tbl>
    <w:p>
      <w:pPr>
        <w:spacing w:after="40"/>
      </w:pPr>
    </w:p>
    <w:p>
      <w:pPr>
        <w:spacing w:after="60" w:before="160"/>
      </w:pPr>
      <w:r>
        <w:rPr>
          <w:b/>
          <w:i w:val="0"/>
          <w:color w:val="1C3A36"/>
          <w:sz w:val="22"/>
        </w:rPr>
        <w:t>Company/House layer — 11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eff</w:t>
            </w:r>
          </w:p>
        </w:tc>
        <w:tc>
          <w:tcPr>
            <w:tcW w:type="dxa" w:w="1368"/>
          </w:tcPr>
          <w:p>
            <w:pPr>
              <w:spacing w:after="20"/>
            </w:pPr>
            <w:r>
              <w:rPr>
                <w:color w:val="1C3A36"/>
                <w:sz w:val="15"/>
              </w:rPr>
              <w:t>0.245</w:t>
            </w:r>
          </w:p>
        </w:tc>
        <w:tc>
          <w:tcPr>
            <w:tcW w:type="dxa" w:w="1123"/>
          </w:tcPr>
          <w:p>
            <w:pPr>
              <w:spacing w:after="20"/>
            </w:pPr>
            <w:r>
              <w:rPr>
                <w:color w:val="1C3A36"/>
                <w:sz w:val="15"/>
              </w:rPr>
              <w:t>2026-05-13</w:t>
            </w:r>
          </w:p>
        </w:tc>
        <w:tc>
          <w:tcPr>
            <w:tcW w:type="dxa" w:w="5933"/>
          </w:tcPr>
          <w:p>
            <w:pPr>
              <w:spacing w:after="20"/>
            </w:pPr>
            <w:r>
              <w:rPr>
                <w:color w:val="1C3A36"/>
                <w:sz w:val="15"/>
              </w:rPr>
              <w:t>Group effective tax rate used for the forecast. Audited effective rates: FY2023 31.3%, FY2024 30.1%, FY2025 22.6% (all now EXACT — tax expense / profit before tax, audited statement of profit or loss); Q1-2026 interim 25.75%, H1-2026 interim 30.85%, WHICH IMPLIES 35.15% IN THE SECOND QUARTER ALONE. EVERY EARLIER EDITION OF THIS ENTRY STOPPED AT THE QUARTER AND CALLED IT 'the Q1-2026 uptick', while the half that contains it — registered in this same file as h1_26_tax and flagged there as material — ran five points higher again. Quoting the quarter as the current observation when the half it sits inside is known and worse is not a neutral choice of period. The adopted 24.5% is therefore BELOW every one of the last four observations and the study prices the alternative explicitly rather than leaving the reader to find it. No statutory-vs-effective reconciliation is disclosed anywhere in the filings (Egyptian Accounting Standards do not require the IFRS-style table); the group operates in 15+ tax jurisdictions plus Free-Zone entities that pay 1% of revenue to GAFI instead of corporate tax. 24.5% sits between the FY2025 print and the historical average, allowing for the Q1-2026 uptick rather than extrapolating one low year</w:t>
            </w:r>
          </w:p>
        </w:tc>
      </w:tr>
      <w:tr>
        <w:tc>
          <w:tcPr>
            <w:tcW w:type="dxa" w:w="1656"/>
          </w:tcPr>
          <w:p>
            <w:pPr>
              <w:spacing w:after="20"/>
            </w:pPr>
            <w:r>
              <w:rPr>
                <w:color w:val="1C3A36"/>
                <w:sz w:val="15"/>
              </w:rPr>
              <w:t>cables passthrough</w:t>
            </w:r>
          </w:p>
        </w:tc>
        <w:tc>
          <w:tcPr>
            <w:tcW w:type="dxa" w:w="1368"/>
          </w:tcPr>
          <w:p>
            <w:pPr>
              <w:spacing w:after="20"/>
            </w:pPr>
            <w:r>
              <w:rPr>
                <w:color w:val="1C3A36"/>
                <w:sz w:val="15"/>
              </w:rPr>
              <w:t>0, -0.0654, -0.0436, -0.0218, 0</w:t>
            </w:r>
          </w:p>
        </w:tc>
        <w:tc>
          <w:tcPr>
            <w:tcW w:type="dxa" w:w="1123"/>
          </w:tcPr>
          <w:p>
            <w:pPr>
              <w:spacing w:after="20"/>
            </w:pPr>
            <w:r>
              <w:rPr>
                <w:color w:val="1C3A36"/>
                <w:sz w:val="15"/>
              </w:rPr>
              <w:t>2026-08-14</w:t>
            </w:r>
          </w:p>
        </w:tc>
        <w:tc>
          <w:tcPr>
            <w:tcW w:type="dxa" w:w="5933"/>
          </w:tcPr>
          <w:p>
            <w:pPr>
              <w:spacing w:after="20"/>
            </w:pPr>
            <w:r>
              <w:rPr>
                <w:color w:val="1C3A36"/>
                <w:sz w:val="15"/>
              </w:rPr>
              <w:t>How much of the copper-and-currency move reaches price per tonne, as the gap from FULL pass-through. ADOPTED: the MEAN of the two disclosed years (FY2024 +0.36%, FY2025 -13.43%, mean -6.54%) applied to the first year the formula governs and closing straight-line to zero by FY2030E. It uses both observations rather than the convenient one, and it closes because a shortfall CANNOT persist indefinitely: compounded, it drives price per tonne below the cost of the metal in it. FY2026 is 0.0 because that year is anchored on the reviewed half's own measured revenue and the formula does not govern it</w:t>
            </w:r>
          </w:p>
        </w:tc>
      </w:tr>
      <w:tr>
        <w:tc>
          <w:tcPr>
            <w:tcW w:type="dxa" w:w="1656"/>
          </w:tcPr>
          <w:p>
            <w:pPr>
              <w:spacing w:after="20"/>
            </w:pPr>
            <w:r>
              <w:rPr>
                <w:color w:val="1C3A36"/>
                <w:sz w:val="15"/>
              </w:rPr>
              <w:t>cables real growth</w:t>
            </w:r>
          </w:p>
        </w:tc>
        <w:tc>
          <w:tcPr>
            <w:tcW w:type="dxa" w:w="1368"/>
          </w:tcPr>
          <w:p>
            <w:pPr>
              <w:spacing w:after="20"/>
            </w:pPr>
            <w:r>
              <w:rPr>
                <w:color w:val="1C3A36"/>
                <w:sz w:val="15"/>
              </w:rPr>
              <w:t>0.03, 0.03, 0.03, 0.03, 0.03</w:t>
            </w:r>
          </w:p>
        </w:tc>
        <w:tc>
          <w:tcPr>
            <w:tcW w:type="dxa" w:w="1123"/>
          </w:tcPr>
          <w:p>
            <w:pPr>
              <w:spacing w:after="20"/>
            </w:pPr>
            <w:r>
              <w:rPr>
                <w:color w:val="1C3A36"/>
                <w:sz w:val="15"/>
              </w:rPr>
              <w:t>2026-09-10</w:t>
            </w:r>
          </w:p>
        </w:tc>
        <w:tc>
          <w:tcPr>
            <w:tcW w:type="dxa" w:w="5933"/>
          </w:tcPr>
          <w:p>
            <w:pPr>
              <w:spacing w:after="20"/>
            </w:pPr>
            <w:r>
              <w:rPr>
                <w:color w:val="1C3A36"/>
                <w:sz w:val="15"/>
              </w:rPr>
              <w:t>Real (ex-copper, ex-FX) volume/market-share growth for the Cables segment — modest and flat. HELD, AND NOW MEASURED RATHER THAN ASSERTED. Backing copper and the pound out of the segment's own audited revenue gives a REALISED real growth of +4.18% in FY2024 and -4.94% in FY2025, a two-year mean of about -0.4%. So 3.0% is already above what this segment has demonstrated, not below it, and it is not raised. The group's headline 35.9% revenue CAGR over FY2023-25 is 27.2 points of currency a year: the growth is real in pounds and largely absent in tonnes. Cables segment revenue growth = (1+copper growth)(1+FX growth)(1+this) - 1</w:t>
            </w:r>
          </w:p>
        </w:tc>
      </w:tr>
      <w:tr>
        <w:tc>
          <w:tcPr>
            <w:tcW w:type="dxa" w:w="1656"/>
          </w:tcPr>
          <w:p>
            <w:pPr>
              <w:spacing w:after="20"/>
            </w:pPr>
            <w:r>
              <w:rPr>
                <w:color w:val="1C3A36"/>
                <w:sz w:val="15"/>
              </w:rPr>
              <w:t>cables margin</w:t>
            </w:r>
          </w:p>
        </w:tc>
        <w:tc>
          <w:tcPr>
            <w:tcW w:type="dxa" w:w="1368"/>
          </w:tcPr>
          <w:p>
            <w:pPr>
              <w:spacing w:after="20"/>
            </w:pPr>
            <w:r>
              <w:rPr>
                <w:color w:val="1C3A36"/>
                <w:sz w:val="15"/>
              </w:rPr>
              <w:t>0.1143, 0.1143, 0.1143, 0.1143, 0.1143</w:t>
            </w:r>
          </w:p>
        </w:tc>
        <w:tc>
          <w:tcPr>
            <w:tcW w:type="dxa" w:w="1123"/>
          </w:tcPr>
          <w:p>
            <w:pPr>
              <w:spacing w:after="20"/>
            </w:pPr>
            <w:r>
              <w:rPr>
                <w:color w:val="1C3A36"/>
                <w:sz w:val="15"/>
              </w:rPr>
              <w:t>2026-08-11</w:t>
            </w:r>
          </w:p>
        </w:tc>
        <w:tc>
          <w:tcPr>
            <w:tcW w:type="dxa" w:w="5933"/>
          </w:tcPr>
          <w:p>
            <w:pPr>
              <w:spacing w:after="20"/>
            </w:pPr>
            <w:r>
              <w:rPr>
                <w:color w:val="1C3A36"/>
                <w:sz w:val="15"/>
              </w:rPr>
              <w:t>Cables segment profit margin (Note 5-3 external-revenue base), RE-ANCHORED and held flat. FY2025 13.49% plus the measured like-for-like half change of -2.06pp (H1-2025 14.54% -&gt; H1-2026 12.49%, note 16 of the reviewed interim statements). THE MEASURED DIRECTION IS DOWN, against the first edition's assumed recovery to 14.0-15.5%: cables revenue is copper-linked, so a rising copper price inflates the revenue base faster than the spread, and the FY2023-24 levels carried devaluation gains on cheaply bought inventory that will not repeat. No further decline is projected either — one measured half is a direction, not a trend</w:t>
            </w:r>
          </w:p>
        </w:tc>
      </w:tr>
      <w:tr>
        <w:tc>
          <w:tcPr>
            <w:tcW w:type="dxa" w:w="1656"/>
          </w:tcPr>
          <w:p>
            <w:pPr>
              <w:spacing w:after="20"/>
            </w:pPr>
            <w:r>
              <w:rPr>
                <w:color w:val="1C3A36"/>
                <w:sz w:val="15"/>
              </w:rPr>
              <w:t>construct growth</w:t>
            </w:r>
          </w:p>
        </w:tc>
        <w:tc>
          <w:tcPr>
            <w:tcW w:type="dxa" w:w="1368"/>
          </w:tcPr>
          <w:p>
            <w:pPr>
              <w:spacing w:after="20"/>
            </w:pPr>
            <w:r>
              <w:rPr>
                <w:color w:val="1C3A36"/>
                <w:sz w:val="15"/>
              </w:rPr>
              <w:t>0.2744, 0.2, 0.15, 0.115, 0.09</w:t>
            </w:r>
          </w:p>
        </w:tc>
        <w:tc>
          <w:tcPr>
            <w:tcW w:type="dxa" w:w="1123"/>
          </w:tcPr>
          <w:p>
            <w:pPr>
              <w:spacing w:after="20"/>
            </w:pPr>
            <w:r>
              <w:rPr>
                <w:color w:val="1C3A36"/>
                <w:sz w:val="15"/>
              </w:rPr>
              <w:t>2026-09-10</w:t>
            </w:r>
          </w:p>
        </w:tc>
        <w:tc>
          <w:tcPr>
            <w:tcW w:type="dxa" w:w="5933"/>
          </w:tcPr>
          <w:p>
            <w:pPr>
              <w:spacing w:after="20"/>
            </w:pPr>
            <w:r>
              <w:rPr>
                <w:color w:val="1C3A36"/>
                <w:sz w:val="15"/>
              </w:rPr>
              <w:t>Constructions segment revenue growth, RE-ANCHORED on the reviewed half on the reviewed half and then tapered. FY2026 is the segment's OWN measured like-for-like half growth, H1-2025 34,393 -&gt; H1-2026 43,831 = +27.44%; the taper runs to +9.0%. THE RETIRED PATH OPENED AT +18% while the company's own reviewed interim was running at +27.4% — a forecast contradicting the most recent disclosure this study read, in the direction that lowered the valuation. The margins in this segment were re-anchored on that same half on 11-Aug-2026 and the growth rates were not, so the rule was applied to one half of the segment build and not the other. THE BACKLOG, WHICH THIS DRIVER SAID FOR TWO EDITIONS DID NOT EXIST: no order book is disclosed in any AUDITED filing or in the Q1-2026 interim, but the ISSUER discloses one in its own quarterly earnings releases. Engineering and construction backlog runs EGP 196bn (Dec-24), 261, 276, 293 (Dec-25), 307 and 346bn at 30 June 2026, read off the Q2-2026 release; wires and cables 43.5bn and meters 8.8bn are disclosed beside it. That is +18% over the half against the +27.4% revenue growth this driver is anchored on, so the backlog CORROBORATES the level without being burnt down to produce it — the taper is still a taper on the segment's own revenue record, not a burn rate. Priced across its whole defensible range the taper is worth 0.17% of this study's gap to the market, because at a 9% segment margin against 20% working capital incremental Constructions revenue is very nearly free cash flow neutral. The false sentence was corrected because it was false, not because the number moves</w:t>
            </w:r>
          </w:p>
        </w:tc>
      </w:tr>
      <w:tr>
        <w:tc>
          <w:tcPr>
            <w:tcW w:type="dxa" w:w="1656"/>
          </w:tcPr>
          <w:p>
            <w:pPr>
              <w:spacing w:after="20"/>
            </w:pPr>
            <w:r>
              <w:rPr>
                <w:color w:val="1C3A36"/>
                <w:sz w:val="15"/>
              </w:rPr>
              <w:t>construct margin</w:t>
            </w:r>
          </w:p>
        </w:tc>
        <w:tc>
          <w:tcPr>
            <w:tcW w:type="dxa" w:w="1368"/>
          </w:tcPr>
          <w:p>
            <w:pPr>
              <w:spacing w:after="20"/>
            </w:pPr>
            <w:r>
              <w:rPr>
                <w:color w:val="1C3A36"/>
                <w:sz w:val="15"/>
              </w:rPr>
              <w:t>0.0899, 0.0899, 0.0899, 0.0899, 0.0899</w:t>
            </w:r>
          </w:p>
        </w:tc>
        <w:tc>
          <w:tcPr>
            <w:tcW w:type="dxa" w:w="1123"/>
          </w:tcPr>
          <w:p>
            <w:pPr>
              <w:spacing w:after="20"/>
            </w:pPr>
            <w:r>
              <w:rPr>
                <w:color w:val="1C3A36"/>
                <w:sz w:val="15"/>
              </w:rPr>
              <w:t>2026-08-11</w:t>
            </w:r>
          </w:p>
        </w:tc>
        <w:tc>
          <w:tcPr>
            <w:tcW w:type="dxa" w:w="5933"/>
          </w:tcPr>
          <w:p>
            <w:pPr>
              <w:spacing w:after="20"/>
            </w:pPr>
            <w:r>
              <w:rPr>
                <w:color w:val="1C3A36"/>
                <w:sz w:val="15"/>
              </w:rPr>
              <w:t>Constructions and infrastructure segment profit margin, RE-ANCHORED and held flat. FY2025 6.45% plus the measured like-for-like half change of +2.53pp (H1-2025 9.06% -&gt; H1-2026 11.59%). THE MEASURED DIRECTION IS UP and sharply, against the first edition's cautious 6.8% opening — the improvement is real and reviewed. It is NOT projected forward: a contracting margin turns on which projects reach their profitable phases in which period, no disclosure establishes that this mix is durable, and the half is held rather than extrapolated</w:t>
            </w:r>
          </w:p>
        </w:tc>
      </w:tr>
      <w:tr>
        <w:tc>
          <w:tcPr>
            <w:tcW w:type="dxa" w:w="1656"/>
          </w:tcPr>
          <w:p>
            <w:pPr>
              <w:spacing w:after="20"/>
            </w:pPr>
            <w:r>
              <w:rPr>
                <w:color w:val="1C3A36"/>
                <w:sz w:val="15"/>
              </w:rPr>
              <w:t>elecprod growth</w:t>
            </w:r>
          </w:p>
        </w:tc>
        <w:tc>
          <w:tcPr>
            <w:tcW w:type="dxa" w:w="1368"/>
          </w:tcPr>
          <w:p>
            <w:pPr>
              <w:spacing w:after="20"/>
            </w:pPr>
            <w:r>
              <w:rPr>
                <w:color w:val="1C3A36"/>
                <w:sz w:val="15"/>
              </w:rPr>
              <w:t>0.4828, 0.33, 0.23, 0.16, 0.11</w:t>
            </w:r>
          </w:p>
        </w:tc>
        <w:tc>
          <w:tcPr>
            <w:tcW w:type="dxa" w:w="1123"/>
          </w:tcPr>
          <w:p>
            <w:pPr>
              <w:spacing w:after="20"/>
            </w:pPr>
            <w:r>
              <w:rPr>
                <w:color w:val="1C3A36"/>
                <w:sz w:val="15"/>
              </w:rPr>
              <w:t>2026-09-10</w:t>
            </w:r>
          </w:p>
        </w:tc>
        <w:tc>
          <w:tcPr>
            <w:tcW w:type="dxa" w:w="5933"/>
          </w:tcPr>
          <w:p>
            <w:pPr>
              <w:spacing w:after="20"/>
            </w:pPr>
            <w:r>
              <w:rPr>
                <w:color w:val="1C3A36"/>
                <w:sz w:val="15"/>
              </w:rPr>
              <w:t>Electrical products and digital solutions segment revenue growth, RE-ANCHORED on the reviewed half. FY2026 is the segment's own measured like-for-like half growth, H1-2025 15,504 -&gt; H1-2026 22,989 = +48.28%; it then tapers to +11%. THE RETIRED PATH OPENED AT +20% — against a disclosed FY2025 of +43.7%, an FY2024 of +46.6% and a reviewed half running at +48.3%. Three consecutive disclosures said the same thing and the forecast halved the rate in year one with no named mechanism. THE MECHANISM FOR THE LEVEL IS NAMED AND DATED: this is the segment that makes transformers, and in August 2026 Elsewedy Electric — the listed company — signed a pre-purchase agreement to manufacture four high-voltage transformers of up to 360 MVA for Datagrid's Southland AI data centre via Transpower New Zealand, commissioning late 2027. The global grid-equipment cycle driving that order is the same one running through this segment's disclosed numbers. It is NOT extrapolated: the path halves the growth rate over four years</w:t>
            </w:r>
          </w:p>
        </w:tc>
      </w:tr>
      <w:tr>
        <w:tc>
          <w:tcPr>
            <w:tcW w:type="dxa" w:w="1656"/>
          </w:tcPr>
          <w:p>
            <w:pPr>
              <w:spacing w:after="20"/>
            </w:pPr>
            <w:r>
              <w:rPr>
                <w:color w:val="1C3A36"/>
                <w:sz w:val="15"/>
              </w:rPr>
              <w:t>elecprod margin</w:t>
            </w:r>
          </w:p>
        </w:tc>
        <w:tc>
          <w:tcPr>
            <w:tcW w:type="dxa" w:w="1368"/>
          </w:tcPr>
          <w:p>
            <w:pPr>
              <w:spacing w:after="20"/>
            </w:pPr>
            <w:r>
              <w:rPr>
                <w:color w:val="1C3A36"/>
                <w:sz w:val="15"/>
              </w:rPr>
              <w:t>0.2362, 0.2362, 0.2362, 0.2362, 0.2362</w:t>
            </w:r>
          </w:p>
        </w:tc>
        <w:tc>
          <w:tcPr>
            <w:tcW w:type="dxa" w:w="1123"/>
          </w:tcPr>
          <w:p>
            <w:pPr>
              <w:spacing w:after="20"/>
            </w:pPr>
            <w:r>
              <w:rPr>
                <w:color w:val="1C3A36"/>
                <w:sz w:val="15"/>
              </w:rPr>
              <w:t>2026-08-11</w:t>
            </w:r>
          </w:p>
        </w:tc>
        <w:tc>
          <w:tcPr>
            <w:tcW w:type="dxa" w:w="5933"/>
          </w:tcPr>
          <w:p>
            <w:pPr>
              <w:spacing w:after="20"/>
            </w:pPr>
            <w:r>
              <w:rPr>
                <w:color w:val="1C3A36"/>
                <w:sz w:val="15"/>
              </w:rPr>
              <w:t>Electrical products and digital solutions segment profit margin, RE-ANCHORED and held flat. FY2025 22.17% plus the measured like-for-like half change of +1.45pp (H1-2025 23.46% -&gt; H1-2026 24.91%). The least-compressed segment in FY2025 and the one recovering most quietly; held at the re-anchored level rather than drifting toward the FY2024 26.6%, which no measurement supports</w:t>
            </w:r>
          </w:p>
        </w:tc>
      </w:tr>
      <w:tr>
        <w:tc>
          <w:tcPr>
            <w:tcW w:type="dxa" w:w="1656"/>
          </w:tcPr>
          <w:p>
            <w:pPr>
              <w:spacing w:after="20"/>
            </w:pPr>
            <w:r>
              <w:rPr>
                <w:color w:val="1C3A36"/>
                <w:sz w:val="15"/>
              </w:rPr>
              <w:t>corp load</w:t>
            </w:r>
          </w:p>
        </w:tc>
        <w:tc>
          <w:tcPr>
            <w:tcW w:type="dxa" w:w="1368"/>
          </w:tcPr>
          <w:p>
            <w:pPr>
              <w:spacing w:after="20"/>
            </w:pPr>
            <w:r>
              <w:rPr>
                <w:color w:val="1C3A36"/>
                <w:sz w:val="15"/>
              </w:rPr>
              <w:t>0.0307, 0.0307, 0.0307, 0.0307, 0.0307</w:t>
            </w:r>
          </w:p>
        </w:tc>
        <w:tc>
          <w:tcPr>
            <w:tcW w:type="dxa" w:w="1123"/>
          </w:tcPr>
          <w:p>
            <w:pPr>
              <w:spacing w:after="20"/>
            </w:pPr>
            <w:r>
              <w:rPr>
                <w:color w:val="1C3A36"/>
                <w:sz w:val="15"/>
              </w:rPr>
              <w:t>2026-08-11</w:t>
            </w:r>
          </w:p>
        </w:tc>
        <w:tc>
          <w:tcPr>
            <w:tcW w:type="dxa" w:w="5933"/>
          </w:tcPr>
          <w:p>
            <w:pPr>
              <w:spacing w:after="20"/>
            </w:pPr>
            <w:r>
              <w:rPr>
                <w:color w:val="1C3A36"/>
                <w:sz w:val="15"/>
              </w:rPr>
              <w:t>Net corporate cost load, stated on the SEGMENT-PROFIT-TO-EBIT basis — the same basis as the audited historical bridge (FY2023 5.70%, FY2024 4.30%, FY2025 3.16%). RE-ANCHORED: FY2025's 3.16% plus the measured like-for-like half change of -0.09pp (H1-2025 3.96% -&gt; H1-2026 3.87%, both computed as segment profit less operating profit over revenue from the reviewed interim statements), held FLAT. The first edition glided it up toward 5.0% on the view that FY2025 was unusually low; the reviewed half measures the level holding, and no disclosure names a mechanism that would take it back up</w:t>
            </w:r>
          </w:p>
        </w:tc>
      </w:tr>
      <w:tr>
        <w:tc>
          <w:tcPr>
            <w:tcW w:type="dxa" w:w="1656"/>
          </w:tcPr>
          <w:p>
            <w:pPr>
              <w:spacing w:after="20"/>
            </w:pPr>
            <w:r>
              <w:rPr>
                <w:color w:val="1C3A36"/>
                <w:sz w:val="15"/>
              </w:rPr>
              <w:t>opex pct</w:t>
            </w:r>
          </w:p>
        </w:tc>
        <w:tc>
          <w:tcPr>
            <w:tcW w:type="dxa" w:w="1368"/>
          </w:tcPr>
          <w:p>
            <w:pPr>
              <w:spacing w:after="20"/>
            </w:pPr>
            <w:r>
              <w:rPr>
                <w:color w:val="1C3A36"/>
                <w:sz w:val="15"/>
              </w:rPr>
              <w:t>0.0307, 0.0307, 0.0307, 0.0307, 0.0307</w:t>
            </w:r>
          </w:p>
        </w:tc>
        <w:tc>
          <w:tcPr>
            <w:tcW w:type="dxa" w:w="1123"/>
          </w:tcPr>
          <w:p>
            <w:pPr>
              <w:spacing w:after="20"/>
            </w:pPr>
            <w:r>
              <w:rPr>
                <w:color w:val="1C3A36"/>
                <w:sz w:val="15"/>
              </w:rPr>
              <w:t>2026-08-11</w:t>
            </w:r>
          </w:p>
        </w:tc>
        <w:tc>
          <w:tcPr>
            <w:tcW w:type="dxa" w:w="5933"/>
          </w:tcPr>
          <w:p>
            <w:pPr>
              <w:spacing w:after="20"/>
            </w:pPr>
            <w:r>
              <w:rPr>
                <w:color w:val="1C3A36"/>
                <w:sz w:val="15"/>
              </w:rPr>
              <w:t>Alias of corp_load (segment-profit-to-EBIT basis), retained for compatibility with the DCF waterfall and sensitivity-grid code paths that reference a single operating-load driver</w:t>
            </w:r>
          </w:p>
        </w:tc>
      </w:tr>
      <w:tr>
        <w:tc>
          <w:tcPr>
            <w:tcW w:type="dxa" w:w="1656"/>
          </w:tcPr>
          <w:p>
            <w:pPr>
              <w:spacing w:after="20"/>
            </w:pPr>
            <w:r>
              <w:rPr>
                <w:color w:val="1C3A36"/>
                <w:sz w:val="15"/>
              </w:rPr>
              <w:t>kd</w:t>
            </w:r>
          </w:p>
        </w:tc>
        <w:tc>
          <w:tcPr>
            <w:tcW w:type="dxa" w:w="1368"/>
          </w:tcPr>
          <w:p>
            <w:pPr>
              <w:spacing w:after="20"/>
            </w:pPr>
            <w:r>
              <w:rPr>
                <w:color w:val="1C3A36"/>
                <w:sz w:val="15"/>
              </w:rPr>
              <w:t>0.095</w:t>
            </w:r>
          </w:p>
        </w:tc>
        <w:tc>
          <w:tcPr>
            <w:tcW w:type="dxa" w:w="1123"/>
          </w:tcPr>
          <w:p>
            <w:pPr>
              <w:spacing w:after="20"/>
            </w:pPr>
            <w:r>
              <w:rPr>
                <w:color w:val="1C3A36"/>
                <w:sz w:val="15"/>
              </w:rPr>
              <w:t>2026-05-13</w:t>
            </w:r>
          </w:p>
        </w:tc>
        <w:tc>
          <w:tcPr>
            <w:tcW w:type="dxa" w:w="5933"/>
          </w:tcPr>
          <w:p>
            <w:pPr>
              <w:spacing w:after="20"/>
            </w:pPr>
            <w:r>
              <w:rPr>
                <w:color w:val="1C3A36"/>
                <w:sz w:val="15"/>
              </w:rPr>
              <w:t>Marginal cost of debt, CURRENCY-BLENDED, rolled forward to the most recently disclosed rates. The audited FY2025 note (32) discloses 21.30% on Egyptian-pound financial liabilities and 5.29% blended on 'US dollars and foreign currencies' — a simpler two-way split than FY2024's three-way EGP/USD/EUR disclosure, which the company itself has moved away from. The Kd-integrity effective-rate back-solve below implies an Egyptian-pound weight of roughly 28% (down sharply from FY2024's ~44%, as the hard-currency share of the book grew), giving a blended marginal rate of about 9.8% on the FY2025 print and 9.6% on the Q1-2026 print (EGP 20.32%, foreign 5.28%). 9.5% is struck just below both, allowing for the CBE's continuing easing</w:t>
            </w:r>
          </w:p>
        </w:tc>
      </w:tr>
    </w:tbl>
    <w:p>
      <w:pPr>
        <w:spacing w:after="40"/>
      </w:pPr>
    </w:p>
    <w:p>
      <w:pPr>
        <w:spacing w:after="60" w:before="160"/>
      </w:pPr>
      <w:r>
        <w:rPr>
          <w:b/>
          <w:i w:val="0"/>
          <w:color w:val="1C3A36"/>
          <w:sz w:val="22"/>
        </w:rPr>
        <w:t>Company/derived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asset life derived</w:t>
            </w:r>
          </w:p>
        </w:tc>
        <w:tc>
          <w:tcPr>
            <w:tcW w:type="dxa" w:w="1368"/>
          </w:tcPr>
          <w:p>
            <w:pPr>
              <w:spacing w:after="20"/>
            </w:pPr>
            <w:r>
              <w:rPr>
                <w:color w:val="1C3A36"/>
                <w:sz w:val="15"/>
              </w:rPr>
              <w:t>17.2627</w:t>
            </w:r>
          </w:p>
        </w:tc>
        <w:tc>
          <w:tcPr>
            <w:tcW w:type="dxa" w:w="1123"/>
          </w:tcPr>
          <w:p>
            <w:pPr>
              <w:spacing w:after="20"/>
            </w:pPr>
            <w:r>
              <w:rPr>
                <w:color w:val="1C3A36"/>
                <w:sz w:val="15"/>
              </w:rPr>
              <w:t>2026-03-01</w:t>
            </w:r>
          </w:p>
        </w:tc>
        <w:tc>
          <w:tcPr>
            <w:tcW w:type="dxa" w:w="5933"/>
          </w:tcPr>
          <w:p>
            <w:pPr>
              <w:spacing w:after="20"/>
            </w:pPr>
            <w:r>
              <w:rPr>
                <w:color w:val="1C3A36"/>
                <w:sz w:val="15"/>
              </w:rPr>
              <w:t>DERIVED BY IDENTITY, not chosen: the AVERAGE depreciable gross cost across the year ((43,605.306327 opening + 50,775.950574 closing) / 2) over the year's own depreciation charge of 2,733.671862. The average is used rather than the closing balance because the base grew 16% in the year and a closing-cost ratio overstates the life on a fast-growing base (that reading is 18.5743 years). THE FIGURE IS CARRIED AT FULL PRECISION: it was registered as 17.26 and a rounded record is its own failure - the identity resolves to 17.2627 and nothing about the note is uncertain to two decimal places. Per component the closing-cost readings are buildings 29.00y, machinery 18.72y, furniture 8.45y, vehicles 8.45y, leasehold improvements 13.13y, against disclosed ranges of 8-50, 5-15, 4-17, 5-8 and 'over 3 years or the lease period' — the disclosed ranges are RANGES, and a life this desk picked from inside one would not be a disclosed life (SIGCM clause 1), which is why the identity is used instead. CORROBORATED TWICE: the same note read a year earlier gives 17.9761, and the composite implied by charging every class at the LONG END of its own disclosed range is 17.3041, agreement to 0.24% - the company depreciates at the top of every range it discloses and the identity recovers that without anybody choosing a point. The full record is in useful_lives.json beside this study.</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copper hist</w:t>
            </w:r>
          </w:p>
        </w:tc>
        <w:tc>
          <w:tcPr>
            <w:tcW w:type="dxa" w:w="1368"/>
          </w:tcPr>
          <w:p>
            <w:pPr>
              <w:spacing w:after="20"/>
            </w:pPr>
            <w:r>
              <w:rPr>
                <w:color w:val="1C3A36"/>
                <w:sz w:val="15"/>
              </w:rPr>
              <w:t>FY23: 8,478.0; FY24: 9,147.0; FY25: 10,000.0</w:t>
            </w:r>
          </w:p>
        </w:tc>
        <w:tc>
          <w:tcPr>
            <w:tcW w:type="dxa" w:w="1123"/>
          </w:tcPr>
          <w:p>
            <w:pPr>
              <w:spacing w:after="20"/>
            </w:pPr>
            <w:r>
              <w:rPr>
                <w:color w:val="1C3A36"/>
                <w:sz w:val="15"/>
              </w:rPr>
              <w:t>2026-08-05</w:t>
            </w:r>
          </w:p>
        </w:tc>
        <w:tc>
          <w:tcPr>
            <w:tcW w:type="dxa" w:w="5933"/>
          </w:tcPr>
          <w:p>
            <w:pPr>
              <w:spacing w:after="20"/>
            </w:pPr>
            <w:r>
              <w:rPr>
                <w:color w:val="1C3A36"/>
                <w:sz w:val="15"/>
              </w:rPr>
              <w:t>LME copper cash, annual average USD/tonne (house commodity reference) — used only as a GROWTH driver for the Cables segment (Cables revenue is genuinely copper-linked; the company DOES disclose tonnage, quarterly, and the series is registered below — an earlier edition of this line said it did not. The model tracks the copper x FX growth rate rather than reconstructing an absolute volume)</w:t>
            </w:r>
          </w:p>
        </w:tc>
      </w:tr>
      <w:tr>
        <w:tc>
          <w:tcPr>
            <w:tcW w:type="dxa" w:w="1656"/>
          </w:tcPr>
          <w:p>
            <w:pPr>
              <w:spacing w:after="20"/>
            </w:pPr>
            <w:r>
              <w:rPr>
                <w:color w:val="1C3A36"/>
                <w:sz w:val="15"/>
              </w:rPr>
              <w:t>copper fcst</w:t>
            </w:r>
          </w:p>
        </w:tc>
        <w:tc>
          <w:tcPr>
            <w:tcW w:type="dxa" w:w="1368"/>
          </w:tcPr>
          <w:p>
            <w:pPr>
              <w:spacing w:after="20"/>
            </w:pPr>
            <w:r>
              <w:rPr>
                <w:color w:val="1C3A36"/>
                <w:sz w:val="15"/>
              </w:rPr>
              <w:t>13,400.0, 14,350.0, 14,708.7, 15,076.5, 15,453.4</w:t>
            </w:r>
          </w:p>
        </w:tc>
        <w:tc>
          <w:tcPr>
            <w:tcW w:type="dxa" w:w="1123"/>
          </w:tcPr>
          <w:p>
            <w:pPr>
              <w:spacing w:after="20"/>
            </w:pPr>
            <w:r>
              <w:rPr>
                <w:color w:val="1C3A36"/>
                <w:sz w:val="15"/>
              </w:rPr>
              <w:t>2026-08-05</w:t>
            </w:r>
          </w:p>
        </w:tc>
        <w:tc>
          <w:tcPr>
            <w:tcW w:type="dxa" w:w="5933"/>
          </w:tcPr>
          <w:p>
            <w:pPr>
              <w:spacing w:after="20"/>
            </w:pPr>
            <w:r>
              <w:rPr>
                <w:color w:val="1C3A36"/>
                <w:sz w:val="15"/>
              </w:rPr>
              <w:t>LME copper. FY2026 is set at USD 13,400/t, between the Q1-2026 average actually realised and the current cash price of about 14,000 (early August 2026); thereafter that level is ESCALATED AT THE HOUSE'S OWN US LONG-RUN INFLATION of 2.5% a year, reaching about 15,453/t by FY2030E. It is NOT held flat and this note said it was for two editions after the path changed: holding a dollar price flat in nominal terms is a real decline of 2.5% a year, which is a directional view on copper and not the absence of one. The level is still not a forecast — it is today's price carried forward in real terms. Copper is the largest single input into the Cables segment and a genuine directional view on it would dominate the valuation. The -10% column of the sensitivity carries the mean-reversion case</w:t>
            </w:r>
          </w:p>
        </w:tc>
      </w:tr>
    </w:tbl>
    <w:p>
      <w:pPr>
        <w:spacing w:after="40"/>
      </w:pPr>
    </w:p>
    <w:p>
      <w:pPr>
        <w:spacing w:after="60" w:before="160"/>
      </w:pPr>
      <w:r>
        <w:rPr>
          <w:b/>
          <w:i w:val="0"/>
          <w:color w:val="1C3A36"/>
          <w:sz w:val="22"/>
        </w:rPr>
        <w:t>Market/Company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electra mto</w:t>
            </w:r>
          </w:p>
        </w:tc>
        <w:tc>
          <w:tcPr>
            <w:tcW w:type="dxa" w:w="1368"/>
          </w:tcPr>
          <w:p>
            <w:pPr>
              <w:spacing w:after="20"/>
            </w:pPr>
            <w:r>
              <w:rPr>
                <w:color w:val="1C3A36"/>
                <w:sz w:val="15"/>
              </w:rPr>
              <w:t>price_usd: 1.05; shares_mn: 427.7; value_usdmn: 449.1; date: 2024-07; stake: 0.1998</w:t>
            </w:r>
          </w:p>
        </w:tc>
        <w:tc>
          <w:tcPr>
            <w:tcW w:type="dxa" w:w="1123"/>
          </w:tcPr>
          <w:p>
            <w:pPr>
              <w:spacing w:after="20"/>
            </w:pPr>
            <w:r>
              <w:rPr>
                <w:color w:val="1C3A36"/>
                <w:sz w:val="15"/>
              </w:rPr>
              <w:t>2024-07</w:t>
            </w:r>
          </w:p>
        </w:tc>
        <w:tc>
          <w:tcPr>
            <w:tcW w:type="dxa" w:w="5933"/>
          </w:tcPr>
          <w:p>
            <w:pPr>
              <w:spacing w:after="20"/>
            </w:pPr>
            <w:r>
              <w:rPr>
                <w:color w:val="1C3A36"/>
                <w:sz w:val="15"/>
              </w:rPr>
              <w:t>Electra Investment Holding's mandatory tender offer, concluded July 2024: ~427.7mn shares (19.98%) at USD 1.05/share, ~USD 449mn. Recorded as the last known price at which a strategic buyer cleared a fifth of the company. NOT used as a valuation anchor: it is two years stale and struck before the earnings base grew materially. Electra's stake has since drifted down to 18.87% (31-Dec-2025) as shares were placed into the float</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7.6%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near 19.7% of revenue</w:t>
            </w:r>
          </w:p>
        </w:tc>
        <w:tc>
          <w:tcPr>
            <w:tcW w:type="dxa" w:w="2520"/>
          </w:tcPr>
          <w:p>
            <w:pPr>
              <w:spacing w:after="20"/>
            </w:pPr>
            <w:r>
              <w:rPr>
                <w:color w:val="1C3A36"/>
                <w:sz w:val="15"/>
              </w:rPr>
              <w:t>Net working capital stays near 19.7% of revenue — the level measured on the REVIEWED 30 June 2026 balance sheet, not the FY2025 audited level of 19.87% an earlier edition of this row named</w:t>
            </w:r>
          </w:p>
        </w:tc>
        <w:tc>
          <w:tcPr>
            <w:tcW w:type="dxa" w:w="2952"/>
          </w:tcPr>
          <w:p>
            <w:pPr>
              <w:spacing w:after="20"/>
            </w:pPr>
            <w:r>
              <w:rPr>
                <w:color w:val="1C3A36"/>
                <w:sz w:val="15"/>
              </w:rPr>
              <w:t>All three audited years show working capital absorbing cash rather than converting, though FY2025 improved (24.1% -&gt; 23.1% -&gt; 19.9% of revenue)</w:t>
            </w:r>
          </w:p>
        </w:tc>
        <w:tc>
          <w:tcPr>
            <w:tcW w:type="dxa" w:w="2664"/>
          </w:tcPr>
          <w:p>
            <w:pPr>
              <w:spacing w:after="20"/>
            </w:pPr>
            <w:r>
              <w:rPr>
                <w:color w:val="1C3A36"/>
                <w:sz w:val="15"/>
              </w:rPr>
              <w:t>Two consecutive years of operating cash flow above 60% of EBITDA</w:t>
            </w:r>
          </w:p>
        </w:tc>
      </w:tr>
      <w:tr>
        <w:tc>
          <w:tcPr>
            <w:tcW w:type="dxa" w:w="1944"/>
          </w:tcPr>
          <w:p>
            <w:pPr>
              <w:spacing w:after="20"/>
            </w:pPr>
            <w:r>
              <w:rPr>
                <w:color w:val="1C3A36"/>
                <w:sz w:val="15"/>
              </w:rPr>
              <w:t>Valuation date rolled to the anchor</w:t>
            </w:r>
          </w:p>
        </w:tc>
        <w:tc>
          <w:tcPr>
            <w:tcW w:type="dxa" w:w="2520"/>
          </w:tcPr>
          <w:p>
            <w:pPr>
              <w:spacing w:after="20"/>
            </w:pPr>
            <w:r>
              <w:rPr>
                <w:color w:val="1C3A36"/>
                <w:sz w:val="15"/>
              </w:rPr>
              <w:t>Every lens value, dated 31 December 2025 by construction, is rolled 246/365 of a year to the 2026-09-03 anchor at the cost of equity, less the EGP 1.85 dividend paid in the window</w:t>
            </w:r>
          </w:p>
        </w:tc>
        <w:tc>
          <w:tcPr>
            <w:tcW w:type="dxa" w:w="2952"/>
          </w:tcPr>
          <w:p>
            <w:pPr>
              <w:spacing w:after="20"/>
            </w:pPr>
            <w:r>
              <w:rPr>
                <w:color w:val="1C3A36"/>
                <w:sz w:val="15"/>
              </w:rPr>
              <w:t>The comparison price is dated 2026-09-03; comparing an end-2025 value to it would leave seven months of accretion out of the comparison — an external review flagged the omission and it was accepted</w:t>
            </w:r>
          </w:p>
        </w:tc>
        <w:tc>
          <w:tcPr>
            <w:tcW w:type="dxa" w:w="2664"/>
          </w:tcPr>
          <w:p>
            <w:pPr>
              <w:spacing w:after="20"/>
            </w:pPr>
            <w:r>
              <w:rPr>
                <w:color w:val="1C3A36"/>
                <w:sz w:val="15"/>
              </w:rPr>
              <w:t>A different roll rate (the risk-free rate instead of the cost of equity) would cut the accretion roughly in half; the cost-of-equity roll is the discount identity's own rate</w:t>
            </w:r>
          </w:p>
        </w:tc>
      </w:tr>
      <w:tr>
        <w:tc>
          <w:tcPr>
            <w:tcW w:type="dxa" w:w="1944"/>
          </w:tcPr>
          <w:p>
            <w:pPr>
              <w:spacing w:after="20"/>
            </w:pPr>
            <w:r>
              <w:rPr>
                <w:color w:val="1C3A36"/>
                <w:sz w:val="15"/>
              </w:rPr>
              <w:t>Terminal net-debt weight of 15%</w:t>
            </w:r>
          </w:p>
        </w:tc>
        <w:tc>
          <w:tcPr>
            <w:tcW w:type="dxa" w:w="2520"/>
          </w:tcPr>
          <w:p>
            <w:pPr>
              <w:spacing w:after="20"/>
            </w:pPr>
            <w:r>
              <w:rPr>
                <w:color w:val="1C3A36"/>
                <w:sz w:val="15"/>
              </w:rPr>
              <w:t>Revised from 25% after review: the old weight contradicted the model's own forecast deleveraging in the direction that flattered the valuation</w:t>
            </w:r>
          </w:p>
        </w:tc>
        <w:tc>
          <w:tcPr>
            <w:tcW w:type="dxa" w:w="2952"/>
          </w:tcPr>
          <w:p>
            <w:pPr>
              <w:spacing w:after="20"/>
            </w:pPr>
            <w:r>
              <w:rPr>
                <w:color w:val="1C3A36"/>
                <w:sz w:val="15"/>
              </w:rPr>
              <w:t>At a 25% payout the forecast net-debt weight still falls toward mid-single digits by FY2030E; 15% splits the difference between today's 8.4% and a structurally levered steady state, and costs about 2.4/share on the weighted central versus 25%</w:t>
            </w:r>
          </w:p>
        </w:tc>
        <w:tc>
          <w:tcPr>
            <w:tcW w:type="dxa" w:w="2664"/>
          </w:tcPr>
          <w:p>
            <w:pPr>
              <w:spacing w:after="20"/>
            </w:pPr>
            <w:r>
              <w:rPr>
                <w:color w:val="1C3A36"/>
                <w:sz w:val="15"/>
              </w:rPr>
              <w:t>Evidence the group intends to run materially higher structural net leverage</w:t>
            </w:r>
          </w:p>
        </w:tc>
      </w:tr>
      <w:tr>
        <w:tc>
          <w:tcPr>
            <w:tcW w:type="dxa" w:w="1944"/>
          </w:tcPr>
          <w:p>
            <w:pPr>
              <w:spacing w:after="20"/>
            </w:pPr>
            <w:r>
              <w:rPr>
                <w:color w:val="1C3A36"/>
                <w:sz w:val="15"/>
              </w:rPr>
              <w:t>Forecast payout ratio of 25%</w:t>
            </w:r>
          </w:p>
        </w:tc>
        <w:tc>
          <w:tcPr>
            <w:tcW w:type="dxa" w:w="2520"/>
          </w:tcPr>
          <w:p>
            <w:pPr>
              <w:spacing w:after="20"/>
            </w:pPr>
            <w:r>
              <w:rPr>
                <w:color w:val="1C3A36"/>
                <w:sz w:val="15"/>
              </w:rPr>
              <w:t>Struck at the actual FY2025 payout (EGP 1.85/share = 22.9% of attributable EPS), rounded up for the rising trajectory the step-up implies</w:t>
            </w:r>
          </w:p>
        </w:tc>
        <w:tc>
          <w:tcPr>
            <w:tcW w:type="dxa" w:w="2952"/>
          </w:tcPr>
          <w:p>
            <w:pPr>
              <w:spacing w:after="20"/>
            </w:pPr>
            <w:r>
              <w:rPr>
                <w:color w:val="1C3A36"/>
                <w:sz w:val="15"/>
              </w:rPr>
              <w:t>The FY2025 dividend was ratified 6 May 2026 and paid from 4 June 2026 (EGX disclosure); an earlier revision wrongly removed it on absence-of-evidence grounds</w:t>
            </w:r>
          </w:p>
        </w:tc>
        <w:tc>
          <w:tcPr>
            <w:tcW w:type="dxa" w:w="2664"/>
          </w:tcPr>
          <w:p>
            <w:pPr>
              <w:spacing w:after="20"/>
            </w:pPr>
            <w:r>
              <w:rPr>
                <w:color w:val="1C3A36"/>
                <w:sz w:val="15"/>
              </w:rPr>
              <w:t>The distribution proposed on the FY2026 result</w:t>
            </w:r>
          </w:p>
        </w:tc>
      </w:tr>
      <w:tr>
        <w:tc>
          <w:tcPr>
            <w:tcW w:type="dxa" w:w="1944"/>
          </w:tcPr>
          <w:p>
            <w:pPr>
              <w:spacing w:after="20"/>
            </w:pPr>
            <w:r>
              <w:rPr>
                <w:color w:val="1C3A36"/>
                <w:sz w:val="15"/>
              </w:rPr>
              <w:t>Terminal growth of 9.1%</w:t>
            </w:r>
          </w:p>
        </w:tc>
        <w:tc>
          <w:tcPr>
            <w:tcW w:type="dxa" w:w="2520"/>
          </w:tcPr>
          <w:p>
            <w:pPr>
              <w:spacing w:after="20"/>
            </w:pPr>
            <w:r>
              <w:rPr>
                <w:color w:val="1C3A36"/>
                <w:sz w:val="15"/>
              </w:rPr>
              <w:t>Derived from the house macro path — 7.0% long-run Egyptian inflation compounded with a 2.0% real rate — and sensitised 7.1%-11.1% around it. NOT a standing centre chosen for the market: an earlier edition of this row published 5% 'sensitised 3-7%', which is the construction this study retired, and which does not contain the rate the study actually strikes</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24.5% for NOPAT</w:t>
            </w:r>
          </w:p>
        </w:tc>
        <w:tc>
          <w:tcPr>
            <w:tcW w:type="dxa" w:w="2520"/>
          </w:tcPr>
          <w:p>
            <w:pPr>
              <w:spacing w:after="20"/>
            </w:pPr>
            <w:r>
              <w:rPr>
                <w:color w:val="1C3A36"/>
                <w:sz w:val="15"/>
              </w:rPr>
              <w:t>Above the Egyptian statutory rate, between the FY2025 print and the historical average</w:t>
            </w:r>
          </w:p>
        </w:tc>
        <w:tc>
          <w:tcPr>
            <w:tcW w:type="dxa" w:w="2952"/>
          </w:tcPr>
          <w:p>
            <w:pPr>
              <w:spacing w:after="20"/>
            </w:pPr>
            <w:r>
              <w:rPr>
                <w:color w:val="1C3A36"/>
                <w:sz w:val="15"/>
              </w:rPr>
              <w:t>Audited effective rates ran 31.3% (FY2023), 30.1% (FY2024) and 22.6% (FY2025), then 25.8% (Q1-2026) and 30.9% (H1-2026) — which implies 35.2% in the second quarter alone, so the adopted rate sits below all four of the most recent readings. No statutory-vs-effective reconciliation is disclosed, and the group pays tax in 15+ jurisdictions plus Free-Zone entities on a revenue basis</w:t>
            </w:r>
          </w:p>
        </w:tc>
        <w:tc>
          <w:tcPr>
            <w:tcW w:type="dxa" w:w="2664"/>
          </w:tcPr>
          <w:p>
            <w:pPr>
              <w:spacing w:after="20"/>
            </w:pPr>
            <w:r>
              <w:rPr>
                <w:color w:val="1C3A36"/>
                <w:sz w:val="15"/>
              </w:rPr>
              <w:t>A sustained repeat of the FY2025 low, or of the 30.9% the reviewed half printed, in either direction</w:t>
            </w:r>
          </w:p>
        </w:tc>
      </w:tr>
      <w:tr>
        <w:tc>
          <w:tcPr>
            <w:tcW w:type="dxa" w:w="1944"/>
          </w:tcPr>
          <w:p>
            <w:pPr>
              <w:spacing w:after="20"/>
            </w:pPr>
            <w:r>
              <w:rPr>
                <w:color w:val="1C3A36"/>
                <w:sz w:val="15"/>
              </w:rPr>
              <w:t>Segment margins compressed rather than held at their FY2025 level</w:t>
            </w:r>
          </w:p>
        </w:tc>
        <w:tc>
          <w:tcPr>
            <w:tcW w:type="dxa" w:w="2520"/>
          </w:tcPr>
          <w:p>
            <w:pPr>
              <w:spacing w:after="20"/>
            </w:pPr>
            <w:r>
              <w:rPr>
                <w:color w:val="1C3A36"/>
                <w:sz w:val="15"/>
              </w:rPr>
              <w:t>Cables and Constructions margins recover PARTIALLY over the forecast; Electrical products holds closest to its FY2025 level</w:t>
            </w:r>
          </w:p>
        </w:tc>
        <w:tc>
          <w:tcPr>
            <w:tcW w:type="dxa" w:w="2952"/>
          </w:tcPr>
          <w:p>
            <w:pPr>
              <w:spacing w:after="20"/>
            </w:pPr>
            <w:r>
              <w:rPr>
                <w:color w:val="1C3A36"/>
                <w:sz w:val="15"/>
              </w:rPr>
              <w:t>All three disclosed segments compressed in FY2025 versus FY2023; the causes (copper pass-through, competitive pricing) are not disclosed as transitory or structural</w:t>
            </w:r>
          </w:p>
        </w:tc>
        <w:tc>
          <w:tcPr>
            <w:tcW w:type="dxa" w:w="2664"/>
          </w:tcPr>
          <w:p>
            <w:pPr>
              <w:spacing w:after="20"/>
            </w:pPr>
            <w:r>
              <w:rPr>
                <w:color w:val="1C3A36"/>
                <w:sz w:val="15"/>
              </w:rPr>
              <w:t>Two consecutive years of segment margin at or above the FY2023-24 average</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This study was rebuilt once the company's own audited FY2023, FY2024 and FY2025 consolidated financial statements and its Q1-2026 condensed interim statements became available. An earlier version of this study, built before those filings were in hand, had to triangulate and derive several FY2025 figures from press coverage and company commentary; every one of those derivations has now been replaced by the audited figure itself, and the items below record what is still not disclosed anywhere in the four primary filings, rather than what could not be reached.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An order book, backlog or unit-volume (tonnage, MVA, meter-count) disclosure for any segment, in any of the four filings including the Q1-2026 interim</w:t>
            </w:r>
          </w:p>
        </w:tc>
        <w:tc>
          <w:tcPr>
            <w:tcW w:type="dxa" w:w="3384"/>
          </w:tcPr>
          <w:p>
            <w:pPr>
              <w:spacing w:after="20"/>
            </w:pPr>
            <w:r>
              <w:rPr>
                <w:color w:val="1C3A36"/>
                <w:sz w:val="15"/>
              </w:rPr>
              <w:t>Not disclosed IN THE FILINGS. The company reports only segment revenue (Note 5-3) and segment profit (Note 16) — no volumes, prices or backlog. Its own quarterly earnings releases DO carry cable tonnage and an engineering backlog, and those are read; they are the issuer's own publications but they are not audited</w:t>
            </w:r>
          </w:p>
        </w:tc>
        <w:tc>
          <w:tcPr>
            <w:tcW w:type="dxa" w:w="4464"/>
          </w:tcPr>
          <w:p>
            <w:pPr>
              <w:spacing w:after="20"/>
            </w:pPr>
            <w:r>
              <w:rPr>
                <w:color w:val="1C3A36"/>
                <w:sz w:val="15"/>
              </w:rPr>
              <w:t>Cables is built on the disclosed tonnage series times a copper and currency pass-through measured out of the segment's own audited revenue per tonne — a unit model, on an unaudited issuer disclosure, labelled as such. Constructions and Electrical products taper on their own recent revenue CAGR, because the releases disclose no burn profile for the backlog and the segment aggregates products that no filing splits</w:t>
            </w:r>
          </w:p>
        </w:tc>
      </w:tr>
      <w:tr>
        <w:tc>
          <w:tcPr>
            <w:tcW w:type="dxa" w:w="2232"/>
          </w:tcPr>
          <w:p>
            <w:pPr>
              <w:spacing w:after="20"/>
            </w:pPr>
            <w:r>
              <w:rPr>
                <w:color w:val="1C3A36"/>
                <w:sz w:val="15"/>
              </w:rPr>
              <w:t>A facility-by-facility or currency-by-currency breakdown of the debt book finer than the two-way EGP / hard-currency split disclosed in the FY2025 and Q1-2026 borrowings notes</w:t>
            </w:r>
          </w:p>
        </w:tc>
        <w:tc>
          <w:tcPr>
            <w:tcW w:type="dxa" w:w="3384"/>
          </w:tcPr>
          <w:p>
            <w:pPr>
              <w:spacing w:after="20"/>
            </w:pPr>
            <w:r>
              <w:rPr>
                <w:color w:val="1C3A36"/>
                <w:sz w:val="15"/>
              </w:rPr>
              <w:t>Not disclosed at finer granularity; the FY2024 filing's own three-way EGP/USD/EUR split was itself replaced by the simpler two-way format in FY2025</w:t>
            </w:r>
          </w:p>
        </w:tc>
        <w:tc>
          <w:tcPr>
            <w:tcW w:type="dxa" w:w="4464"/>
          </w:tcPr>
          <w:p>
            <w:pPr>
              <w:spacing w:after="20"/>
            </w:pPr>
            <w:r>
              <w:rPr>
                <w:color w:val="1C3A36"/>
                <w:sz w:val="15"/>
              </w:rPr>
              <w:t>The Egyptian-pound share of the book is back-solved from the independently computed effective interest rate against the two disclosed currency-bucket rates, and is labelled as inferred</w:t>
            </w:r>
          </w:p>
        </w:tc>
      </w:tr>
      <w:tr>
        <w:tc>
          <w:tcPr>
            <w:tcW w:type="dxa" w:w="2232"/>
          </w:tcPr>
          <w:p>
            <w:pPr>
              <w:spacing w:after="20"/>
            </w:pPr>
            <w:r>
              <w:rPr>
                <w:color w:val="1C3A36"/>
                <w:sz w:val="15"/>
              </w:rPr>
              <w:t>A declared, proposed or approved FY2025 dividend — RESOLVED, and the earlier handling corrected</w:t>
            </w:r>
          </w:p>
        </w:tc>
        <w:tc>
          <w:tcPr>
            <w:tcW w:type="dxa" w:w="3384"/>
          </w:tcPr>
          <w:p>
            <w:pPr>
              <w:spacing w:after="20"/>
            </w:pPr>
            <w:r>
              <w:rPr>
                <w:color w:val="1C3A36"/>
                <w:sz w:val="15"/>
              </w:rPr>
              <w:t>Not disclosed in the FY2025 annual filing or the Q1-2026 interim — but the interim covers a period ending 31 March and carries no subsequent-events note, so its silence was never evidence. The dividend exists: EGP 1.85/share, ratified by the general assembly 6 May 2026, rights through 1 June, paid from 4 June 2026 (EGX disclosure, corroborated by financial-press coverage and the quoted trailing yield)</w:t>
            </w:r>
          </w:p>
        </w:tc>
        <w:tc>
          <w:tcPr>
            <w:tcW w:type="dxa" w:w="4464"/>
          </w:tcPr>
          <w:p>
            <w:pPr>
              <w:spacing w:after="20"/>
            </w:pPr>
            <w:r>
              <w:rPr>
                <w:color w:val="1C3A36"/>
                <w:sz w:val="15"/>
              </w:rPr>
              <w:t>An earlier revision removed the dividend on absence-of-evidence grounds — an error, flagged by external review and corrected: the model now carries EGP 1.85 and a 25% forecast payout. Recorded here because reasoning from the silence of a document that could not have contained the fact is exactly the failure mode this register exists to catch</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2026-09-03 and no narrative is attached to the move</w:t>
            </w:r>
          </w:p>
        </w:tc>
      </w:tr>
    </w:tbl>
    <w:p>
      <w:pPr>
        <w:spacing w:after="40"/>
      </w:pPr>
    </w:p>
    <w:p>
      <w:pPr>
        <w:spacing w:after="80" w:before="240"/>
      </w:pPr>
      <w:r>
        <w:rPr>
          <w:b/>
          <w:i w:val="0"/>
          <w:color w:val="1C3A36"/>
          <w:sz w:val="26"/>
        </w:rPr>
        <w:t>A note on aggregator and press data</w:t>
      </w:r>
    </w:p>
    <w:p>
      <w:pPr>
        <w:spacing w:after="100" w:before="0"/>
      </w:pPr>
      <w:r>
        <w:rPr>
          <w:b w:val="0"/>
          <w:i w:val="0"/>
          <w:color w:val="1C3A36"/>
          <w:sz w:val="20"/>
        </w:rPr>
        <w:t>An earlier version of this study relied on press coverage and company commentary for FY2025, because the audited filings were not reachable from the research environment at the time. One material discrepancy was found in that process and is recorded here for the audit trail: a widely syndicated "FY2025" balance sheet — total assets, total equity, total debt and cash — reproduced the company's audited 31 December 2024 figures exactly, one year stale, and was discarded. All balance-sheet, income-statement and segment figures in the current study are taken directly from the audited FY2023-25 consolidated statements and the Q1-2026 condensed interim statements; no aggregator or press figure remains in the model.</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