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6 August 2026</w:t>
      </w:r>
    </w:p>
    <w:p>
      <w:pPr>
        <w:spacing w:after="200" w:before="0"/>
      </w:pPr>
      <w:r>
        <w:rPr>
          <w:b w:val="0"/>
          <w:i w:val="0"/>
          <w:color w:val="1C3A36"/>
          <w:sz w:val="24"/>
        </w:rPr>
        <w:t>A single-plant cement producer, sitting on net cash worth 37%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Four lenses put the shares between EGP 43.81 and EGP 87.37, weighting to a central EGP 53.12 against a market price of EGP 79.00 — -32.8%.</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43.81</w:t>
            </w:r>
          </w:p>
        </w:tc>
        <w:tc>
          <w:tcPr>
            <w:tcW w:type="dxa" w:w="1037"/>
          </w:tcPr>
          <w:p>
            <w:pPr>
              <w:spacing w:after="20"/>
              <w:jc w:val="right"/>
            </w:pPr>
            <w:r>
              <w:rPr>
                <w:color w:val="1C3A36"/>
                <w:sz w:val="18"/>
              </w:rPr>
              <w:t>48%</w:t>
            </w:r>
          </w:p>
        </w:tc>
        <w:tc>
          <w:tcPr>
            <w:tcW w:type="dxa" w:w="1469"/>
          </w:tcPr>
          <w:p>
            <w:pPr>
              <w:spacing w:after="20"/>
              <w:jc w:val="right"/>
            </w:pPr>
            <w:r>
              <w:rPr>
                <w:color w:val="1C3A36"/>
                <w:sz w:val="18"/>
              </w:rPr>
              <w:t>-44.5%</w:t>
            </w:r>
          </w:p>
        </w:tc>
        <w:tc>
          <w:tcPr>
            <w:tcW w:type="dxa" w:w="1958"/>
          </w:tcPr>
          <w:p>
            <w:pPr>
              <w:spacing w:after="20"/>
              <w:jc w:val="right"/>
            </w:pPr>
            <w:r>
              <w:rPr>
                <w:color w:val="1C3A36"/>
                <w:sz w:val="18"/>
              </w:rPr>
              <w:t>49.2%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55.88</w:t>
            </w:r>
          </w:p>
        </w:tc>
        <w:tc>
          <w:tcPr>
            <w:tcW w:type="dxa" w:w="1037"/>
          </w:tcPr>
          <w:p>
            <w:pPr>
              <w:spacing w:after="20"/>
              <w:jc w:val="right"/>
            </w:pPr>
            <w:r>
              <w:rPr>
                <w:color w:val="1C3A36"/>
                <w:sz w:val="18"/>
              </w:rPr>
              <w:t>21%</w:t>
            </w:r>
          </w:p>
        </w:tc>
        <w:tc>
          <w:tcPr>
            <w:tcW w:type="dxa" w:w="1469"/>
          </w:tcPr>
          <w:p>
            <w:pPr>
              <w:spacing w:after="20"/>
              <w:jc w:val="right"/>
            </w:pPr>
            <w:r>
              <w:rPr>
                <w:color w:val="1C3A36"/>
                <w:sz w:val="18"/>
              </w:rPr>
              <w:t>-29.3%</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58.10</w:t>
            </w:r>
          </w:p>
        </w:tc>
        <w:tc>
          <w:tcPr>
            <w:tcW w:type="dxa" w:w="1037"/>
          </w:tcPr>
          <w:p>
            <w:pPr>
              <w:spacing w:after="20"/>
              <w:jc w:val="right"/>
            </w:pPr>
            <w:r>
              <w:rPr>
                <w:color w:val="1C3A36"/>
                <w:sz w:val="18"/>
              </w:rPr>
              <w:t>23%</w:t>
            </w:r>
          </w:p>
        </w:tc>
        <w:tc>
          <w:tcPr>
            <w:tcW w:type="dxa" w:w="1469"/>
          </w:tcPr>
          <w:p>
            <w:pPr>
              <w:spacing w:after="20"/>
              <w:jc w:val="right"/>
            </w:pPr>
            <w:r>
              <w:rPr>
                <w:color w:val="1C3A36"/>
                <w:sz w:val="18"/>
              </w:rPr>
              <w:t>-26.5%</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87.37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+10.6%</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53.12</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-32.8%</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43.81 – 87.37</w:t>
            </w:r>
          </w:p>
        </w:tc>
        <w:tc>
          <w:tcPr>
            <w:tcW w:type="dxa" w:w="1037"/>
          </w:tcPr>
          <w:p>
            <w:pPr>
              <w:spacing w:after="20"/>
              <w:jc w:val="right"/>
            </w:pPr>
            <w:r>
              <w:rPr>
                <w:color w:val="1C3A36"/>
                <w:sz w:val="18"/>
              </w:rPr>
              <w:t>—</w:t>
            </w:r>
          </w:p>
        </w:tc>
        <w:tc>
          <w:tcPr>
            <w:tcW w:type="dxa" w:w="1469"/>
          </w:tcPr>
          <w:p>
            <w:pPr>
              <w:spacing w:after="20"/>
              <w:jc w:val="right"/>
            </w:pPr>
            <w:r>
              <w:rPr>
                <w:color w:val="1C3A36"/>
                <w:sz w:val="18"/>
              </w:rPr>
              <w:t>-44.5% to +10.6%</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79.00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-48.1%</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3,070 million in FY2024 on revenue of EGP 6,420 million is a 48% net margin. No cement plant earns that from making cement. That year contains the Sinai White disposal gain of roughly EGP 1,502 million and treasury income of EGP 582 million. THE UNDERLYING FIGURE IS NOT THE REPORTED PROFIT LESS THE GAIN: it is operating profit of EGP 1,192 million plus that treasury income, taxed at the effective 32.0%, which is EGP 1,206 million — so FY2025 profit +90% rather than -25%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carries 48% of the weight. It runs on a volume-and-price build off one plant, discounts each year at that year's own cost of capital, and capitalises a terminal value at a separately built terminal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9,676</w:t>
            </w:r>
          </w:p>
        </w:tc>
        <w:tc>
          <w:tcPr>
            <w:tcW w:type="dxa" w:w="1354"/>
          </w:tcPr>
          <w:p>
            <w:pPr>
              <w:spacing w:after="20"/>
              <w:jc w:val="right"/>
            </w:pPr>
            <w:r>
              <w:rPr>
                <w:color w:val="1C3A36"/>
                <w:sz w:val="18"/>
              </w:rPr>
              <w:t>10,309</w:t>
            </w:r>
          </w:p>
        </w:tc>
        <w:tc>
          <w:tcPr>
            <w:tcW w:type="dxa" w:w="1354"/>
          </w:tcPr>
          <w:p>
            <w:pPr>
              <w:spacing w:after="20"/>
              <w:jc w:val="right"/>
            </w:pPr>
            <w:r>
              <w:rPr>
                <w:color w:val="1C3A36"/>
                <w:sz w:val="18"/>
              </w:rPr>
              <w:t>11,026</w:t>
            </w:r>
          </w:p>
        </w:tc>
        <w:tc>
          <w:tcPr>
            <w:tcW w:type="dxa" w:w="1354"/>
          </w:tcPr>
          <w:p>
            <w:pPr>
              <w:spacing w:after="20"/>
              <w:jc w:val="right"/>
            </w:pPr>
            <w:r>
              <w:rPr>
                <w:color w:val="1C3A36"/>
                <w:sz w:val="18"/>
              </w:rPr>
              <w:t>11,842</w:t>
            </w:r>
          </w:p>
        </w:tc>
        <w:tc>
          <w:tcPr>
            <w:tcW w:type="dxa" w:w="1354"/>
          </w:tcPr>
          <w:p>
            <w:pPr>
              <w:spacing w:after="20"/>
              <w:jc w:val="right"/>
            </w:pPr>
            <w:r>
              <w:rPr>
                <w:color w:val="1C3A36"/>
                <w:sz w:val="18"/>
              </w:rPr>
              <w:t>12,669</w:t>
            </w:r>
          </w:p>
        </w:tc>
      </w:tr>
      <w:tr>
        <w:tc>
          <w:tcPr>
            <w:tcW w:type="dxa" w:w="3240"/>
          </w:tcPr>
          <w:p>
            <w:pPr>
              <w:spacing w:after="20"/>
            </w:pPr>
            <w:r>
              <w:rPr>
                <w:color w:val="1C3A36"/>
                <w:sz w:val="18"/>
              </w:rPr>
              <w:t>EBITDA</w:t>
            </w:r>
          </w:p>
        </w:tc>
        <w:tc>
          <w:tcPr>
            <w:tcW w:type="dxa" w:w="1354"/>
          </w:tcPr>
          <w:p>
            <w:pPr>
              <w:spacing w:after="20"/>
              <w:jc w:val="right"/>
            </w:pPr>
            <w:r>
              <w:rPr>
                <w:color w:val="1C3A36"/>
                <w:sz w:val="18"/>
              </w:rPr>
              <w:t>2,916</w:t>
            </w:r>
          </w:p>
        </w:tc>
        <w:tc>
          <w:tcPr>
            <w:tcW w:type="dxa" w:w="1354"/>
          </w:tcPr>
          <w:p>
            <w:pPr>
              <w:spacing w:after="20"/>
              <w:jc w:val="right"/>
            </w:pPr>
            <w:r>
              <w:rPr>
                <w:color w:val="1C3A36"/>
                <w:sz w:val="18"/>
              </w:rPr>
              <w:t>2,792</w:t>
            </w:r>
          </w:p>
        </w:tc>
        <w:tc>
          <w:tcPr>
            <w:tcW w:type="dxa" w:w="1354"/>
          </w:tcPr>
          <w:p>
            <w:pPr>
              <w:spacing w:after="20"/>
              <w:jc w:val="right"/>
            </w:pPr>
            <w:r>
              <w:rPr>
                <w:color w:val="1C3A36"/>
                <w:sz w:val="18"/>
              </w:rPr>
              <w:t>2,865</w:t>
            </w:r>
          </w:p>
        </w:tc>
        <w:tc>
          <w:tcPr>
            <w:tcW w:type="dxa" w:w="1354"/>
          </w:tcPr>
          <w:p>
            <w:pPr>
              <w:spacing w:after="20"/>
              <w:jc w:val="right"/>
            </w:pPr>
            <w:r>
              <w:rPr>
                <w:color w:val="1C3A36"/>
                <w:sz w:val="18"/>
              </w:rPr>
              <w:t>3,094</w:t>
            </w:r>
          </w:p>
        </w:tc>
        <w:tc>
          <w:tcPr>
            <w:tcW w:type="dxa" w:w="1354"/>
          </w:tcPr>
          <w:p>
            <w:pPr>
              <w:spacing w:after="20"/>
              <w:jc w:val="right"/>
            </w:pPr>
            <w:r>
              <w:rPr>
                <w:color w:val="1C3A36"/>
                <w:sz w:val="18"/>
              </w:rPr>
              <w:t>3,348</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30.1%</w:t>
            </w:r>
          </w:p>
        </w:tc>
        <w:tc>
          <w:tcPr>
            <w:tcW w:type="dxa" w:w="1354"/>
          </w:tcPr>
          <w:p>
            <w:pPr>
              <w:spacing w:after="20"/>
              <w:jc w:val="right"/>
            </w:pPr>
            <w:r>
              <w:rPr>
                <w:color w:val="1C3A36"/>
                <w:sz w:val="18"/>
              </w:rPr>
              <w:t>27.1%</w:t>
            </w:r>
          </w:p>
        </w:tc>
        <w:tc>
          <w:tcPr>
            <w:tcW w:type="dxa" w:w="1354"/>
          </w:tcPr>
          <w:p>
            <w:pPr>
              <w:spacing w:after="20"/>
              <w:jc w:val="right"/>
            </w:pPr>
            <w:r>
              <w:rPr>
                <w:color w:val="1C3A36"/>
                <w:sz w:val="18"/>
              </w:rPr>
              <w:t>26.0%</w:t>
            </w:r>
          </w:p>
        </w:tc>
        <w:tc>
          <w:tcPr>
            <w:tcW w:type="dxa" w:w="1354"/>
          </w:tcPr>
          <w:p>
            <w:pPr>
              <w:spacing w:after="20"/>
              <w:jc w:val="right"/>
            </w:pPr>
            <w:r>
              <w:rPr>
                <w:color w:val="1C3A36"/>
                <w:sz w:val="18"/>
              </w:rPr>
              <w:t>26.1%</w:t>
            </w:r>
          </w:p>
        </w:tc>
        <w:tc>
          <w:tcPr>
            <w:tcW w:type="dxa" w:w="1354"/>
          </w:tcPr>
          <w:p>
            <w:pPr>
              <w:spacing w:after="20"/>
              <w:jc w:val="right"/>
            </w:pPr>
            <w:r>
              <w:rPr>
                <w:color w:val="1C3A36"/>
                <w:sz w:val="18"/>
              </w:rPr>
              <w:t>26.4%</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445</w:t>
            </w:r>
          </w:p>
        </w:tc>
        <w:tc>
          <w:tcPr>
            <w:tcW w:type="dxa" w:w="1354"/>
          </w:tcPr>
          <w:p>
            <w:pPr>
              <w:spacing w:after="20"/>
              <w:jc w:val="right"/>
            </w:pPr>
            <w:r>
              <w:rPr>
                <w:color w:val="1C3A36"/>
                <w:sz w:val="18"/>
              </w:rPr>
              <w:t>464</w:t>
            </w:r>
          </w:p>
        </w:tc>
        <w:tc>
          <w:tcPr>
            <w:tcW w:type="dxa" w:w="1354"/>
          </w:tcPr>
          <w:p>
            <w:pPr>
              <w:spacing w:after="20"/>
              <w:jc w:val="right"/>
            </w:pPr>
            <w:r>
              <w:rPr>
                <w:color w:val="1C3A36"/>
                <w:sz w:val="18"/>
              </w:rPr>
              <w:t>485</w:t>
            </w:r>
          </w:p>
        </w:tc>
        <w:tc>
          <w:tcPr>
            <w:tcW w:type="dxa" w:w="1354"/>
          </w:tcPr>
          <w:p>
            <w:pPr>
              <w:spacing w:after="20"/>
              <w:jc w:val="right"/>
            </w:pPr>
            <w:r>
              <w:rPr>
                <w:color w:val="1C3A36"/>
                <w:sz w:val="18"/>
              </w:rPr>
              <w:t>509</w:t>
            </w:r>
          </w:p>
        </w:tc>
        <w:tc>
          <w:tcPr>
            <w:tcW w:type="dxa" w:w="1354"/>
          </w:tcPr>
          <w:p>
            <w:pPr>
              <w:spacing w:after="20"/>
              <w:jc w:val="right"/>
            </w:pPr>
            <w:r>
              <w:rPr>
                <w:color w:val="1C3A36"/>
                <w:sz w:val="18"/>
              </w:rPr>
              <w:t>532</w:t>
            </w:r>
          </w:p>
        </w:tc>
      </w:tr>
      <w:tr>
        <w:tc>
          <w:tcPr>
            <w:tcW w:type="dxa" w:w="3240"/>
          </w:tcPr>
          <w:p>
            <w:pPr>
              <w:spacing w:after="20"/>
            </w:pPr>
            <w:r>
              <w:rPr>
                <w:color w:val="1C3A36"/>
                <w:sz w:val="18"/>
              </w:rPr>
              <w:t>EBIT</w:t>
            </w:r>
          </w:p>
        </w:tc>
        <w:tc>
          <w:tcPr>
            <w:tcW w:type="dxa" w:w="1354"/>
          </w:tcPr>
          <w:p>
            <w:pPr>
              <w:spacing w:after="20"/>
              <w:jc w:val="right"/>
            </w:pPr>
            <w:r>
              <w:rPr>
                <w:color w:val="1C3A36"/>
                <w:sz w:val="18"/>
              </w:rPr>
              <w:t>2,471</w:t>
            </w:r>
          </w:p>
        </w:tc>
        <w:tc>
          <w:tcPr>
            <w:tcW w:type="dxa" w:w="1354"/>
          </w:tcPr>
          <w:p>
            <w:pPr>
              <w:spacing w:after="20"/>
              <w:jc w:val="right"/>
            </w:pPr>
            <w:r>
              <w:rPr>
                <w:color w:val="1C3A36"/>
                <w:sz w:val="18"/>
              </w:rPr>
              <w:t>2,328</w:t>
            </w:r>
          </w:p>
        </w:tc>
        <w:tc>
          <w:tcPr>
            <w:tcW w:type="dxa" w:w="1354"/>
          </w:tcPr>
          <w:p>
            <w:pPr>
              <w:spacing w:after="20"/>
              <w:jc w:val="right"/>
            </w:pPr>
            <w:r>
              <w:rPr>
                <w:color w:val="1C3A36"/>
                <w:sz w:val="18"/>
              </w:rPr>
              <w:t>2,380</w:t>
            </w:r>
          </w:p>
        </w:tc>
        <w:tc>
          <w:tcPr>
            <w:tcW w:type="dxa" w:w="1354"/>
          </w:tcPr>
          <w:p>
            <w:pPr>
              <w:spacing w:after="20"/>
              <w:jc w:val="right"/>
            </w:pPr>
            <w:r>
              <w:rPr>
                <w:color w:val="1C3A36"/>
                <w:sz w:val="18"/>
              </w:rPr>
              <w:t>2,585</w:t>
            </w:r>
          </w:p>
        </w:tc>
        <w:tc>
          <w:tcPr>
            <w:tcW w:type="dxa" w:w="1354"/>
          </w:tcPr>
          <w:p>
            <w:pPr>
              <w:spacing w:after="20"/>
              <w:jc w:val="right"/>
            </w:pPr>
            <w:r>
              <w:rPr>
                <w:color w:val="1C3A36"/>
                <w:sz w:val="18"/>
              </w:rPr>
              <w:t>2,816</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1,915</w:t>
            </w:r>
          </w:p>
        </w:tc>
        <w:tc>
          <w:tcPr>
            <w:tcW w:type="dxa" w:w="1354"/>
          </w:tcPr>
          <w:p>
            <w:pPr>
              <w:spacing w:after="20"/>
              <w:jc w:val="right"/>
            </w:pPr>
            <w:r>
              <w:rPr>
                <w:color w:val="1C3A36"/>
                <w:sz w:val="18"/>
              </w:rPr>
              <w:t>1,804</w:t>
            </w:r>
          </w:p>
        </w:tc>
        <w:tc>
          <w:tcPr>
            <w:tcW w:type="dxa" w:w="1354"/>
          </w:tcPr>
          <w:p>
            <w:pPr>
              <w:spacing w:after="20"/>
              <w:jc w:val="right"/>
            </w:pPr>
            <w:r>
              <w:rPr>
                <w:color w:val="1C3A36"/>
                <w:sz w:val="18"/>
              </w:rPr>
              <w:t>1,844</w:t>
            </w:r>
          </w:p>
        </w:tc>
        <w:tc>
          <w:tcPr>
            <w:tcW w:type="dxa" w:w="1354"/>
          </w:tcPr>
          <w:p>
            <w:pPr>
              <w:spacing w:after="20"/>
              <w:jc w:val="right"/>
            </w:pPr>
            <w:r>
              <w:rPr>
                <w:color w:val="1C3A36"/>
                <w:sz w:val="18"/>
              </w:rPr>
              <w:t>2,003</w:t>
            </w:r>
          </w:p>
        </w:tc>
        <w:tc>
          <w:tcPr>
            <w:tcW w:type="dxa" w:w="1354"/>
          </w:tcPr>
          <w:p>
            <w:pPr>
              <w:spacing w:after="20"/>
              <w:jc w:val="right"/>
            </w:pPr>
            <w:r>
              <w:rPr>
                <w:color w:val="1C3A36"/>
                <w:sz w:val="18"/>
              </w:rPr>
              <w:t>2,182</w:t>
            </w:r>
          </w:p>
        </w:tc>
      </w:tr>
      <w:tr>
        <w:tc>
          <w:tcPr>
            <w:tcW w:type="dxa" w:w="3240"/>
          </w:tcPr>
          <w:p>
            <w:pPr>
              <w:spacing w:after="20"/>
            </w:pPr>
            <w:r>
              <w:rPr>
                <w:color w:val="1C3A36"/>
                <w:sz w:val="18"/>
              </w:rPr>
              <w:t>Less reinvestment to fund the growth in NOPAT, at the terminal return on capital</w:t>
            </w:r>
          </w:p>
        </w:tc>
        <w:tc>
          <w:tcPr>
            <w:tcW w:type="dxa" w:w="1354"/>
          </w:tcPr>
          <w:p>
            <w:pPr>
              <w:spacing w:after="20"/>
              <w:jc w:val="right"/>
            </w:pPr>
            <w:r>
              <w:rPr>
                <w:color w:val="1C3A36"/>
                <w:sz w:val="18"/>
              </w:rPr>
              <w:t>0</w:t>
            </w:r>
          </w:p>
        </w:tc>
        <w:tc>
          <w:tcPr>
            <w:tcW w:type="dxa" w:w="1354"/>
          </w:tcPr>
          <w:p>
            <w:pPr>
              <w:spacing w:after="20"/>
              <w:jc w:val="right"/>
            </w:pPr>
            <w:r>
              <w:rPr>
                <w:color w:val="1C3A36"/>
                <w:sz w:val="18"/>
              </w:rPr>
              <w:t>0</w:t>
            </w:r>
          </w:p>
        </w:tc>
        <w:tc>
          <w:tcPr>
            <w:tcW w:type="dxa" w:w="1354"/>
          </w:tcPr>
          <w:p>
            <w:pPr>
              <w:spacing w:after="20"/>
              <w:jc w:val="right"/>
            </w:pPr>
            <w:r>
              <w:rPr>
                <w:color w:val="1C3A36"/>
                <w:sz w:val="18"/>
              </w:rPr>
              <w:t>429</w:t>
            </w:r>
          </w:p>
        </w:tc>
        <w:tc>
          <w:tcPr>
            <w:tcW w:type="dxa" w:w="1354"/>
          </w:tcPr>
          <w:p>
            <w:pPr>
              <w:spacing w:after="20"/>
              <w:jc w:val="right"/>
            </w:pPr>
            <w:r>
              <w:rPr>
                <w:color w:val="1C3A36"/>
                <w:sz w:val="18"/>
              </w:rPr>
              <w:t>1,706</w:t>
            </w:r>
          </w:p>
        </w:tc>
        <w:tc>
          <w:tcPr>
            <w:tcW w:type="dxa" w:w="1354"/>
          </w:tcPr>
          <w:p>
            <w:pPr>
              <w:spacing w:after="20"/>
              <w:jc w:val="right"/>
            </w:pPr>
            <w:r>
              <w:rPr>
                <w:color w:val="1C3A36"/>
                <w:sz w:val="18"/>
              </w:rPr>
              <w:t>1,921</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799</w:t>
            </w:r>
          </w:p>
        </w:tc>
        <w:tc>
          <w:tcPr>
            <w:tcW w:type="dxa" w:w="1354"/>
            <w:shd w:val="clear" w:color="auto" w:fill="F6F1E6"/>
          </w:tcPr>
          <w:p>
            <w:pPr>
              <w:spacing w:after="20"/>
              <w:jc w:val="right"/>
            </w:pPr>
            <w:r>
              <w:rPr>
                <w:b/>
                <w:color w:val="1C3A36"/>
                <w:sz w:val="18"/>
              </w:rPr>
              <w:t>1,804</w:t>
            </w:r>
          </w:p>
        </w:tc>
        <w:tc>
          <w:tcPr>
            <w:tcW w:type="dxa" w:w="1354"/>
            <w:shd w:val="clear" w:color="auto" w:fill="F6F1E6"/>
          </w:tcPr>
          <w:p>
            <w:pPr>
              <w:spacing w:after="20"/>
              <w:jc w:val="right"/>
            </w:pPr>
            <w:r>
              <w:rPr>
                <w:b/>
                <w:color w:val="1C3A36"/>
                <w:sz w:val="18"/>
              </w:rPr>
              <w:t>1,415</w:t>
            </w:r>
          </w:p>
        </w:tc>
        <w:tc>
          <w:tcPr>
            <w:tcW w:type="dxa" w:w="1354"/>
            <w:shd w:val="clear" w:color="auto" w:fill="F6F1E6"/>
          </w:tcPr>
          <w:p>
            <w:pPr>
              <w:spacing w:after="20"/>
              <w:jc w:val="right"/>
            </w:pPr>
            <w:r>
              <w:rPr>
                <w:b/>
                <w:color w:val="1C3A36"/>
                <w:sz w:val="18"/>
              </w:rPr>
              <w:t>297</w:t>
            </w:r>
          </w:p>
        </w:tc>
        <w:tc>
          <w:tcPr>
            <w:tcW w:type="dxa" w:w="1354"/>
            <w:shd w:val="clear" w:color="auto" w:fill="F6F1E6"/>
          </w:tcPr>
          <w:p>
            <w:pPr>
              <w:spacing w:after="20"/>
              <w:jc w:val="right"/>
            </w:pPr>
            <w:r>
              <w:rPr>
                <w:b/>
                <w:color w:val="1C3A36"/>
                <w:sz w:val="18"/>
              </w:rPr>
              <w:t>261</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0.7957</w:t>
            </w:r>
          </w:p>
        </w:tc>
        <w:tc>
          <w:tcPr>
            <w:tcW w:type="dxa" w:w="1354"/>
          </w:tcPr>
          <w:p>
            <w:pPr>
              <w:spacing w:after="20"/>
              <w:jc w:val="right"/>
            </w:pPr>
            <w:r>
              <w:rPr>
                <w:color w:val="1C3A36"/>
                <w:sz w:val="18"/>
              </w:rPr>
              <w:t>0.6356</w:t>
            </w:r>
          </w:p>
        </w:tc>
        <w:tc>
          <w:tcPr>
            <w:tcW w:type="dxa" w:w="1354"/>
          </w:tcPr>
          <w:p>
            <w:pPr>
              <w:spacing w:after="20"/>
              <w:jc w:val="right"/>
            </w:pPr>
            <w:r>
              <w:rPr>
                <w:color w:val="1C3A36"/>
                <w:sz w:val="18"/>
              </w:rPr>
              <w:t>0.5184</w:t>
            </w:r>
          </w:p>
        </w:tc>
        <w:tc>
          <w:tcPr>
            <w:tcW w:type="dxa" w:w="1354"/>
          </w:tcPr>
          <w:p>
            <w:pPr>
              <w:spacing w:after="20"/>
              <w:jc w:val="right"/>
            </w:pPr>
            <w:r>
              <w:rPr>
                <w:color w:val="1C3A36"/>
                <w:sz w:val="18"/>
              </w:rPr>
              <w:t>0.4301</w:t>
            </w:r>
          </w:p>
        </w:tc>
      </w:tr>
      <w:tr>
        <w:tc>
          <w:tcPr>
            <w:tcW w:type="dxa" w:w="3240"/>
            <w:shd w:val="clear" w:color="auto" w:fill="F6F1E6"/>
          </w:tcPr>
          <w:p>
            <w:pPr>
              <w:spacing w:after="20"/>
            </w:pPr>
            <w:r>
              <w:rPr>
                <w:b/>
                <w:color w:val="1C3A36"/>
                <w:sz w:val="18"/>
              </w:rPr>
              <w:t>Present value of free cash flow</w:t>
            </w:r>
          </w:p>
        </w:tc>
        <w:tc>
          <w:tcPr>
            <w:tcW w:type="dxa" w:w="1354"/>
            <w:shd w:val="clear" w:color="auto" w:fill="F6F1E6"/>
          </w:tcPr>
          <w:p>
            <w:pPr>
              <w:spacing w:after="20"/>
              <w:jc w:val="right"/>
            </w:pPr>
            <w:r>
              <w:rPr>
                <w:b/>
                <w:color w:val="1C3A36"/>
                <w:sz w:val="18"/>
              </w:rPr>
              <w:t>758</w:t>
            </w:r>
          </w:p>
        </w:tc>
        <w:tc>
          <w:tcPr>
            <w:tcW w:type="dxa" w:w="1354"/>
            <w:shd w:val="clear" w:color="auto" w:fill="F6F1E6"/>
          </w:tcPr>
          <w:p>
            <w:pPr>
              <w:spacing w:after="20"/>
              <w:jc w:val="right"/>
            </w:pPr>
            <w:r>
              <w:rPr>
                <w:b/>
                <w:color w:val="1C3A36"/>
                <w:sz w:val="18"/>
              </w:rPr>
              <w:t>1,436</w:t>
            </w:r>
          </w:p>
        </w:tc>
        <w:tc>
          <w:tcPr>
            <w:tcW w:type="dxa" w:w="1354"/>
            <w:shd w:val="clear" w:color="auto" w:fill="F6F1E6"/>
          </w:tcPr>
          <w:p>
            <w:pPr>
              <w:spacing w:after="20"/>
              <w:jc w:val="right"/>
            </w:pPr>
            <w:r>
              <w:rPr>
                <w:b/>
                <w:color w:val="1C3A36"/>
                <w:sz w:val="18"/>
              </w:rPr>
              <w:t>899</w:t>
            </w:r>
          </w:p>
        </w:tc>
        <w:tc>
          <w:tcPr>
            <w:tcW w:type="dxa" w:w="1354"/>
            <w:shd w:val="clear" w:color="auto" w:fill="F6F1E6"/>
          </w:tcPr>
          <w:p>
            <w:pPr>
              <w:spacing w:after="20"/>
              <w:jc w:val="right"/>
            </w:pPr>
            <w:r>
              <w:rPr>
                <w:b/>
                <w:color w:val="1C3A36"/>
                <w:sz w:val="18"/>
              </w:rPr>
              <w:t>154</w:t>
            </w:r>
          </w:p>
        </w:tc>
        <w:tc>
          <w:tcPr>
            <w:tcW w:type="dxa" w:w="1354"/>
            <w:shd w:val="clear" w:color="auto" w:fill="F6F1E6"/>
          </w:tcPr>
          <w:p>
            <w:pPr>
              <w:spacing w:after="20"/>
              <w:jc w:val="right"/>
            </w:pPr>
            <w:r>
              <w:rPr>
                <w:b/>
                <w:color w:val="1C3A36"/>
                <w:sz w:val="18"/>
              </w:rPr>
              <w:t>112</w:t>
            </w:r>
          </w:p>
        </w:tc>
      </w:tr>
    </w:tbl>
    <w:p>
      <w:pPr>
        <w:spacing w:after="40"/>
      </w:pPr>
    </w:p>
    <w:p>
      <w:pPr>
        <w:spacing w:after="200" w:before="0"/>
      </w:pPr>
      <w:r>
        <w:rPr>
          <w:b w:val="0"/>
          <w:i/>
          <w:color w:val="6E7B77"/>
          <w:sz w:val="17"/>
        </w:rPr>
        <w:t>Table 1 — From revenue to the present value of free cash flow to the firm. Free cash flow is NOPAT less the reinvestment that funds the growth in it, and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Depreciation, capital expenditure and the movement in working capital are drivers of the projected BALANCE SHEET rather than of the cash flow above: this model reinvests to fund growth at the terminal return on capital and does not route cash through the asset schedule. They are set out in the statements appendix.</w:t>
      </w:r>
    </w:p>
    <w:p>
      <w:pPr>
        <w:spacing w:after="120" w:before="0"/>
      </w:pPr>
      <w:r>
        <w:rPr>
          <w:b w:val="0"/>
          <w:i w:val="0"/>
          <w:color w:val="1C3A36"/>
          <w:sz w:val="21"/>
        </w:rPr>
        <w:t>The discount rate is not one number. Egypt's cost of capital today reflects a policy rate of 19.50% and a ten-year government yield of 22.31%, neither of which the central bank itself expects to persist — its own published medium-term inflation target is 5%.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28.30%</w:t>
            </w:r>
          </w:p>
        </w:tc>
        <w:tc>
          <w:tcPr>
            <w:tcW w:type="dxa" w:w="1354"/>
          </w:tcPr>
          <w:p>
            <w:pPr>
              <w:spacing w:after="20"/>
              <w:jc w:val="right"/>
            </w:pPr>
            <w:r>
              <w:rPr>
                <w:color w:val="1C3A36"/>
                <w:sz w:val="18"/>
              </w:rPr>
              <w:t>24.92%</w:t>
            </w:r>
          </w:p>
        </w:tc>
        <w:tc>
          <w:tcPr>
            <w:tcW w:type="dxa" w:w="1354"/>
          </w:tcPr>
          <w:p>
            <w:pPr>
              <w:spacing w:after="20"/>
              <w:jc w:val="right"/>
            </w:pPr>
            <w:r>
              <w:rPr>
                <w:color w:val="1C3A36"/>
                <w:sz w:val="18"/>
              </w:rPr>
              <w:t>22.39%</w:t>
            </w:r>
          </w:p>
        </w:tc>
        <w:tc>
          <w:tcPr>
            <w:tcW w:type="dxa" w:w="1354"/>
          </w:tcPr>
          <w:p>
            <w:pPr>
              <w:spacing w:after="20"/>
              <w:jc w:val="right"/>
            </w:pPr>
            <w:r>
              <w:rPr>
                <w:color w:val="1C3A36"/>
                <w:sz w:val="18"/>
              </w:rPr>
              <w:t>20.36%</w:t>
            </w:r>
          </w:p>
        </w:tc>
        <w:tc>
          <w:tcPr>
            <w:tcW w:type="dxa" w:w="1354"/>
          </w:tcPr>
          <w:p>
            <w:pPr>
              <w:spacing w:after="20"/>
              <w:jc w:val="right"/>
            </w:pPr>
            <w:r>
              <w:rPr>
                <w:color w:val="1C3A36"/>
                <w:sz w:val="18"/>
              </w:rPr>
              <w:t>19.01%</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0.7957</w:t>
            </w:r>
          </w:p>
        </w:tc>
        <w:tc>
          <w:tcPr>
            <w:tcW w:type="dxa" w:w="1354"/>
          </w:tcPr>
          <w:p>
            <w:pPr>
              <w:spacing w:after="20"/>
              <w:jc w:val="right"/>
            </w:pPr>
            <w:r>
              <w:rPr>
                <w:color w:val="1C3A36"/>
                <w:sz w:val="18"/>
              </w:rPr>
              <w:t>0.6356</w:t>
            </w:r>
          </w:p>
        </w:tc>
        <w:tc>
          <w:tcPr>
            <w:tcW w:type="dxa" w:w="1354"/>
          </w:tcPr>
          <w:p>
            <w:pPr>
              <w:spacing w:after="20"/>
              <w:jc w:val="right"/>
            </w:pPr>
            <w:r>
              <w:rPr>
                <w:color w:val="1C3A36"/>
                <w:sz w:val="18"/>
              </w:rPr>
              <w:t>0.5184</w:t>
            </w:r>
          </w:p>
        </w:tc>
        <w:tc>
          <w:tcPr>
            <w:tcW w:type="dxa" w:w="1354"/>
          </w:tcPr>
          <w:p>
            <w:pPr>
              <w:spacing w:after="20"/>
              <w:jc w:val="right"/>
            </w:pPr>
            <w:r>
              <w:rPr>
                <w:color w:val="1C3A36"/>
                <w:sz w:val="18"/>
              </w:rPr>
              <w:t>0.4301</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3,359</w:t>
            </w:r>
          </w:p>
        </w:tc>
        <w:tc>
          <w:tcPr>
            <w:tcW w:type="dxa" w:w="2232"/>
          </w:tcPr>
          <w:p>
            <w:pPr>
              <w:spacing w:after="20"/>
              <w:jc w:val="right"/>
            </w:pPr>
            <w:r>
              <w:rPr>
                <w:color w:val="1C3A36"/>
                <w:sz w:val="18"/>
              </w:rPr>
              <w:t>12.88</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3,258</w:t>
            </w:r>
          </w:p>
        </w:tc>
        <w:tc>
          <w:tcPr>
            <w:tcW w:type="dxa" w:w="2232"/>
          </w:tcPr>
          <w:p>
            <w:pPr>
              <w:spacing w:after="20"/>
              <w:jc w:val="right"/>
            </w:pPr>
            <w:r>
              <w:rPr>
                <w:color w:val="1C3A36"/>
                <w:sz w:val="18"/>
              </w:rPr>
              <w:t>12.49</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6,617</w:t>
            </w:r>
          </w:p>
        </w:tc>
        <w:tc>
          <w:tcPr>
            <w:tcW w:type="dxa" w:w="2232"/>
          </w:tcPr>
          <w:p>
            <w:pPr>
              <w:spacing w:after="20"/>
              <w:jc w:val="right"/>
            </w:pPr>
            <w:r>
              <w:rPr>
                <w:color w:val="1C3A36"/>
                <w:sz w:val="18"/>
              </w:rPr>
              <w:t>25.37</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49.2%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4,930</w:t>
            </w:r>
          </w:p>
        </w:tc>
        <w:tc>
          <w:tcPr>
            <w:tcW w:type="dxa" w:w="2232"/>
          </w:tcPr>
          <w:p>
            <w:pPr>
              <w:spacing w:after="20"/>
              <w:jc w:val="right"/>
            </w:pPr>
            <w:r>
              <w:rPr>
                <w:color w:val="1C3A36"/>
                <w:sz w:val="18"/>
              </w:rPr>
              <w:t>18.90</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11,426</w:t>
            </w:r>
          </w:p>
        </w:tc>
        <w:tc>
          <w:tcPr>
            <w:tcW w:type="dxa" w:w="2232"/>
            <w:shd w:val="clear" w:color="auto" w:fill="F6F1E6"/>
          </w:tcPr>
          <w:p>
            <w:pPr>
              <w:spacing w:after="20"/>
              <w:jc w:val="right"/>
            </w:pPr>
            <w:r>
              <w:rPr>
                <w:b/>
                <w:color w:val="1C3A36"/>
                <w:sz w:val="18"/>
              </w:rPr>
              <w:t>43.81</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79.00</w:t>
            </w:r>
          </w:p>
        </w:tc>
      </w:tr>
    </w:tbl>
    <w:p>
      <w:pPr>
        <w:spacing w:after="40"/>
      </w:pPr>
    </w:p>
    <w:p>
      <w:pPr>
        <w:spacing w:after="200" w:before="0"/>
      </w:pPr>
      <w:r>
        <w:rPr>
          <w:b w:val="0"/>
          <w:i/>
          <w:color w:val="6E7B77"/>
          <w:sz w:val="17"/>
        </w:rPr>
        <w:t>Table 3 — The bridge. Net cash is ADDED, because this company holds more cash than debt. Terminal value is 41% of enterprise value — a modest share, and deliberately so; the next section explains why.</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24,601 million at today's exchange rate. On that basis the terminal return on capital is 9.3% and the reinvestment rate is 53.7%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9.3% sits BELOW the terminal cost of capital of 19.0%. Every extra point of perpetual growth must be bought with reinvestment that earns less than it costs, so raising terminal growth from 3% to 7% LOWERS fair value, from EGP 46.72 to EGP 39.88.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15,674</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82.8</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-36.3%</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87.37</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9,090</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9,764</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4,930</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55.88</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-418</w:t>
            </w:r>
          </w:p>
        </w:tc>
      </w:tr>
      <w:tr>
        <w:tc>
          <w:tcPr>
            <w:tcW w:type="dxa" w:w="6408"/>
          </w:tcPr>
          <w:p>
            <w:pPr>
              <w:spacing w:after="20"/>
            </w:pPr>
            <w:r>
              <w:rPr>
                <w:color w:val="1C3A36"/>
                <w:sz w:val="18"/>
              </w:rPr>
              <w:t>Normalised NOPAT (EGP mn)</w:t>
            </w:r>
          </w:p>
        </w:tc>
        <w:tc>
          <w:tcPr>
            <w:tcW w:type="dxa" w:w="3312"/>
          </w:tcPr>
          <w:p>
            <w:pPr>
              <w:spacing w:after="20"/>
              <w:jc w:val="right"/>
            </w:pPr>
            <w:r>
              <w:rPr>
                <w:color w:val="1C3A36"/>
                <w:sz w:val="18"/>
              </w:rPr>
              <w:t>1,478</w:t>
            </w:r>
          </w:p>
        </w:tc>
      </w:tr>
      <w:tr>
        <w:tc>
          <w:tcPr>
            <w:tcW w:type="dxa" w:w="6408"/>
          </w:tcPr>
          <w:p>
            <w:pPr>
              <w:spacing w:after="20"/>
            </w:pPr>
            <w:r>
              <w:rPr>
                <w:color w:val="1C3A36"/>
                <w:sz w:val="18"/>
              </w:rPr>
              <w:t>Plus after-tax treasury income (EGP mn)</w:t>
            </w:r>
          </w:p>
        </w:tc>
        <w:tc>
          <w:tcPr>
            <w:tcW w:type="dxa" w:w="3312"/>
          </w:tcPr>
          <w:p>
            <w:pPr>
              <w:spacing w:after="20"/>
              <w:jc w:val="right"/>
            </w:pPr>
            <w:r>
              <w:rPr>
                <w:color w:val="1C3A36"/>
                <w:sz w:val="18"/>
              </w:rPr>
              <w:t>0</w:t>
            </w:r>
          </w:p>
        </w:tc>
      </w:tr>
      <w:tr>
        <w:tc>
          <w:tcPr>
            <w:tcW w:type="dxa" w:w="6408"/>
          </w:tcPr>
          <w:p>
            <w:pPr>
              <w:spacing w:after="20"/>
            </w:pPr>
            <w:r>
              <w:rPr>
                <w:color w:val="1C3A36"/>
                <w:sz w:val="18"/>
              </w:rPr>
              <w:t>Normalised earnings (EGP mn)</w:t>
            </w:r>
          </w:p>
        </w:tc>
        <w:tc>
          <w:tcPr>
            <w:tcW w:type="dxa" w:w="3312"/>
          </w:tcPr>
          <w:p>
            <w:pPr>
              <w:spacing w:after="20"/>
              <w:jc w:val="right"/>
            </w:pPr>
            <w:r>
              <w:rPr>
                <w:color w:val="1C3A36"/>
                <w:sz w:val="18"/>
              </w:rPr>
              <w:t>1,478</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58.10</w:t>
            </w:r>
          </w:p>
        </w:tc>
      </w:tr>
    </w:tbl>
    <w:p>
      <w:pPr>
        <w:spacing w:after="40"/>
      </w:pPr>
    </w:p>
    <w:p>
      <w:pPr>
        <w:spacing w:after="200" w:before="0"/>
      </w:pPr>
      <w:r>
        <w:rPr>
          <w:b w:val="0"/>
          <w:i/>
          <w:color w:val="6E7B77"/>
          <w:sz w:val="17"/>
        </w:rPr>
        <w:t>Table 7 — Normalised earnings power, on a mid-cycle margin struck between the FY2024 outturn and the FY2025 peak.</w:t>
      </w:r>
    </w:p>
    <w:p>
      <w:pPr>
        <w:spacing w:after="80" w:before="200"/>
      </w:pPr>
      <w:r>
        <w:rPr>
          <w:b/>
          <w:i w:val="0"/>
          <w:color w:val="1C3A36"/>
          <w:sz w:val="24"/>
        </w:rPr>
        <w:t>1.5  Synthesis — four lenses, one field</w:t>
      </w:r>
    </w:p>
    <w:p>
      <w:pPr>
        <w:spacing w:after="120" w:before="0"/>
      </w:pPr>
      <w:r>
        <w:rPr>
          <w:b w:val="0"/>
          <w:i w:val="0"/>
          <w:color w:val="1C3A36"/>
          <w:sz w:val="21"/>
        </w:rPr>
        <w:t>The four lenses do not agree, and the spread between them is the honest output rather than a problem to be smoothed. The cash-flow and normalised-earnings lenses, which both ask what the business earns, land in the middle fifties. The relative lens lands in the mid sixties. The asset lens, which asks only what the plant is worth, lands near ninety. The market price of EGP 79.00 sits between the earnings answers and the asset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893"/>
        <w:gridCol w:w="367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3672"/>
            <w:shd w:val="clear" w:color="auto" w:fill="EAF0EE"/>
          </w:tcPr>
          <w:p>
            <w:pPr>
              <w:spacing w:after="20"/>
            </w:pPr>
            <w:r>
              <w:rPr>
                <w:b/>
                <w:color w:val="1C3A36"/>
                <w:sz w:val="18"/>
              </w:rPr>
              <w:t>What it is measuring</w:t>
            </w:r>
          </w:p>
        </w:tc>
      </w:tr>
      <w:tr>
        <w:tc>
          <w:tcPr>
            <w:tcW w:type="dxa" w:w="2333"/>
          </w:tcPr>
          <w:p>
            <w:pPr>
              <w:spacing w:after="20"/>
            </w:pPr>
            <w:r>
              <w:rPr>
                <w:color w:val="1C3A36"/>
                <w:sz w:val="18"/>
              </w:rPr>
              <w:t>DCF (cash flow)</w:t>
            </w:r>
          </w:p>
        </w:tc>
        <w:tc>
          <w:tcPr>
            <w:tcW w:type="dxa" w:w="1037"/>
          </w:tcPr>
          <w:p>
            <w:pPr>
              <w:spacing w:after="20"/>
              <w:jc w:val="right"/>
            </w:pPr>
            <w:r>
              <w:rPr>
                <w:color w:val="1C3A36"/>
                <w:sz w:val="18"/>
              </w:rPr>
              <w:t>39.15</w:t>
            </w:r>
          </w:p>
        </w:tc>
        <w:tc>
          <w:tcPr>
            <w:tcW w:type="dxa" w:w="1037"/>
          </w:tcPr>
          <w:p>
            <w:pPr>
              <w:spacing w:after="20"/>
              <w:jc w:val="right"/>
            </w:pPr>
            <w:r>
              <w:rPr>
                <w:color w:val="1C3A36"/>
                <w:sz w:val="18"/>
              </w:rPr>
              <w:t>43.81</w:t>
            </w:r>
          </w:p>
        </w:tc>
        <w:tc>
          <w:tcPr>
            <w:tcW w:type="dxa" w:w="1037"/>
          </w:tcPr>
          <w:p>
            <w:pPr>
              <w:spacing w:after="20"/>
              <w:jc w:val="right"/>
            </w:pPr>
            <w:r>
              <w:rPr>
                <w:color w:val="1C3A36"/>
                <w:sz w:val="18"/>
              </w:rPr>
              <w:t>47.85</w:t>
            </w:r>
          </w:p>
        </w:tc>
        <w:tc>
          <w:tcPr>
            <w:tcW w:type="dxa" w:w="893"/>
          </w:tcPr>
          <w:p>
            <w:pPr>
              <w:spacing w:after="20"/>
              <w:jc w:val="right"/>
            </w:pPr>
            <w:r>
              <w:rPr>
                <w:color w:val="1C3A36"/>
                <w:sz w:val="18"/>
              </w:rPr>
              <w:t>48%</w:t>
            </w:r>
          </w:p>
        </w:tc>
        <w:tc>
          <w:tcPr>
            <w:tcW w:type="dxa" w:w="3672"/>
          </w:tcPr>
          <w:p>
            <w:pPr>
              <w:spacing w:after="20"/>
              <w:jc w:val="right"/>
            </w:pPr>
            <w:r>
              <w:rPr>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46.97</w:t>
            </w:r>
          </w:p>
        </w:tc>
        <w:tc>
          <w:tcPr>
            <w:tcW w:type="dxa" w:w="1037"/>
          </w:tcPr>
          <w:p>
            <w:pPr>
              <w:spacing w:after="20"/>
              <w:jc w:val="right"/>
            </w:pPr>
            <w:r>
              <w:rPr>
                <w:color w:val="1C3A36"/>
                <w:sz w:val="18"/>
              </w:rPr>
              <w:t>55.88</w:t>
            </w:r>
          </w:p>
        </w:tc>
        <w:tc>
          <w:tcPr>
            <w:tcW w:type="dxa" w:w="1037"/>
          </w:tcPr>
          <w:p>
            <w:pPr>
              <w:spacing w:after="20"/>
              <w:jc w:val="right"/>
            </w:pPr>
            <w:r>
              <w:rPr>
                <w:color w:val="1C3A36"/>
                <w:sz w:val="18"/>
              </w:rPr>
              <w:t>64.79</w:t>
            </w:r>
          </w:p>
        </w:tc>
        <w:tc>
          <w:tcPr>
            <w:tcW w:type="dxa" w:w="893"/>
          </w:tcPr>
          <w:p>
            <w:pPr>
              <w:spacing w:after="20"/>
              <w:jc w:val="right"/>
            </w:pPr>
            <w:r>
              <w:rPr>
                <w:color w:val="1C3A36"/>
                <w:sz w:val="18"/>
              </w:rPr>
              <w:t>21%</w:t>
            </w:r>
          </w:p>
        </w:tc>
        <w:tc>
          <w:tcPr>
            <w:tcW w:type="dxa" w:w="3672"/>
          </w:tcPr>
          <w:p>
            <w:pPr>
              <w:spacing w:after="20"/>
              <w:jc w:val="right"/>
            </w:pPr>
            <w:r>
              <w:rPr>
                <w:color w:val="1C3A36"/>
                <w:sz w:val="18"/>
              </w:rPr>
              <w:t>What the market pays peers for the same EBITDA</w:t>
            </w:r>
          </w:p>
        </w:tc>
      </w:tr>
      <w:tr>
        <w:tc>
          <w:tcPr>
            <w:tcW w:type="dxa" w:w="2333"/>
          </w:tcPr>
          <w:p>
            <w:pPr>
              <w:spacing w:after="20"/>
            </w:pPr>
            <w:r>
              <w:rPr>
                <w:color w:val="1C3A36"/>
                <w:sz w:val="18"/>
              </w:rPr>
              <w:t>Normalised earnings</w:t>
            </w:r>
          </w:p>
        </w:tc>
        <w:tc>
          <w:tcPr>
            <w:tcW w:type="dxa" w:w="1037"/>
          </w:tcPr>
          <w:p>
            <w:pPr>
              <w:spacing w:after="20"/>
              <w:jc w:val="right"/>
            </w:pPr>
            <w:r>
              <w:rPr>
                <w:color w:val="1C3A36"/>
                <w:sz w:val="18"/>
              </w:rPr>
              <w:t>52.44</w:t>
            </w:r>
          </w:p>
        </w:tc>
        <w:tc>
          <w:tcPr>
            <w:tcW w:type="dxa" w:w="1037"/>
          </w:tcPr>
          <w:p>
            <w:pPr>
              <w:spacing w:after="20"/>
              <w:jc w:val="right"/>
            </w:pPr>
            <w:r>
              <w:rPr>
                <w:color w:val="1C3A36"/>
                <w:sz w:val="18"/>
              </w:rPr>
              <w:t>58.10</w:t>
            </w:r>
          </w:p>
        </w:tc>
        <w:tc>
          <w:tcPr>
            <w:tcW w:type="dxa" w:w="1037"/>
          </w:tcPr>
          <w:p>
            <w:pPr>
              <w:spacing w:after="20"/>
              <w:jc w:val="right"/>
            </w:pPr>
            <w:r>
              <w:rPr>
                <w:color w:val="1C3A36"/>
                <w:sz w:val="18"/>
              </w:rPr>
              <w:t>63.77</w:t>
            </w:r>
          </w:p>
        </w:tc>
        <w:tc>
          <w:tcPr>
            <w:tcW w:type="dxa" w:w="893"/>
          </w:tcPr>
          <w:p>
            <w:pPr>
              <w:spacing w:after="20"/>
              <w:jc w:val="right"/>
            </w:pPr>
            <w:r>
              <w:rPr>
                <w:color w:val="1C3A36"/>
                <w:sz w:val="18"/>
              </w:rPr>
              <w:t>23%</w:t>
            </w:r>
          </w:p>
        </w:tc>
        <w:tc>
          <w:tcPr>
            <w:tcW w:type="dxa" w:w="3672"/>
          </w:tcPr>
          <w:p>
            <w:pPr>
              <w:spacing w:after="20"/>
              <w:jc w:val="right"/>
            </w:pPr>
            <w:r>
              <w:rPr>
                <w:color w:val="1C3A36"/>
                <w:sz w:val="18"/>
              </w:rPr>
              <w:t>What the business earns through the cycle</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76.49</w:t>
            </w:r>
          </w:p>
        </w:tc>
        <w:tc>
          <w:tcPr>
            <w:tcW w:type="dxa" w:w="1037"/>
          </w:tcPr>
          <w:p>
            <w:pPr>
              <w:spacing w:after="20"/>
              <w:jc w:val="right"/>
            </w:pPr>
            <w:r>
              <w:rPr>
                <w:color w:val="1C3A36"/>
                <w:sz w:val="18"/>
              </w:rPr>
              <w:t>87.37</w:t>
            </w:r>
          </w:p>
        </w:tc>
        <w:tc>
          <w:tcPr>
            <w:tcW w:type="dxa" w:w="1037"/>
          </w:tcPr>
          <w:p>
            <w:pPr>
              <w:spacing w:after="20"/>
              <w:jc w:val="right"/>
            </w:pPr>
            <w:r>
              <w:rPr>
                <w:color w:val="1C3A36"/>
                <w:sz w:val="18"/>
              </w:rPr>
              <w:t>98.26</w:t>
            </w:r>
          </w:p>
        </w:tc>
        <w:tc>
          <w:tcPr>
            <w:tcW w:type="dxa" w:w="893"/>
          </w:tcPr>
          <w:p>
            <w:pPr>
              <w:spacing w:after="20"/>
              <w:jc w:val="right"/>
            </w:pPr>
            <w:r>
              <w:rPr>
                <w:color w:val="1C3A36"/>
                <w:sz w:val="18"/>
              </w:rPr>
              <w:t>8%</w:t>
            </w:r>
          </w:p>
        </w:tc>
        <w:tc>
          <w:tcPr>
            <w:tcW w:type="dxa" w:w="3672"/>
          </w:tcPr>
          <w:p>
            <w:pPr>
              <w:spacing w:after="20"/>
              <w:jc w:val="right"/>
            </w:pPr>
            <w:r>
              <w:rPr>
                <w:color w:val="1C3A36"/>
                <w:sz w:val="18"/>
              </w:rPr>
              <w:t>What the plant itself is worth</w:t>
            </w:r>
          </w:p>
        </w:tc>
      </w:tr>
      <w:tr>
        <w:tc>
          <w:tcPr>
            <w:tcW w:type="dxa" w:w="2333"/>
            <w:shd w:val="clear" w:color="auto" w:fill="F6F1E6"/>
          </w:tcPr>
          <w:p>
            <w:pPr>
              <w:spacing w:after="20"/>
            </w:pPr>
            <w:r>
              <w:rPr>
                <w:b/>
                <w:color w:val="1C3A36"/>
                <w:sz w:val="18"/>
              </w:rPr>
              <w:t>Weighted central</w:t>
            </w:r>
          </w:p>
        </w:tc>
        <w:tc>
          <w:tcPr>
            <w:tcW w:type="dxa" w:w="1037"/>
            <w:shd w:val="clear" w:color="auto" w:fill="F6F1E6"/>
          </w:tcPr>
          <w:p>
            <w:pPr>
              <w:spacing w:after="20"/>
              <w:jc w:val="right"/>
            </w:pPr>
            <w:r>
              <w:rPr>
                <w:b/>
                <w:color w:val="1C3A36"/>
                <w:sz w:val="18"/>
              </w:rPr>
              <w:t>46.84</w:t>
            </w:r>
          </w:p>
        </w:tc>
        <w:tc>
          <w:tcPr>
            <w:tcW w:type="dxa" w:w="1037"/>
            <w:shd w:val="clear" w:color="auto" w:fill="F6F1E6"/>
          </w:tcPr>
          <w:p>
            <w:pPr>
              <w:spacing w:after="20"/>
              <w:jc w:val="right"/>
            </w:pPr>
            <w:r>
              <w:rPr>
                <w:b/>
                <w:color w:val="1C3A36"/>
                <w:sz w:val="18"/>
              </w:rPr>
              <w:t>53.12</w:t>
            </w:r>
          </w:p>
        </w:tc>
        <w:tc>
          <w:tcPr>
            <w:tcW w:type="dxa" w:w="1037"/>
            <w:shd w:val="clear" w:color="auto" w:fill="F6F1E6"/>
          </w:tcPr>
          <w:p>
            <w:pPr>
              <w:spacing w:after="20"/>
              <w:jc w:val="right"/>
            </w:pPr>
            <w:r>
              <w:rPr>
                <w:b/>
                <w:color w:val="1C3A36"/>
                <w:sz w:val="18"/>
              </w:rPr>
              <w:t>59.10</w:t>
            </w:r>
          </w:p>
        </w:tc>
        <w:tc>
          <w:tcPr>
            <w:tcW w:type="dxa" w:w="893"/>
            <w:shd w:val="clear" w:color="auto" w:fill="F6F1E6"/>
          </w:tcPr>
          <w:p>
            <w:pPr>
              <w:spacing w:after="20"/>
              <w:jc w:val="right"/>
            </w:pPr>
            <w:r>
              <w:rPr>
                <w:b/>
                <w:color w:val="1C3A36"/>
                <w:sz w:val="18"/>
              </w:rPr>
              <w:t>100%</w:t>
            </w:r>
          </w:p>
        </w:tc>
        <w:tc>
          <w:tcPr>
            <w:tcW w:type="dxa" w:w="3672"/>
            <w:shd w:val="clear" w:color="auto" w:fill="F6F1E6"/>
          </w:tcPr>
          <w:p>
            <w:pPr>
              <w:spacing w:after="20"/>
              <w:jc w:val="right"/>
            </w:pPr>
            <w:r>
              <w:rPr>
                <w:b/>
                <w:color w:val="1C3A36"/>
                <w:sz w:val="18"/>
              </w:rPr>
              <w:t>The blend</w:t>
            </w:r>
          </w:p>
        </w:tc>
      </w:tr>
    </w:tbl>
    <w:p>
      <w:pPr>
        <w:spacing w:after="40"/>
      </w:pPr>
    </w:p>
    <w:p>
      <w:pPr>
        <w:spacing w:after="200" w:before="0"/>
      </w:pPr>
      <w:r>
        <w:rPr>
          <w:b w:val="0"/>
          <w:i/>
          <w:color w:val="6E7B77"/>
          <w:sz w:val="17"/>
        </w:rPr>
        <w:t>Table 8 — The four lenses side by side. Weighting is applied to the base cases; the ranges are shown so the reader can weight them differently.</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3,369</w:t>
            </w:r>
          </w:p>
        </w:tc>
        <w:tc>
          <w:tcPr>
            <w:tcW w:type="dxa" w:w="1210"/>
          </w:tcPr>
          <w:p>
            <w:pPr>
              <w:spacing w:after="20"/>
              <w:jc w:val="right"/>
            </w:pPr>
            <w:r>
              <w:rPr>
                <w:color w:val="1C3A36"/>
                <w:sz w:val="17"/>
              </w:rPr>
              <w:t>3,551</w:t>
            </w:r>
          </w:p>
        </w:tc>
        <w:tc>
          <w:tcPr>
            <w:tcW w:type="dxa" w:w="1210"/>
          </w:tcPr>
          <w:p>
            <w:pPr>
              <w:spacing w:after="20"/>
              <w:jc w:val="right"/>
            </w:pPr>
            <w:r>
              <w:rPr>
                <w:color w:val="1C3A36"/>
                <w:sz w:val="17"/>
              </w:rPr>
              <w:t>3,691</w:t>
            </w:r>
          </w:p>
        </w:tc>
        <w:tc>
          <w:tcPr>
            <w:tcW w:type="dxa" w:w="1210"/>
          </w:tcPr>
          <w:p>
            <w:pPr>
              <w:spacing w:after="20"/>
              <w:jc w:val="right"/>
            </w:pPr>
            <w:r>
              <w:rPr>
                <w:color w:val="1C3A36"/>
                <w:sz w:val="17"/>
              </w:rPr>
              <w:t>3,853</w:t>
            </w:r>
          </w:p>
        </w:tc>
        <w:tc>
          <w:tcPr>
            <w:tcW w:type="dxa" w:w="1210"/>
          </w:tcPr>
          <w:p>
            <w:pPr>
              <w:spacing w:after="20"/>
              <w:jc w:val="right"/>
            </w:pPr>
            <w:r>
              <w:rPr>
                <w:color w:val="1C3A36"/>
                <w:sz w:val="17"/>
              </w:rPr>
              <w:t>4,036</w:t>
            </w:r>
          </w:p>
        </w:tc>
        <w:tc>
          <w:tcPr>
            <w:tcW w:type="dxa" w:w="1210"/>
          </w:tcPr>
          <w:p>
            <w:pPr>
              <w:spacing w:after="20"/>
              <w:jc w:val="right"/>
            </w:pPr>
            <w:r>
              <w:rPr>
                <w:color w:val="1C3A36"/>
                <w:sz w:val="17"/>
              </w:rPr>
              <w:t>4,215</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Thermal fuel</w:t>
            </w:r>
          </w:p>
        </w:tc>
        <w:tc>
          <w:tcPr>
            <w:tcW w:type="dxa" w:w="1210"/>
          </w:tcPr>
          <w:p>
            <w:pPr>
              <w:spacing w:after="20"/>
              <w:jc w:val="right"/>
            </w:pPr>
            <w:r>
              <w:rPr>
                <w:color w:val="1C3A36"/>
                <w:sz w:val="17"/>
              </w:rPr>
              <w:t>458</w:t>
            </w:r>
          </w:p>
        </w:tc>
        <w:tc>
          <w:tcPr>
            <w:tcW w:type="dxa" w:w="1210"/>
          </w:tcPr>
          <w:p>
            <w:pPr>
              <w:spacing w:after="20"/>
              <w:jc w:val="right"/>
            </w:pPr>
            <w:r>
              <w:rPr>
                <w:color w:val="1C3A36"/>
                <w:sz w:val="17"/>
              </w:rPr>
              <w:t>483</w:t>
            </w:r>
          </w:p>
        </w:tc>
        <w:tc>
          <w:tcPr>
            <w:tcW w:type="dxa" w:w="1210"/>
          </w:tcPr>
          <w:p>
            <w:pPr>
              <w:spacing w:after="20"/>
              <w:jc w:val="right"/>
            </w:pPr>
            <w:r>
              <w:rPr>
                <w:color w:val="1C3A36"/>
                <w:sz w:val="17"/>
              </w:rPr>
              <w:t>506</w:t>
            </w:r>
          </w:p>
        </w:tc>
        <w:tc>
          <w:tcPr>
            <w:tcW w:type="dxa" w:w="1210"/>
          </w:tcPr>
          <w:p>
            <w:pPr>
              <w:spacing w:after="20"/>
              <w:jc w:val="right"/>
            </w:pPr>
            <w:r>
              <w:rPr>
                <w:color w:val="1C3A36"/>
                <w:sz w:val="17"/>
              </w:rPr>
              <w:t>526</w:t>
            </w:r>
          </w:p>
        </w:tc>
        <w:tc>
          <w:tcPr>
            <w:tcW w:type="dxa" w:w="1210"/>
          </w:tcPr>
          <w:p>
            <w:pPr>
              <w:spacing w:after="20"/>
              <w:jc w:val="right"/>
            </w:pPr>
            <w:r>
              <w:rPr>
                <w:color w:val="1C3A36"/>
                <w:sz w:val="17"/>
              </w:rPr>
              <w:t>545</w:t>
            </w:r>
          </w:p>
        </w:tc>
        <w:tc>
          <w:tcPr>
            <w:tcW w:type="dxa" w:w="1210"/>
          </w:tcPr>
          <w:p>
            <w:pPr>
              <w:spacing w:after="20"/>
              <w:jc w:val="right"/>
            </w:pPr>
            <w:r>
              <w:rPr>
                <w:color w:val="1C3A36"/>
                <w:sz w:val="17"/>
              </w:rPr>
              <w:t>565</w:t>
            </w:r>
          </w:p>
        </w:tc>
      </w:tr>
      <w:tr>
        <w:tc>
          <w:tcPr>
            <w:tcW w:type="dxa" w:w="2448"/>
          </w:tcPr>
          <w:p>
            <w:pPr>
              <w:spacing w:after="20"/>
            </w:pPr>
            <w:r>
              <w:rPr>
                <w:color w:val="1C3A36"/>
                <w:sz w:val="17"/>
              </w:rPr>
              <w:t>Electrical power</w:t>
            </w:r>
          </w:p>
        </w:tc>
        <w:tc>
          <w:tcPr>
            <w:tcW w:type="dxa" w:w="1210"/>
          </w:tcPr>
          <w:p>
            <w:pPr>
              <w:spacing w:after="20"/>
              <w:jc w:val="right"/>
            </w:pPr>
            <w:r>
              <w:rPr>
                <w:color w:val="1C3A36"/>
                <w:sz w:val="17"/>
              </w:rPr>
              <w:t>260</w:t>
            </w:r>
          </w:p>
        </w:tc>
        <w:tc>
          <w:tcPr>
            <w:tcW w:type="dxa" w:w="1210"/>
          </w:tcPr>
          <w:p>
            <w:pPr>
              <w:spacing w:after="20"/>
              <w:jc w:val="right"/>
            </w:pPr>
            <w:r>
              <w:rPr>
                <w:color w:val="1C3A36"/>
                <w:sz w:val="17"/>
              </w:rPr>
              <w:t>296</w:t>
            </w:r>
          </w:p>
        </w:tc>
        <w:tc>
          <w:tcPr>
            <w:tcW w:type="dxa" w:w="1210"/>
          </w:tcPr>
          <w:p>
            <w:pPr>
              <w:spacing w:after="20"/>
              <w:jc w:val="right"/>
            </w:pPr>
            <w:r>
              <w:rPr>
                <w:color w:val="1C3A36"/>
                <w:sz w:val="17"/>
              </w:rPr>
              <w:t>329</w:t>
            </w:r>
          </w:p>
        </w:tc>
        <w:tc>
          <w:tcPr>
            <w:tcW w:type="dxa" w:w="1210"/>
          </w:tcPr>
          <w:p>
            <w:pPr>
              <w:spacing w:after="20"/>
              <w:jc w:val="right"/>
            </w:pPr>
            <w:r>
              <w:rPr>
                <w:color w:val="1C3A36"/>
                <w:sz w:val="17"/>
              </w:rPr>
              <w:t>355</w:t>
            </w:r>
          </w:p>
        </w:tc>
        <w:tc>
          <w:tcPr>
            <w:tcW w:type="dxa" w:w="1210"/>
          </w:tcPr>
          <w:p>
            <w:pPr>
              <w:spacing w:after="20"/>
              <w:jc w:val="right"/>
            </w:pPr>
            <w:r>
              <w:rPr>
                <w:color w:val="1C3A36"/>
                <w:sz w:val="17"/>
              </w:rPr>
              <w:t>377</w:t>
            </w:r>
          </w:p>
        </w:tc>
        <w:tc>
          <w:tcPr>
            <w:tcW w:type="dxa" w:w="1210"/>
          </w:tcPr>
          <w:p>
            <w:pPr>
              <w:spacing w:after="20"/>
              <w:jc w:val="right"/>
            </w:pPr>
            <w:r>
              <w:rPr>
                <w:color w:val="1C3A36"/>
                <w:sz w:val="17"/>
              </w:rPr>
              <w:t>398</w:t>
            </w:r>
          </w:p>
        </w:tc>
      </w:tr>
      <w:tr>
        <w:tc>
          <w:tcPr>
            <w:tcW w:type="dxa" w:w="2448"/>
          </w:tcPr>
          <w:p>
            <w:pPr>
              <w:spacing w:after="20"/>
            </w:pPr>
            <w:r>
              <w:rPr>
                <w:color w:val="1C3A36"/>
                <w:sz w:val="17"/>
              </w:rPr>
              <w:t>Raw materials &amp; quarrying</w:t>
            </w:r>
          </w:p>
        </w:tc>
        <w:tc>
          <w:tcPr>
            <w:tcW w:type="dxa" w:w="1210"/>
          </w:tcPr>
          <w:p>
            <w:pPr>
              <w:spacing w:after="20"/>
              <w:jc w:val="right"/>
            </w:pPr>
            <w:r>
              <w:rPr>
                <w:color w:val="1C3A36"/>
                <w:sz w:val="17"/>
              </w:rPr>
              <w:t>190</w:t>
            </w:r>
          </w:p>
        </w:tc>
        <w:tc>
          <w:tcPr>
            <w:tcW w:type="dxa" w:w="1210"/>
          </w:tcPr>
          <w:p>
            <w:pPr>
              <w:spacing w:after="20"/>
              <w:jc w:val="right"/>
            </w:pPr>
            <w:r>
              <w:rPr>
                <w:color w:val="1C3A36"/>
                <w:sz w:val="17"/>
              </w:rPr>
              <w:t>217</w:t>
            </w:r>
          </w:p>
        </w:tc>
        <w:tc>
          <w:tcPr>
            <w:tcW w:type="dxa" w:w="1210"/>
          </w:tcPr>
          <w:p>
            <w:pPr>
              <w:spacing w:after="20"/>
              <w:jc w:val="right"/>
            </w:pPr>
            <w:r>
              <w:rPr>
                <w:color w:val="1C3A36"/>
                <w:sz w:val="17"/>
              </w:rPr>
              <w:t>240</w:t>
            </w:r>
          </w:p>
        </w:tc>
        <w:tc>
          <w:tcPr>
            <w:tcW w:type="dxa" w:w="1210"/>
          </w:tcPr>
          <w:p>
            <w:pPr>
              <w:spacing w:after="20"/>
              <w:jc w:val="right"/>
            </w:pPr>
            <w:r>
              <w:rPr>
                <w:color w:val="1C3A36"/>
                <w:sz w:val="17"/>
              </w:rPr>
              <w:t>259</w:t>
            </w:r>
          </w:p>
        </w:tc>
        <w:tc>
          <w:tcPr>
            <w:tcW w:type="dxa" w:w="1210"/>
          </w:tcPr>
          <w:p>
            <w:pPr>
              <w:spacing w:after="20"/>
              <w:jc w:val="right"/>
            </w:pPr>
            <w:r>
              <w:rPr>
                <w:color w:val="1C3A36"/>
                <w:sz w:val="17"/>
              </w:rPr>
              <w:t>276</w:t>
            </w:r>
          </w:p>
        </w:tc>
        <w:tc>
          <w:tcPr>
            <w:tcW w:type="dxa" w:w="1210"/>
          </w:tcPr>
          <w:p>
            <w:pPr>
              <w:spacing w:after="20"/>
              <w:jc w:val="right"/>
            </w:pPr>
            <w:r>
              <w:rPr>
                <w:color w:val="1C3A36"/>
                <w:sz w:val="17"/>
              </w:rPr>
              <w:t>291</w:t>
            </w:r>
          </w:p>
        </w:tc>
      </w:tr>
      <w:tr>
        <w:tc>
          <w:tcPr>
            <w:tcW w:type="dxa" w:w="2448"/>
          </w:tcPr>
          <w:p>
            <w:pPr>
              <w:spacing w:after="20"/>
            </w:pPr>
            <w:r>
              <w:rPr>
                <w:color w:val="1C3A36"/>
                <w:sz w:val="17"/>
              </w:rPr>
              <w:t>Packaging</w:t>
            </w:r>
          </w:p>
        </w:tc>
        <w:tc>
          <w:tcPr>
            <w:tcW w:type="dxa" w:w="1210"/>
          </w:tcPr>
          <w:p>
            <w:pPr>
              <w:spacing w:after="20"/>
              <w:jc w:val="right"/>
            </w:pPr>
            <w:r>
              <w:rPr>
                <w:color w:val="1C3A36"/>
                <w:sz w:val="17"/>
              </w:rPr>
              <w:t>38</w:t>
            </w:r>
          </w:p>
        </w:tc>
        <w:tc>
          <w:tcPr>
            <w:tcW w:type="dxa" w:w="1210"/>
          </w:tcPr>
          <w:p>
            <w:pPr>
              <w:spacing w:after="20"/>
              <w:jc w:val="right"/>
            </w:pPr>
            <w:r>
              <w:rPr>
                <w:color w:val="1C3A36"/>
                <w:sz w:val="17"/>
              </w:rPr>
              <w:t>44</w:t>
            </w:r>
          </w:p>
        </w:tc>
        <w:tc>
          <w:tcPr>
            <w:tcW w:type="dxa" w:w="1210"/>
          </w:tcPr>
          <w:p>
            <w:pPr>
              <w:spacing w:after="20"/>
              <w:jc w:val="right"/>
            </w:pPr>
            <w:r>
              <w:rPr>
                <w:color w:val="1C3A36"/>
                <w:sz w:val="17"/>
              </w:rPr>
              <w:t>49</w:t>
            </w:r>
          </w:p>
        </w:tc>
        <w:tc>
          <w:tcPr>
            <w:tcW w:type="dxa" w:w="1210"/>
          </w:tcPr>
          <w:p>
            <w:pPr>
              <w:spacing w:after="20"/>
              <w:jc w:val="right"/>
            </w:pPr>
            <w:r>
              <w:rPr>
                <w:color w:val="1C3A36"/>
                <w:sz w:val="17"/>
              </w:rPr>
              <w:t>53</w:t>
            </w:r>
          </w:p>
        </w:tc>
        <w:tc>
          <w:tcPr>
            <w:tcW w:type="dxa" w:w="1210"/>
          </w:tcPr>
          <w:p>
            <w:pPr>
              <w:spacing w:after="20"/>
              <w:jc w:val="right"/>
            </w:pPr>
            <w:r>
              <w:rPr>
                <w:color w:val="1C3A36"/>
                <w:sz w:val="17"/>
              </w:rPr>
              <w:t>56</w:t>
            </w:r>
          </w:p>
        </w:tc>
        <w:tc>
          <w:tcPr>
            <w:tcW w:type="dxa" w:w="1210"/>
          </w:tcPr>
          <w:p>
            <w:pPr>
              <w:spacing w:after="20"/>
              <w:jc w:val="right"/>
            </w:pPr>
            <w:r>
              <w:rPr>
                <w:color w:val="1C3A36"/>
                <w:sz w:val="17"/>
              </w:rPr>
              <w:t>59</w:t>
            </w:r>
          </w:p>
        </w:tc>
      </w:tr>
      <w:tr>
        <w:tc>
          <w:tcPr>
            <w:tcW w:type="dxa" w:w="2448"/>
          </w:tcPr>
          <w:p>
            <w:pPr>
              <w:spacing w:after="20"/>
            </w:pPr>
            <w:r>
              <w:rPr>
                <w:color w:val="1C3A36"/>
                <w:sz w:val="17"/>
              </w:rPr>
              <w:t>Distribution &amp; selling</w:t>
            </w:r>
          </w:p>
        </w:tc>
        <w:tc>
          <w:tcPr>
            <w:tcW w:type="dxa" w:w="1210"/>
          </w:tcPr>
          <w:p>
            <w:pPr>
              <w:spacing w:after="20"/>
              <w:jc w:val="right"/>
            </w:pPr>
            <w:r>
              <w:rPr>
                <w:color w:val="1C3A36"/>
                <w:sz w:val="17"/>
              </w:rPr>
              <w:t>250</w:t>
            </w:r>
          </w:p>
        </w:tc>
        <w:tc>
          <w:tcPr>
            <w:tcW w:type="dxa" w:w="1210"/>
          </w:tcPr>
          <w:p>
            <w:pPr>
              <w:spacing w:after="20"/>
              <w:jc w:val="right"/>
            </w:pPr>
            <w:r>
              <w:rPr>
                <w:color w:val="1C3A36"/>
                <w:sz w:val="17"/>
              </w:rPr>
              <w:t>285</w:t>
            </w:r>
          </w:p>
        </w:tc>
        <w:tc>
          <w:tcPr>
            <w:tcW w:type="dxa" w:w="1210"/>
          </w:tcPr>
          <w:p>
            <w:pPr>
              <w:spacing w:after="20"/>
              <w:jc w:val="right"/>
            </w:pPr>
            <w:r>
              <w:rPr>
                <w:color w:val="1C3A36"/>
                <w:sz w:val="17"/>
              </w:rPr>
              <w:t>316</w:t>
            </w:r>
          </w:p>
        </w:tc>
        <w:tc>
          <w:tcPr>
            <w:tcW w:type="dxa" w:w="1210"/>
          </w:tcPr>
          <w:p>
            <w:pPr>
              <w:spacing w:after="20"/>
              <w:jc w:val="right"/>
            </w:pPr>
            <w:r>
              <w:rPr>
                <w:color w:val="1C3A36"/>
                <w:sz w:val="17"/>
              </w:rPr>
              <w:t>341</w:t>
            </w:r>
          </w:p>
        </w:tc>
        <w:tc>
          <w:tcPr>
            <w:tcW w:type="dxa" w:w="1210"/>
          </w:tcPr>
          <w:p>
            <w:pPr>
              <w:spacing w:after="20"/>
              <w:jc w:val="right"/>
            </w:pPr>
            <w:r>
              <w:rPr>
                <w:color w:val="1C3A36"/>
                <w:sz w:val="17"/>
              </w:rPr>
              <w:t>362</w:t>
            </w:r>
          </w:p>
        </w:tc>
        <w:tc>
          <w:tcPr>
            <w:tcW w:type="dxa" w:w="1210"/>
          </w:tcPr>
          <w:p>
            <w:pPr>
              <w:spacing w:after="20"/>
              <w:jc w:val="right"/>
            </w:pPr>
            <w:r>
              <w:rPr>
                <w:color w:val="1C3A36"/>
                <w:sz w:val="17"/>
              </w:rPr>
              <w:t>382</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1,197</w:t>
            </w:r>
          </w:p>
        </w:tc>
        <w:tc>
          <w:tcPr>
            <w:tcW w:type="dxa" w:w="1210"/>
            <w:shd w:val="clear" w:color="auto" w:fill="F6F1E6"/>
          </w:tcPr>
          <w:p>
            <w:pPr>
              <w:spacing w:after="20"/>
              <w:jc w:val="right"/>
            </w:pPr>
            <w:r>
              <w:rPr>
                <w:b/>
                <w:color w:val="1C3A36"/>
                <w:sz w:val="17"/>
              </w:rPr>
              <w:t>1,325</w:t>
            </w:r>
          </w:p>
        </w:tc>
        <w:tc>
          <w:tcPr>
            <w:tcW w:type="dxa" w:w="1210"/>
            <w:shd w:val="clear" w:color="auto" w:fill="F6F1E6"/>
          </w:tcPr>
          <w:p>
            <w:pPr>
              <w:spacing w:after="20"/>
              <w:jc w:val="right"/>
            </w:pPr>
            <w:r>
              <w:rPr>
                <w:b/>
                <w:color w:val="1C3A36"/>
                <w:sz w:val="17"/>
              </w:rPr>
              <w:t>1,440</w:t>
            </w:r>
          </w:p>
        </w:tc>
        <w:tc>
          <w:tcPr>
            <w:tcW w:type="dxa" w:w="1210"/>
            <w:shd w:val="clear" w:color="auto" w:fill="F6F1E6"/>
          </w:tcPr>
          <w:p>
            <w:pPr>
              <w:spacing w:after="20"/>
              <w:jc w:val="right"/>
            </w:pPr>
            <w:r>
              <w:rPr>
                <w:b/>
                <w:color w:val="1C3A36"/>
                <w:sz w:val="17"/>
              </w:rPr>
              <w:t>1,534</w:t>
            </w:r>
          </w:p>
        </w:tc>
        <w:tc>
          <w:tcPr>
            <w:tcW w:type="dxa" w:w="1210"/>
            <w:shd w:val="clear" w:color="auto" w:fill="F6F1E6"/>
          </w:tcPr>
          <w:p>
            <w:pPr>
              <w:spacing w:after="20"/>
              <w:jc w:val="right"/>
            </w:pPr>
            <w:r>
              <w:rPr>
                <w:b/>
                <w:color w:val="1C3A36"/>
                <w:sz w:val="17"/>
              </w:rPr>
              <w:t>1,616</w:t>
            </w:r>
          </w:p>
        </w:tc>
        <w:tc>
          <w:tcPr>
            <w:tcW w:type="dxa" w:w="1210"/>
            <w:shd w:val="clear" w:color="auto" w:fill="F6F1E6"/>
          </w:tcPr>
          <w:p>
            <w:pPr>
              <w:spacing w:after="20"/>
              <w:jc w:val="right"/>
            </w:pPr>
            <w:r>
              <w:rPr>
                <w:b/>
                <w:color w:val="1C3A36"/>
                <w:sz w:val="17"/>
              </w:rPr>
              <w:t>1,695</w:t>
            </w:r>
          </w:p>
        </w:tc>
      </w:tr>
    </w:tbl>
    <w:p>
      <w:pPr>
        <w:spacing w:after="40"/>
      </w:pPr>
    </w:p>
    <w:p>
      <w:pPr>
        <w:spacing w:after="200" w:before="0"/>
      </w:pPr>
      <w:r>
        <w:rPr>
          <w:b w:val="0"/>
          <w:i/>
          <w:color w:val="6E7B77"/>
          <w:sz w:val="17"/>
        </w:rPr>
        <w:t>Table 10 — The cost stack. Every line is a physical or market quantity: heat per tonne of clinker times the delivered fuel price; kilowatt-hours per tonne times the industrial tariff; and so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3,228</w:t>
            </w:r>
          </w:p>
        </w:tc>
        <w:tc>
          <w:tcPr>
            <w:tcW w:type="dxa" w:w="1210"/>
          </w:tcPr>
          <w:p>
            <w:pPr>
              <w:spacing w:after="20"/>
              <w:jc w:val="right"/>
            </w:pPr>
            <w:r>
              <w:rPr>
                <w:color w:val="1C3A36"/>
                <w:sz w:val="17"/>
              </w:rPr>
              <w:t>3,610</w:t>
            </w:r>
          </w:p>
        </w:tc>
        <w:tc>
          <w:tcPr>
            <w:tcW w:type="dxa" w:w="1210"/>
          </w:tcPr>
          <w:p>
            <w:pPr>
              <w:spacing w:after="20"/>
              <w:jc w:val="right"/>
            </w:pPr>
            <w:r>
              <w:rPr>
                <w:color w:val="1C3A36"/>
                <w:sz w:val="17"/>
              </w:rPr>
              <w:t>4,022</w:t>
            </w:r>
          </w:p>
        </w:tc>
        <w:tc>
          <w:tcPr>
            <w:tcW w:type="dxa" w:w="1210"/>
          </w:tcPr>
          <w:p>
            <w:pPr>
              <w:spacing w:after="20"/>
              <w:jc w:val="right"/>
            </w:pPr>
            <w:r>
              <w:rPr>
                <w:color w:val="1C3A36"/>
                <w:sz w:val="17"/>
              </w:rPr>
              <w:t>4,390</w:t>
            </w:r>
          </w:p>
        </w:tc>
        <w:tc>
          <w:tcPr>
            <w:tcW w:type="dxa" w:w="1210"/>
          </w:tcPr>
          <w:p>
            <w:pPr>
              <w:spacing w:after="20"/>
              <w:jc w:val="right"/>
            </w:pPr>
            <w:r>
              <w:rPr>
                <w:color w:val="1C3A36"/>
                <w:sz w:val="17"/>
              </w:rPr>
              <w:t>4,742</w:t>
            </w:r>
          </w:p>
        </w:tc>
        <w:tc>
          <w:tcPr>
            <w:tcW w:type="dxa" w:w="1210"/>
          </w:tcPr>
          <w:p>
            <w:pPr>
              <w:spacing w:after="20"/>
              <w:jc w:val="right"/>
            </w:pPr>
            <w:r>
              <w:rPr>
                <w:color w:val="1C3A36"/>
                <w:sz w:val="17"/>
              </w:rPr>
              <w:t>5,094</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2,763</w:t>
            </w:r>
          </w:p>
        </w:tc>
        <w:tc>
          <w:tcPr>
            <w:tcW w:type="dxa" w:w="1210"/>
          </w:tcPr>
          <w:p>
            <w:pPr>
              <w:spacing w:after="20"/>
              <w:jc w:val="right"/>
            </w:pPr>
            <w:r>
              <w:rPr>
                <w:color w:val="1C3A36"/>
                <w:sz w:val="17"/>
              </w:rPr>
              <w:t>3,150</w:t>
            </w:r>
          </w:p>
        </w:tc>
        <w:tc>
          <w:tcPr>
            <w:tcW w:type="dxa" w:w="1210"/>
          </w:tcPr>
          <w:p>
            <w:pPr>
              <w:spacing w:after="20"/>
              <w:jc w:val="right"/>
            </w:pPr>
            <w:r>
              <w:rPr>
                <w:color w:val="1C3A36"/>
                <w:sz w:val="17"/>
              </w:rPr>
              <w:t>3,495</w:t>
            </w:r>
          </w:p>
        </w:tc>
        <w:tc>
          <w:tcPr>
            <w:tcW w:type="dxa" w:w="1210"/>
          </w:tcPr>
          <w:p>
            <w:pPr>
              <w:spacing w:after="20"/>
              <w:jc w:val="right"/>
            </w:pPr>
            <w:r>
              <w:rPr>
                <w:color w:val="1C3A36"/>
                <w:sz w:val="17"/>
              </w:rPr>
              <w:t>3,771</w:t>
            </w:r>
          </w:p>
        </w:tc>
        <w:tc>
          <w:tcPr>
            <w:tcW w:type="dxa" w:w="1210"/>
          </w:tcPr>
          <w:p>
            <w:pPr>
              <w:spacing w:after="20"/>
              <w:jc w:val="right"/>
            </w:pPr>
            <w:r>
              <w:rPr>
                <w:color w:val="1C3A36"/>
                <w:sz w:val="17"/>
              </w:rPr>
              <w:t>4,006</w:t>
            </w:r>
          </w:p>
        </w:tc>
        <w:tc>
          <w:tcPr>
            <w:tcW w:type="dxa" w:w="1210"/>
          </w:tcPr>
          <w:p>
            <w:pPr>
              <w:spacing w:after="20"/>
              <w:jc w:val="right"/>
            </w:pPr>
            <w:r>
              <w:rPr>
                <w:color w:val="1C3A36"/>
                <w:sz w:val="17"/>
              </w:rPr>
              <w:t>4,227</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3,100</w:t>
            </w:r>
          </w:p>
        </w:tc>
        <w:tc>
          <w:tcPr>
            <w:tcW w:type="dxa" w:w="1210"/>
            <w:shd w:val="clear" w:color="auto" w:fill="F6F1E6"/>
          </w:tcPr>
          <w:p>
            <w:pPr>
              <w:spacing w:after="20"/>
              <w:jc w:val="right"/>
            </w:pPr>
            <w:r>
              <w:rPr>
                <w:b/>
                <w:color w:val="1C3A36"/>
                <w:sz w:val="17"/>
              </w:rPr>
              <w:t>2,916</w:t>
            </w:r>
          </w:p>
        </w:tc>
        <w:tc>
          <w:tcPr>
            <w:tcW w:type="dxa" w:w="1210"/>
            <w:shd w:val="clear" w:color="auto" w:fill="F6F1E6"/>
          </w:tcPr>
          <w:p>
            <w:pPr>
              <w:spacing w:after="20"/>
              <w:jc w:val="right"/>
            </w:pPr>
            <w:r>
              <w:rPr>
                <w:b/>
                <w:color w:val="1C3A36"/>
                <w:sz w:val="17"/>
              </w:rPr>
              <w:t>2,792</w:t>
            </w:r>
          </w:p>
        </w:tc>
        <w:tc>
          <w:tcPr>
            <w:tcW w:type="dxa" w:w="1210"/>
            <w:shd w:val="clear" w:color="auto" w:fill="F6F1E6"/>
          </w:tcPr>
          <w:p>
            <w:pPr>
              <w:spacing w:after="20"/>
              <w:jc w:val="right"/>
            </w:pPr>
            <w:r>
              <w:rPr>
                <w:b/>
                <w:color w:val="1C3A36"/>
                <w:sz w:val="17"/>
              </w:rPr>
              <w:t>2,865</w:t>
            </w:r>
          </w:p>
        </w:tc>
        <w:tc>
          <w:tcPr>
            <w:tcW w:type="dxa" w:w="1210"/>
            <w:shd w:val="clear" w:color="auto" w:fill="F6F1E6"/>
          </w:tcPr>
          <w:p>
            <w:pPr>
              <w:spacing w:after="20"/>
              <w:jc w:val="right"/>
            </w:pPr>
            <w:r>
              <w:rPr>
                <w:b/>
                <w:color w:val="1C3A36"/>
                <w:sz w:val="17"/>
              </w:rPr>
              <w:t>3,094</w:t>
            </w:r>
          </w:p>
        </w:tc>
        <w:tc>
          <w:tcPr>
            <w:tcW w:type="dxa" w:w="1210"/>
            <w:shd w:val="clear" w:color="auto" w:fill="F6F1E6"/>
          </w:tcPr>
          <w:p>
            <w:pPr>
              <w:spacing w:after="20"/>
              <w:jc w:val="right"/>
            </w:pPr>
            <w:r>
              <w:rPr>
                <w:b/>
                <w:color w:val="1C3A36"/>
                <w:sz w:val="17"/>
              </w:rPr>
              <w:t>3,348</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34.1%</w:t>
            </w:r>
          </w:p>
        </w:tc>
        <w:tc>
          <w:tcPr>
            <w:tcW w:type="dxa" w:w="1210"/>
          </w:tcPr>
          <w:p>
            <w:pPr>
              <w:spacing w:after="20"/>
              <w:jc w:val="right"/>
            </w:pPr>
            <w:r>
              <w:rPr>
                <w:color w:val="1C3A36"/>
                <w:sz w:val="17"/>
              </w:rPr>
              <w:t>30.1%</w:t>
            </w:r>
          </w:p>
        </w:tc>
        <w:tc>
          <w:tcPr>
            <w:tcW w:type="dxa" w:w="1210"/>
          </w:tcPr>
          <w:p>
            <w:pPr>
              <w:spacing w:after="20"/>
              <w:jc w:val="right"/>
            </w:pPr>
            <w:r>
              <w:rPr>
                <w:color w:val="1C3A36"/>
                <w:sz w:val="17"/>
              </w:rPr>
              <w:t>27.1%</w:t>
            </w:r>
          </w:p>
        </w:tc>
        <w:tc>
          <w:tcPr>
            <w:tcW w:type="dxa" w:w="1210"/>
          </w:tcPr>
          <w:p>
            <w:pPr>
              <w:spacing w:after="20"/>
              <w:jc w:val="right"/>
            </w:pPr>
            <w:r>
              <w:rPr>
                <w:color w:val="1C3A36"/>
                <w:sz w:val="17"/>
              </w:rPr>
              <w:t>26.0%</w:t>
            </w:r>
          </w:p>
        </w:tc>
        <w:tc>
          <w:tcPr>
            <w:tcW w:type="dxa" w:w="1210"/>
          </w:tcPr>
          <w:p>
            <w:pPr>
              <w:spacing w:after="20"/>
              <w:jc w:val="right"/>
            </w:pPr>
            <w:r>
              <w:rPr>
                <w:color w:val="1C3A36"/>
                <w:sz w:val="17"/>
              </w:rPr>
              <w:t>26.1%</w:t>
            </w:r>
          </w:p>
        </w:tc>
        <w:tc>
          <w:tcPr>
            <w:tcW w:type="dxa" w:w="1210"/>
          </w:tcPr>
          <w:p>
            <w:pPr>
              <w:spacing w:after="20"/>
              <w:jc w:val="right"/>
            </w:pPr>
            <w:r>
              <w:rPr>
                <w:color w:val="1C3A36"/>
                <w:sz w:val="17"/>
              </w:rPr>
              <w:t>26.4%</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9,091</w:t>
            </w:r>
          </w:p>
        </w:tc>
        <w:tc>
          <w:tcPr>
            <w:tcW w:type="dxa" w:w="2232"/>
          </w:tcPr>
          <w:p>
            <w:pPr>
              <w:spacing w:after="20"/>
              <w:jc w:val="right"/>
            </w:pPr>
            <w:r>
              <w:rPr>
                <w:color w:val="1C3A36"/>
                <w:sz w:val="18"/>
              </w:rPr>
              <w:t>9,090</w:t>
            </w:r>
          </w:p>
        </w:tc>
        <w:tc>
          <w:tcPr>
            <w:tcW w:type="dxa" w:w="1872"/>
          </w:tcPr>
          <w:p>
            <w:pPr>
              <w:spacing w:after="20"/>
              <w:jc w:val="right"/>
            </w:pPr>
            <w:r>
              <w:rPr>
                <w:color w:val="1C3A36"/>
                <w:sz w:val="18"/>
              </w:rPr>
              <w:t>+0.01%</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3,100</w:t>
            </w:r>
          </w:p>
        </w:tc>
        <w:tc>
          <w:tcPr>
            <w:tcW w:type="dxa" w:w="2232"/>
          </w:tcPr>
          <w:p>
            <w:pPr>
              <w:spacing w:after="20"/>
              <w:jc w:val="right"/>
            </w:pPr>
            <w:r>
              <w:rPr>
                <w:color w:val="1C3A36"/>
                <w:sz w:val="18"/>
              </w:rPr>
              <w:t>3,058</w:t>
            </w:r>
          </w:p>
        </w:tc>
        <w:tc>
          <w:tcPr>
            <w:tcW w:type="dxa" w:w="1872"/>
          </w:tcPr>
          <w:p>
            <w:pPr>
              <w:spacing w:after="20"/>
              <w:jc w:val="right"/>
            </w:pPr>
            <w:r>
              <w:rPr>
                <w:color w:val="1C3A36"/>
                <w:sz w:val="18"/>
              </w:rPr>
              <w:t>+1.36%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4,930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22.31%.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22.31%</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18.91%</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28.32%</w:t>
            </w:r>
          </w:p>
        </w:tc>
        <w:tc>
          <w:tcPr>
            <w:tcW w:type="dxa" w:w="2808"/>
          </w:tcPr>
          <w:p>
            <w:pPr>
              <w:spacing w:after="20"/>
              <w:jc w:val="right"/>
            </w:pPr>
            <w:r>
              <w:rPr>
                <w:color w:val="1C3A36"/>
                <w:sz w:val="18"/>
              </w:rPr>
              <w:t>20.86%</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16.66%</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0.18%</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28.30%</w:t>
            </w:r>
          </w:p>
        </w:tc>
        <w:tc>
          <w:tcPr>
            <w:tcW w:type="dxa" w:w="2808"/>
          </w:tcPr>
          <w:p>
            <w:pPr>
              <w:spacing w:after="20"/>
              <w:jc w:val="right"/>
            </w:pPr>
            <w:r>
              <w:rPr>
                <w:color w:val="1C3A36"/>
                <w:sz w:val="18"/>
              </w:rPr>
              <w:t>19.01%</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31.72%,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48.91</w:t>
            </w:r>
          </w:p>
        </w:tc>
        <w:tc>
          <w:tcPr>
            <w:tcW w:type="dxa" w:w="1267"/>
          </w:tcPr>
          <w:p>
            <w:pPr>
              <w:spacing w:after="20"/>
              <w:jc w:val="right"/>
            </w:pPr>
            <w:r>
              <w:rPr>
                <w:color w:val="1C3A36"/>
                <w:sz w:val="18"/>
              </w:rPr>
              <w:t>46.09</w:t>
            </w:r>
          </w:p>
        </w:tc>
        <w:tc>
          <w:tcPr>
            <w:tcW w:type="dxa" w:w="1656"/>
          </w:tcPr>
          <w:p>
            <w:pPr>
              <w:spacing w:after="20"/>
              <w:jc w:val="right"/>
            </w:pPr>
            <w:r>
              <w:rPr>
                <w:color w:val="1C3A36"/>
                <w:sz w:val="18"/>
              </w:rPr>
              <w:t>45.63</w:t>
            </w:r>
          </w:p>
        </w:tc>
        <w:tc>
          <w:tcPr>
            <w:tcW w:type="dxa" w:w="1267"/>
          </w:tcPr>
          <w:p>
            <w:pPr>
              <w:spacing w:after="20"/>
              <w:jc w:val="right"/>
            </w:pPr>
            <w:r>
              <w:rPr>
                <w:color w:val="1C3A36"/>
                <w:sz w:val="18"/>
              </w:rPr>
              <w:t>43.81</w:t>
            </w:r>
          </w:p>
        </w:tc>
        <w:tc>
          <w:tcPr>
            <w:tcW w:type="dxa" w:w="1267"/>
          </w:tcPr>
          <w:p>
            <w:pPr>
              <w:spacing w:after="20"/>
              <w:jc w:val="right"/>
            </w:pPr>
            <w:r>
              <w:rPr>
                <w:color w:val="1C3A36"/>
                <w:sz w:val="18"/>
              </w:rPr>
              <w:t>41.12</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25.30%</w:t>
            </w:r>
          </w:p>
        </w:tc>
        <w:tc>
          <w:tcPr>
            <w:tcW w:type="dxa" w:w="1411"/>
          </w:tcPr>
          <w:p>
            <w:pPr>
              <w:spacing w:after="20"/>
              <w:jc w:val="right"/>
            </w:pPr>
            <w:r>
              <w:rPr>
                <w:color w:val="1C3A36"/>
                <w:sz w:val="18"/>
              </w:rPr>
              <w:t>47.85</w:t>
            </w:r>
          </w:p>
        </w:tc>
        <w:tc>
          <w:tcPr>
            <w:tcW w:type="dxa" w:w="1411"/>
          </w:tcPr>
          <w:p>
            <w:pPr>
              <w:spacing w:after="20"/>
              <w:jc w:val="right"/>
            </w:pPr>
            <w:r>
              <w:rPr>
                <w:color w:val="1C3A36"/>
                <w:sz w:val="18"/>
              </w:rPr>
              <w:t>46.43</w:t>
            </w:r>
          </w:p>
        </w:tc>
        <w:tc>
          <w:tcPr>
            <w:tcW w:type="dxa" w:w="1411"/>
          </w:tcPr>
          <w:p>
            <w:pPr>
              <w:spacing w:after="20"/>
              <w:jc w:val="right"/>
            </w:pPr>
            <w:r>
              <w:rPr>
                <w:color w:val="1C3A36"/>
                <w:sz w:val="18"/>
              </w:rPr>
              <w:t>44.79</w:t>
            </w:r>
          </w:p>
        </w:tc>
        <w:tc>
          <w:tcPr>
            <w:tcW w:type="dxa" w:w="1411"/>
          </w:tcPr>
          <w:p>
            <w:pPr>
              <w:spacing w:after="20"/>
              <w:jc w:val="right"/>
            </w:pPr>
            <w:r>
              <w:rPr>
                <w:color w:val="1C3A36"/>
                <w:sz w:val="18"/>
              </w:rPr>
              <w:t>42.88</w:t>
            </w:r>
          </w:p>
        </w:tc>
        <w:tc>
          <w:tcPr>
            <w:tcW w:type="dxa" w:w="1411"/>
          </w:tcPr>
          <w:p>
            <w:pPr>
              <w:spacing w:after="20"/>
              <w:jc w:val="right"/>
            </w:pPr>
            <w:r>
              <w:rPr>
                <w:color w:val="1C3A36"/>
                <w:sz w:val="18"/>
              </w:rPr>
              <w:t>40.65</w:t>
            </w:r>
          </w:p>
        </w:tc>
      </w:tr>
      <w:tr>
        <w:tc>
          <w:tcPr>
            <w:tcW w:type="dxa" w:w="2736"/>
          </w:tcPr>
          <w:p>
            <w:pPr>
              <w:spacing w:after="20"/>
            </w:pPr>
            <w:r>
              <w:rPr>
                <w:color w:val="1C3A36"/>
                <w:sz w:val="18"/>
              </w:rPr>
              <w:t>26.80%</w:t>
            </w:r>
          </w:p>
        </w:tc>
        <w:tc>
          <w:tcPr>
            <w:tcW w:type="dxa" w:w="1411"/>
          </w:tcPr>
          <w:p>
            <w:pPr>
              <w:spacing w:after="20"/>
              <w:jc w:val="right"/>
            </w:pPr>
            <w:r>
              <w:rPr>
                <w:color w:val="1C3A36"/>
                <w:sz w:val="18"/>
              </w:rPr>
              <w:t>47.28</w:t>
            </w:r>
          </w:p>
        </w:tc>
        <w:tc>
          <w:tcPr>
            <w:tcW w:type="dxa" w:w="1411"/>
          </w:tcPr>
          <w:p>
            <w:pPr>
              <w:spacing w:after="20"/>
              <w:jc w:val="right"/>
            </w:pPr>
            <w:r>
              <w:rPr>
                <w:color w:val="1C3A36"/>
                <w:sz w:val="18"/>
              </w:rPr>
              <w:t>45.89</w:t>
            </w:r>
          </w:p>
        </w:tc>
        <w:tc>
          <w:tcPr>
            <w:tcW w:type="dxa" w:w="1411"/>
          </w:tcPr>
          <w:p>
            <w:pPr>
              <w:spacing w:after="20"/>
              <w:jc w:val="right"/>
            </w:pPr>
            <w:r>
              <w:rPr>
                <w:color w:val="1C3A36"/>
                <w:sz w:val="18"/>
              </w:rPr>
              <w:t>44.29</w:t>
            </w:r>
          </w:p>
        </w:tc>
        <w:tc>
          <w:tcPr>
            <w:tcW w:type="dxa" w:w="1411"/>
          </w:tcPr>
          <w:p>
            <w:pPr>
              <w:spacing w:after="20"/>
              <w:jc w:val="right"/>
            </w:pPr>
            <w:r>
              <w:rPr>
                <w:color w:val="1C3A36"/>
                <w:sz w:val="18"/>
              </w:rPr>
              <w:t>42.43</w:t>
            </w:r>
          </w:p>
        </w:tc>
        <w:tc>
          <w:tcPr>
            <w:tcW w:type="dxa" w:w="1411"/>
          </w:tcPr>
          <w:p>
            <w:pPr>
              <w:spacing w:after="20"/>
              <w:jc w:val="right"/>
            </w:pPr>
            <w:r>
              <w:rPr>
                <w:color w:val="1C3A36"/>
                <w:sz w:val="18"/>
              </w:rPr>
              <w:t>40.25</w:t>
            </w:r>
          </w:p>
        </w:tc>
      </w:tr>
      <w:tr>
        <w:tc>
          <w:tcPr>
            <w:tcW w:type="dxa" w:w="2736"/>
          </w:tcPr>
          <w:p>
            <w:pPr>
              <w:spacing w:after="20"/>
            </w:pPr>
            <w:r>
              <w:rPr>
                <w:color w:val="1C3A36"/>
                <w:sz w:val="18"/>
              </w:rPr>
              <w:t>28.30%</w:t>
            </w:r>
          </w:p>
        </w:tc>
        <w:tc>
          <w:tcPr>
            <w:tcW w:type="dxa" w:w="1411"/>
          </w:tcPr>
          <w:p>
            <w:pPr>
              <w:spacing w:after="20"/>
              <w:jc w:val="right"/>
            </w:pPr>
            <w:r>
              <w:rPr>
                <w:color w:val="1C3A36"/>
                <w:sz w:val="18"/>
              </w:rPr>
              <w:t>46.72</w:t>
            </w:r>
          </w:p>
        </w:tc>
        <w:tc>
          <w:tcPr>
            <w:tcW w:type="dxa" w:w="1411"/>
          </w:tcPr>
          <w:p>
            <w:pPr>
              <w:spacing w:after="20"/>
              <w:jc w:val="right"/>
            </w:pPr>
            <w:r>
              <w:rPr>
                <w:color w:val="1C3A36"/>
                <w:sz w:val="18"/>
              </w:rPr>
              <w:t>45.37</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42.00</w:t>
            </w:r>
          </w:p>
        </w:tc>
        <w:tc>
          <w:tcPr>
            <w:tcW w:type="dxa" w:w="1411"/>
          </w:tcPr>
          <w:p>
            <w:pPr>
              <w:spacing w:after="20"/>
              <w:jc w:val="right"/>
            </w:pPr>
            <w:r>
              <w:rPr>
                <w:color w:val="1C3A36"/>
                <w:sz w:val="18"/>
              </w:rPr>
              <w:t>39.88</w:t>
            </w:r>
          </w:p>
        </w:tc>
      </w:tr>
      <w:tr>
        <w:tc>
          <w:tcPr>
            <w:tcW w:type="dxa" w:w="2736"/>
          </w:tcPr>
          <w:p>
            <w:pPr>
              <w:spacing w:after="20"/>
            </w:pPr>
            <w:r>
              <w:rPr>
                <w:color w:val="1C3A36"/>
                <w:sz w:val="18"/>
              </w:rPr>
              <w:t>29.80%</w:t>
            </w:r>
          </w:p>
        </w:tc>
        <w:tc>
          <w:tcPr>
            <w:tcW w:type="dxa" w:w="1411"/>
          </w:tcPr>
          <w:p>
            <w:pPr>
              <w:spacing w:after="20"/>
              <w:jc w:val="right"/>
            </w:pPr>
            <w:r>
              <w:rPr>
                <w:color w:val="1C3A36"/>
                <w:sz w:val="18"/>
              </w:rPr>
              <w:t>46.18</w:t>
            </w:r>
          </w:p>
        </w:tc>
        <w:tc>
          <w:tcPr>
            <w:tcW w:type="dxa" w:w="1411"/>
          </w:tcPr>
          <w:p>
            <w:pPr>
              <w:spacing w:after="20"/>
              <w:jc w:val="right"/>
            </w:pPr>
            <w:r>
              <w:rPr>
                <w:color w:val="1C3A36"/>
                <w:sz w:val="18"/>
              </w:rPr>
              <w:t>44.86</w:t>
            </w:r>
          </w:p>
        </w:tc>
        <w:tc>
          <w:tcPr>
            <w:tcW w:type="dxa" w:w="1411"/>
          </w:tcPr>
          <w:p>
            <w:pPr>
              <w:spacing w:after="20"/>
              <w:jc w:val="right"/>
            </w:pPr>
            <w:r>
              <w:rPr>
                <w:color w:val="1C3A36"/>
                <w:sz w:val="18"/>
              </w:rPr>
              <w:t>43.34</w:t>
            </w:r>
          </w:p>
        </w:tc>
        <w:tc>
          <w:tcPr>
            <w:tcW w:type="dxa" w:w="1411"/>
          </w:tcPr>
          <w:p>
            <w:pPr>
              <w:spacing w:after="20"/>
              <w:jc w:val="right"/>
            </w:pPr>
            <w:r>
              <w:rPr>
                <w:color w:val="1C3A36"/>
                <w:sz w:val="18"/>
              </w:rPr>
              <w:t>41.58</w:t>
            </w:r>
          </w:p>
        </w:tc>
        <w:tc>
          <w:tcPr>
            <w:tcW w:type="dxa" w:w="1411"/>
          </w:tcPr>
          <w:p>
            <w:pPr>
              <w:spacing w:after="20"/>
              <w:jc w:val="right"/>
            </w:pPr>
            <w:r>
              <w:rPr>
                <w:color w:val="1C3A36"/>
                <w:sz w:val="18"/>
              </w:rPr>
              <w:t>39.51</w:t>
            </w:r>
          </w:p>
        </w:tc>
      </w:tr>
      <w:tr>
        <w:tc>
          <w:tcPr>
            <w:tcW w:type="dxa" w:w="2736"/>
          </w:tcPr>
          <w:p>
            <w:pPr>
              <w:spacing w:after="20"/>
            </w:pPr>
            <w:r>
              <w:rPr>
                <w:color w:val="1C3A36"/>
                <w:sz w:val="18"/>
              </w:rPr>
              <w:t>31.30%</w:t>
            </w:r>
          </w:p>
        </w:tc>
        <w:tc>
          <w:tcPr>
            <w:tcW w:type="dxa" w:w="1411"/>
          </w:tcPr>
          <w:p>
            <w:pPr>
              <w:spacing w:after="20"/>
              <w:jc w:val="right"/>
            </w:pPr>
            <w:r>
              <w:rPr>
                <w:color w:val="1C3A36"/>
                <w:sz w:val="18"/>
              </w:rPr>
              <w:t>45.66</w:t>
            </w:r>
          </w:p>
        </w:tc>
        <w:tc>
          <w:tcPr>
            <w:tcW w:type="dxa" w:w="1411"/>
          </w:tcPr>
          <w:p>
            <w:pPr>
              <w:spacing w:after="20"/>
              <w:jc w:val="right"/>
            </w:pPr>
            <w:r>
              <w:rPr>
                <w:color w:val="1C3A36"/>
                <w:sz w:val="18"/>
              </w:rPr>
              <w:t>44.37</w:t>
            </w:r>
          </w:p>
        </w:tc>
        <w:tc>
          <w:tcPr>
            <w:tcW w:type="dxa" w:w="1411"/>
          </w:tcPr>
          <w:p>
            <w:pPr>
              <w:spacing w:after="20"/>
              <w:jc w:val="right"/>
            </w:pPr>
            <w:r>
              <w:rPr>
                <w:color w:val="1C3A36"/>
                <w:sz w:val="18"/>
              </w:rPr>
              <w:t>42.89</w:t>
            </w:r>
          </w:p>
        </w:tc>
        <w:tc>
          <w:tcPr>
            <w:tcW w:type="dxa" w:w="1411"/>
          </w:tcPr>
          <w:p>
            <w:pPr>
              <w:spacing w:after="20"/>
              <w:jc w:val="right"/>
            </w:pPr>
            <w:r>
              <w:rPr>
                <w:color w:val="1C3A36"/>
                <w:sz w:val="18"/>
              </w:rPr>
              <w:t>41.17</w:t>
            </w:r>
          </w:p>
        </w:tc>
        <w:tc>
          <w:tcPr>
            <w:tcW w:type="dxa" w:w="1411"/>
          </w:tcPr>
          <w:p>
            <w:pPr>
              <w:spacing w:after="20"/>
              <w:jc w:val="right"/>
            </w:pPr>
            <w:r>
              <w:rPr>
                <w:color w:val="1C3A36"/>
                <w:sz w:val="18"/>
              </w:rPr>
              <w:t>39.15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3,430</w:t>
            </w:r>
          </w:p>
        </w:tc>
        <w:tc>
          <w:tcPr>
            <w:tcW w:type="dxa" w:w="1411"/>
            <w:shd w:val="clear" w:color="auto" w:fill="EAF0EE"/>
          </w:tcPr>
          <w:p>
            <w:pPr>
              <w:spacing w:after="20"/>
            </w:pPr>
            <w:r>
              <w:rPr>
                <w:b/>
                <w:color w:val="1C3A36"/>
                <w:sz w:val="18"/>
              </w:rPr>
              <w:t>4,180</w:t>
            </w:r>
          </w:p>
        </w:tc>
        <w:tc>
          <w:tcPr>
            <w:tcW w:type="dxa" w:w="1411"/>
            <w:shd w:val="clear" w:color="auto" w:fill="EAF0EE"/>
          </w:tcPr>
          <w:p>
            <w:pPr>
              <w:spacing w:after="20"/>
            </w:pPr>
            <w:r>
              <w:rPr>
                <w:b/>
                <w:color w:val="1C3A36"/>
                <w:sz w:val="18"/>
              </w:rPr>
              <w:t>4,930</w:t>
            </w:r>
          </w:p>
        </w:tc>
        <w:tc>
          <w:tcPr>
            <w:tcW w:type="dxa" w:w="1411"/>
            <w:shd w:val="clear" w:color="auto" w:fill="EAF0EE"/>
          </w:tcPr>
          <w:p>
            <w:pPr>
              <w:spacing w:after="20"/>
            </w:pPr>
            <w:r>
              <w:rPr>
                <w:b/>
                <w:color w:val="1C3A36"/>
                <w:sz w:val="18"/>
              </w:rPr>
              <w:t>5,680</w:t>
            </w:r>
          </w:p>
        </w:tc>
        <w:tc>
          <w:tcPr>
            <w:tcW w:type="dxa" w:w="1411"/>
            <w:shd w:val="clear" w:color="auto" w:fill="EAF0EE"/>
          </w:tcPr>
          <w:p>
            <w:pPr>
              <w:spacing w:after="20"/>
            </w:pPr>
            <w:r>
              <w:rPr>
                <w:b/>
                <w:color w:val="1C3A36"/>
                <w:sz w:val="18"/>
              </w:rPr>
              <w:t>6,430</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38.06</w:t>
            </w:r>
          </w:p>
        </w:tc>
        <w:tc>
          <w:tcPr>
            <w:tcW w:type="dxa" w:w="1411"/>
          </w:tcPr>
          <w:p>
            <w:pPr>
              <w:spacing w:after="20"/>
              <w:jc w:val="right"/>
            </w:pPr>
            <w:r>
              <w:rPr>
                <w:color w:val="1C3A36"/>
                <w:sz w:val="18"/>
              </w:rPr>
              <w:t>40.94</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46.69</w:t>
            </w:r>
          </w:p>
        </w:tc>
        <w:tc>
          <w:tcPr>
            <w:tcW w:type="dxa" w:w="1411"/>
          </w:tcPr>
          <w:p>
            <w:pPr>
              <w:spacing w:after="20"/>
              <w:jc w:val="right"/>
            </w:pPr>
            <w:r>
              <w:rPr>
                <w:color w:val="1C3A36"/>
                <w:sz w:val="18"/>
              </w:rPr>
              <w:t>49.56</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35.57</w:t>
            </w:r>
          </w:p>
        </w:tc>
        <w:tc>
          <w:tcPr>
            <w:tcW w:type="dxa" w:w="1411"/>
          </w:tcPr>
          <w:p>
            <w:pPr>
              <w:spacing w:after="20"/>
              <w:jc w:val="right"/>
            </w:pPr>
            <w:r>
              <w:rPr>
                <w:color w:val="1C3A36"/>
                <w:sz w:val="18"/>
              </w:rPr>
              <w:t>39.68</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47.68</w:t>
            </w:r>
          </w:p>
        </w:tc>
        <w:tc>
          <w:tcPr>
            <w:tcW w:type="dxa" w:w="1411"/>
          </w:tcPr>
          <w:p>
            <w:pPr>
              <w:spacing w:after="20"/>
              <w:jc w:val="right"/>
            </w:pPr>
            <w:r>
              <w:rPr>
                <w:color w:val="1C3A36"/>
                <w:sz w:val="18"/>
              </w:rPr>
              <w:t>49.80</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79.00 on 6 August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The distribution below is ILLUSTRATIVE ONLY and is materially too wide. Measured against a random-walk benchmark over the last five years, this security's distribution scores -12.8% — worse than the benchmark, not better — and covers 76% of outcomes inside a band meant to hold 50%. The cause is diagnosed and specific: on a security that does not trade every session, the benchmark's own volatility estimate collapses during quiet stretches, and the band drawn here stays wide enough for the jumps that follow. It should not be read with the confidence attached to a liquid name.</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four lenses describe a company whose plant is worth more than its cash flows justify. That is the ordinary condition of a good asset in a bad market, and it is worth saying plainly rather than resolving by arithmetic.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411"/>
        <w:gridCol w:w="1224"/>
        <w:gridCol w:w="4752"/>
      </w:tblGrid>
      <w:tr>
        <w:tc>
          <w:tcPr>
            <w:tcW w:type="dxa" w:w="2333"/>
            <w:shd w:val="clear" w:color="auto" w:fill="EAF0EE"/>
          </w:tcPr>
          <w:p>
            <w:pPr>
              <w:spacing w:after="20"/>
            </w:pPr>
            <w:r>
              <w:rPr>
                <w:b/>
                <w:color w:val="1C3A36"/>
                <w:sz w:val="18"/>
              </w:rPr>
              <w:t>Lens</w:t>
            </w:r>
          </w:p>
        </w:tc>
        <w:tc>
          <w:tcPr>
            <w:tcW w:type="dxa" w:w="1411"/>
            <w:shd w:val="clear" w:color="auto" w:fill="EAF0EE"/>
          </w:tcPr>
          <w:p>
            <w:pPr>
              <w:spacing w:after="20"/>
            </w:pPr>
            <w:r>
              <w:rPr>
                <w:b/>
                <w:color w:val="1C3A36"/>
                <w:sz w:val="18"/>
              </w:rPr>
              <w:t>Value (EGP)</w:t>
            </w:r>
          </w:p>
        </w:tc>
        <w:tc>
          <w:tcPr>
            <w:tcW w:type="dxa" w:w="1224"/>
            <w:shd w:val="clear" w:color="auto" w:fill="EAF0EE"/>
          </w:tcPr>
          <w:p>
            <w:pPr>
              <w:spacing w:after="20"/>
            </w:pPr>
            <w:r>
              <w:rPr>
                <w:b/>
                <w:color w:val="1C3A36"/>
                <w:sz w:val="18"/>
              </w:rPr>
              <w:t>Versus spot</w:t>
            </w:r>
          </w:p>
        </w:tc>
        <w:tc>
          <w:tcPr>
            <w:tcW w:type="dxa" w:w="4752"/>
            <w:shd w:val="clear" w:color="auto" w:fill="EAF0EE"/>
          </w:tcPr>
          <w:p>
            <w:pPr>
              <w:spacing w:after="20"/>
            </w:pPr>
            <w:r>
              <w:rPr>
                <w:b/>
                <w:color w:val="1C3A36"/>
                <w:sz w:val="18"/>
              </w:rPr>
              <w:t>What would have to be true for it to be right</w:t>
            </w:r>
          </w:p>
        </w:tc>
      </w:tr>
      <w:tr>
        <w:tc>
          <w:tcPr>
            <w:tcW w:type="dxa" w:w="2333"/>
          </w:tcPr>
          <w:p>
            <w:pPr>
              <w:spacing w:after="20"/>
            </w:pPr>
            <w:r>
              <w:rPr>
                <w:color w:val="1C3A36"/>
                <w:sz w:val="18"/>
              </w:rPr>
              <w:t>Discounted cash flow</w:t>
            </w:r>
          </w:p>
        </w:tc>
        <w:tc>
          <w:tcPr>
            <w:tcW w:type="dxa" w:w="1411"/>
          </w:tcPr>
          <w:p>
            <w:pPr>
              <w:spacing w:after="20"/>
              <w:jc w:val="right"/>
            </w:pPr>
            <w:r>
              <w:rPr>
                <w:color w:val="1C3A36"/>
                <w:sz w:val="18"/>
              </w:rPr>
              <w:t>43.81</w:t>
            </w:r>
          </w:p>
        </w:tc>
        <w:tc>
          <w:tcPr>
            <w:tcW w:type="dxa" w:w="1224"/>
          </w:tcPr>
          <w:p>
            <w:pPr>
              <w:spacing w:after="20"/>
              <w:jc w:val="right"/>
            </w:pPr>
            <w:r>
              <w:rPr>
                <w:color w:val="1C3A36"/>
                <w:sz w:val="18"/>
              </w:rPr>
              <w:t>-44.5%</w:t>
            </w:r>
          </w:p>
        </w:tc>
        <w:tc>
          <w:tcPr>
            <w:tcW w:type="dxa" w:w="4752"/>
          </w:tcPr>
          <w:p>
            <w:pPr>
              <w:spacing w:after="20"/>
              <w:jc w:val="right"/>
            </w:pPr>
            <w:r>
              <w:rPr>
                <w:color w:val="1C3A36"/>
                <w:sz w:val="18"/>
              </w:rPr>
              <w:t>Prices normalise in real terms as dormant capacity restarts</w:t>
            </w:r>
          </w:p>
        </w:tc>
      </w:tr>
      <w:tr>
        <w:tc>
          <w:tcPr>
            <w:tcW w:type="dxa" w:w="2333"/>
          </w:tcPr>
          <w:p>
            <w:pPr>
              <w:spacing w:after="20"/>
            </w:pPr>
            <w:r>
              <w:rPr>
                <w:color w:val="1C3A36"/>
                <w:sz w:val="18"/>
              </w:rPr>
              <w:t>Relative multiples</w:t>
            </w:r>
          </w:p>
        </w:tc>
        <w:tc>
          <w:tcPr>
            <w:tcW w:type="dxa" w:w="1411"/>
          </w:tcPr>
          <w:p>
            <w:pPr>
              <w:spacing w:after="20"/>
              <w:jc w:val="right"/>
            </w:pPr>
            <w:r>
              <w:rPr>
                <w:color w:val="1C3A36"/>
                <w:sz w:val="18"/>
              </w:rPr>
              <w:t>55.88</w:t>
            </w:r>
          </w:p>
        </w:tc>
        <w:tc>
          <w:tcPr>
            <w:tcW w:type="dxa" w:w="1224"/>
          </w:tcPr>
          <w:p>
            <w:pPr>
              <w:spacing w:after="20"/>
              <w:jc w:val="right"/>
            </w:pPr>
            <w:r>
              <w:rPr>
                <w:color w:val="1C3A36"/>
                <w:sz w:val="18"/>
              </w:rPr>
              <w:t>-29.3%</w:t>
            </w:r>
          </w:p>
        </w:tc>
        <w:tc>
          <w:tcPr>
            <w:tcW w:type="dxa" w:w="4752"/>
          </w:tcPr>
          <w:p>
            <w:pPr>
              <w:spacing w:after="20"/>
              <w:jc w:val="right"/>
            </w:pPr>
            <w:r>
              <w:rPr>
                <w:color w:val="1C3A36"/>
                <w:sz w:val="18"/>
              </w:rPr>
              <w:t>Peers stay near 5x EBITDA and the mid-cycle margin holds</w:t>
            </w:r>
          </w:p>
        </w:tc>
      </w:tr>
      <w:tr>
        <w:tc>
          <w:tcPr>
            <w:tcW w:type="dxa" w:w="2333"/>
          </w:tcPr>
          <w:p>
            <w:pPr>
              <w:spacing w:after="20"/>
            </w:pPr>
            <w:r>
              <w:rPr>
                <w:color w:val="1C3A36"/>
                <w:sz w:val="18"/>
              </w:rPr>
              <w:t>Normalised earnings</w:t>
            </w:r>
          </w:p>
        </w:tc>
        <w:tc>
          <w:tcPr>
            <w:tcW w:type="dxa" w:w="1411"/>
          </w:tcPr>
          <w:p>
            <w:pPr>
              <w:spacing w:after="20"/>
              <w:jc w:val="right"/>
            </w:pPr>
            <w:r>
              <w:rPr>
                <w:color w:val="1C3A36"/>
                <w:sz w:val="18"/>
              </w:rPr>
              <w:t>58.10</w:t>
            </w:r>
          </w:p>
        </w:tc>
        <w:tc>
          <w:tcPr>
            <w:tcW w:type="dxa" w:w="1224"/>
          </w:tcPr>
          <w:p>
            <w:pPr>
              <w:spacing w:after="20"/>
              <w:jc w:val="right"/>
            </w:pPr>
            <w:r>
              <w:rPr>
                <w:color w:val="1C3A36"/>
                <w:sz w:val="18"/>
              </w:rPr>
              <w:t>-26.5%</w:t>
            </w:r>
          </w:p>
        </w:tc>
        <w:tc>
          <w:tcPr>
            <w:tcW w:type="dxa" w:w="4752"/>
          </w:tcPr>
          <w:p>
            <w:pPr>
              <w:spacing w:after="20"/>
              <w:jc w:val="right"/>
            </w:pPr>
            <w:r>
              <w:rPr>
                <w:color w:val="1C3A36"/>
                <w:sz w:val="18"/>
              </w:rPr>
              <w:t>2025 was a cyclical peak, not a new operating level</w:t>
            </w:r>
          </w:p>
        </w:tc>
      </w:tr>
      <w:tr>
        <w:tc>
          <w:tcPr>
            <w:tcW w:type="dxa" w:w="2333"/>
          </w:tcPr>
          <w:p>
            <w:pPr>
              <w:spacing w:after="20"/>
            </w:pPr>
            <w:r>
              <w:rPr>
                <w:color w:val="1C3A36"/>
                <w:sz w:val="18"/>
              </w:rPr>
              <w:t>Asset / replacement cost</w:t>
            </w:r>
          </w:p>
        </w:tc>
        <w:tc>
          <w:tcPr>
            <w:tcW w:type="dxa" w:w="1411"/>
          </w:tcPr>
          <w:p>
            <w:pPr>
              <w:spacing w:after="20"/>
              <w:jc w:val="right"/>
            </w:pPr>
            <w:r>
              <w:rPr>
                <w:color w:val="1C3A36"/>
                <w:sz w:val="18"/>
              </w:rPr>
              <w:t>87.37</w:t>
            </w:r>
          </w:p>
        </w:tc>
        <w:tc>
          <w:tcPr>
            <w:tcW w:type="dxa" w:w="1224"/>
          </w:tcPr>
          <w:p>
            <w:pPr>
              <w:spacing w:after="20"/>
              <w:jc w:val="right"/>
            </w:pPr>
            <w:r>
              <w:rPr>
                <w:color w:val="1C3A36"/>
                <w:sz w:val="18"/>
              </w:rPr>
              <w:t>+10.6%</w:t>
            </w:r>
          </w:p>
        </w:tc>
        <w:tc>
          <w:tcPr>
            <w:tcW w:type="dxa" w:w="4752"/>
          </w:tcPr>
          <w:p>
            <w:pPr>
              <w:spacing w:after="20"/>
              <w:jc w:val="right"/>
            </w:pPr>
            <w:r>
              <w:rPr>
                <w:color w:val="1C3A36"/>
                <w:sz w:val="18"/>
              </w:rPr>
              <w:t>Capacity is scarce enough that build cost anchors value</w:t>
            </w:r>
          </w:p>
        </w:tc>
      </w:tr>
    </w:tbl>
    <w:p>
      <w:pPr>
        <w:spacing w:after="40"/>
      </w:pPr>
    </w:p>
    <w:p>
      <w:pPr>
        <w:spacing w:after="200" w:before="0"/>
      </w:pPr>
      <w:r>
        <w:rPr>
          <w:b w:val="0"/>
          <w:i/>
          <w:color w:val="6E7B77"/>
          <w:sz w:val="17"/>
        </w:rPr>
        <w:t>Table 16 — What each lens is betting on.</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yet the balance sheet arithmetic implies a substantial FY2025 distribution. A declared payout would resolve the largest single uncertainty in the equity bridge.</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earnings lenses</w:t>
            </w:r>
          </w:p>
        </w:tc>
        <w:tc>
          <w:tcPr>
            <w:tcW w:type="dxa" w:w="2088"/>
          </w:tcPr>
          <w:p>
            <w:pPr>
              <w:spacing w:after="20"/>
              <w:jc w:val="right"/>
            </w:pPr>
            <w:r>
              <w:rPr>
                <w:color w:val="1C3A36"/>
                <w:sz w:val="18"/>
              </w:rPr>
              <w:t>under 58.10</w:t>
            </w:r>
          </w:p>
        </w:tc>
        <w:tc>
          <w:tcPr>
            <w:tcW w:type="dxa" w:w="4680"/>
          </w:tcPr>
          <w:p>
            <w:pPr>
              <w:spacing w:after="20"/>
              <w:jc w:val="right"/>
            </w:pPr>
            <w:r>
              <w:rPr>
                <w:color w:val="1C3A36"/>
                <w:sz w:val="18"/>
              </w:rPr>
              <w:t>The market has come to agree that 2025 was a peak and that new supply compresses margins from here</w:t>
            </w:r>
          </w:p>
        </w:tc>
      </w:tr>
      <w:tr>
        <w:tc>
          <w:tcPr>
            <w:tcW w:type="dxa" w:w="2952"/>
          </w:tcPr>
          <w:p>
            <w:pPr>
              <w:spacing w:after="20"/>
            </w:pPr>
            <w:r>
              <w:rPr>
                <w:color w:val="1C3A36"/>
                <w:sz w:val="18"/>
              </w:rPr>
              <w:t>Between the earnings and asset lenses</w:t>
            </w:r>
          </w:p>
        </w:tc>
        <w:tc>
          <w:tcPr>
            <w:tcW w:type="dxa" w:w="2088"/>
          </w:tcPr>
          <w:p>
            <w:pPr>
              <w:spacing w:after="20"/>
              <w:jc w:val="right"/>
            </w:pPr>
            <w:r>
              <w:rPr>
                <w:color w:val="1C3A36"/>
                <w:sz w:val="18"/>
              </w:rPr>
              <w:t>58.10 – 87.37</w:t>
            </w:r>
          </w:p>
        </w:tc>
        <w:tc>
          <w:tcPr>
            <w:tcW w:type="dxa" w:w="4680"/>
          </w:tcPr>
          <w:p>
            <w:pPr>
              <w:spacing w:after="20"/>
              <w:jc w:val="right"/>
            </w:pPr>
            <w:r>
              <w:rPr>
                <w:color w:val="1C3A36"/>
                <w:sz w:val="18"/>
              </w:rPr>
              <w:t>Where the price sits today: the plant is valued above its cash flows but below its build cost</w:t>
            </w:r>
          </w:p>
        </w:tc>
      </w:tr>
      <w:tr>
        <w:tc>
          <w:tcPr>
            <w:tcW w:type="dxa" w:w="2952"/>
          </w:tcPr>
          <w:p>
            <w:pPr>
              <w:spacing w:after="20"/>
            </w:pPr>
            <w:r>
              <w:rPr>
                <w:color w:val="1C3A36"/>
                <w:sz w:val="18"/>
              </w:rPr>
              <w:t>Above the asset lens</w:t>
            </w:r>
          </w:p>
        </w:tc>
        <w:tc>
          <w:tcPr>
            <w:tcW w:type="dxa" w:w="2088"/>
          </w:tcPr>
          <w:p>
            <w:pPr>
              <w:spacing w:after="20"/>
              <w:jc w:val="right"/>
            </w:pPr>
            <w:r>
              <w:rPr>
                <w:color w:val="1C3A36"/>
                <w:sz w:val="18"/>
              </w:rPr>
              <w:t>over 87.37</w:t>
            </w:r>
          </w:p>
        </w:tc>
        <w:tc>
          <w:tcPr>
            <w:tcW w:type="dxa" w:w="4680"/>
          </w:tcPr>
          <w:p>
            <w:pPr>
              <w:spacing w:after="20"/>
              <w:jc w:val="right"/>
            </w:pPr>
            <w:r>
              <w:rPr>
                <w:color w:val="1C3A36"/>
                <w:sz w:val="18"/>
              </w:rPr>
              <w:t>The market is paying replacement cost or more for capacity in a market that has a structural surplus of it</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could not be obtained. </w:t>
      </w:r>
      <w:r>
        <w:rPr>
          <w:color w:val="1C3A36"/>
          <w:sz w:val="21"/>
        </w:rPr>
        <w:t>Revenue and profit after tax are carried as disclosed through reporting of the company's exchange filings. Every line between them — EBITDA, depreciation, operating profit and treasury income — is DERIVED by closing the disclosed profit, and is labelled as derived in the financial statements appendix. The margin structure rests on a single disclosed EBITDA figure for FY2024.</w:t>
      </w:r>
    </w:p>
    <w:p>
      <w:pPr>
        <w:pStyle w:val="ListBullet"/>
        <w:spacing w:after="60"/>
      </w:pPr>
      <w:r>
        <w:rPr>
          <w:b/>
          <w:color w:val="1C3A36"/>
          <w:sz w:val="21"/>
        </w:rPr>
        <w:t xml:space="preserve">The balance sheet still does not fully reconcile. </w:t>
      </w:r>
      <w:r>
        <w:rPr>
          <w:color w:val="1C3A36"/>
          <w:sz w:val="21"/>
        </w:rPr>
        <w:t>Rolling FY2024 equity of EGP 4,775 million forward by FY2025 profit with no distribution gives EGP 7,065 million, against a reported figure of about EGP 5,240 million. The EGP 1,825 million difference implies a FY2025 distribution that no obtainable source reports. It is carried as a disclosed uncertainty rather than plugged, and it bears directly on the cash balance the valuation adds back.</w:t>
      </w:r>
    </w:p>
    <w:p>
      <w:pPr>
        <w:pStyle w:val="ListBullet"/>
        <w:spacing w:after="60"/>
      </w:pPr>
      <w:r>
        <w:rPr>
          <w:b/>
          <w:color w:val="1C3A36"/>
          <w:sz w:val="21"/>
        </w:rPr>
        <w:t xml:space="preserve">The cash balance is now reported, and sensitised. </w:t>
      </w:r>
      <w:r>
        <w:rPr>
          <w:color w:val="1C3A36"/>
          <w:sz w:val="21"/>
        </w:rPr>
        <w:t>An earlier draft inferred it from the treasury income the profit bridge implied, divided by a deposit yield, and then grew it by an undisclosed multiplier. It is now the reported FY2025 balance of EGP 3,850 million, rolled forward to the valuation date on the elapsed share of FY2026 free cash flow. It is 43% of fair equity value, so it carries its own sensitivity grid in section 1.9 rather than being asserted.</w:t>
      </w:r>
    </w:p>
    <w:p>
      <w:pPr>
        <w:pStyle w:val="ListBullet"/>
        <w:spacing w:after="60"/>
      </w:pPr>
      <w:r>
        <w:rPr>
          <w:b/>
          <w:color w:val="1C3A36"/>
          <w:sz w:val="21"/>
        </w:rPr>
        <w:t xml:space="preserve">The EBITDA margin is an output, and that changed the answer. </w:t>
      </w:r>
      <w:r>
        <w:rPr>
          <w:color w:val="1C3A36"/>
          <w:sz w:val="21"/>
        </w:rPr>
        <w:t>An earlier draft set the FY2026 EBITDA margin at 30.5% — above the FY2025 outturn it simultaneously described as a cyclical peak. Rebuilding the operating line from the cost stack puts FY2026 at 30.1% falling to 26.4%, and moved the weighted central materially lower.</w:t>
      </w:r>
    </w:p>
    <w:p>
      <w:pPr>
        <w:pStyle w:val="ListBullet"/>
        <w:spacing w:after="60"/>
      </w:pPr>
      <w:r>
        <w:rPr>
          <w:b/>
          <w:color w:val="1C3A36"/>
          <w:sz w:val="21"/>
        </w:rPr>
        <w:t xml:space="preserve">The fixed cost block is calibrated, not observed. </w:t>
      </w:r>
      <w:r>
        <w:rPr>
          <w:color w:val="1C3A36"/>
          <w:sz w:val="21"/>
        </w:rPr>
        <w:t>Variable costs are built from independent physical norms, but the fixed block — labour, maintenance, insurance, security and administration — is set at USD 14.6 per tonne of installed capacity, the level the FY2025 reconciliation implies against that variable stack. It sits inside the USD 10-20 industry band, but it is the one cost line the build does not independently evidence.</w:t>
      </w:r>
    </w:p>
    <w:p>
      <w:pPr>
        <w:pStyle w:val="ListBullet"/>
        <w:spacing w:after="60"/>
      </w:pPr>
      <w:r>
        <w:rPr>
          <w:b/>
          <w:color w:val="1C3A36"/>
          <w:sz w:val="21"/>
        </w:rPr>
        <w:t xml:space="preserve">Capital expenditure is a top-down assumption. </w:t>
      </w:r>
      <w:r>
        <w:rPr>
          <w:color w:val="1C3A36"/>
          <w:sz w:val="21"/>
        </w:rPr>
        <w:t>The company publishes no capital-expenditure figure, guidance or investment plan that could be retrieved. Capex is set at 4.5% to 5.0% of revenue as maintenance for a mature two-line plant plus decarbonisation spending, and is sensitised.</w:t>
      </w:r>
    </w:p>
    <w:p>
      <w:pPr>
        <w:pStyle w:val="ListBullet"/>
        <w:spacing w:after="60"/>
      </w:pPr>
      <w:r>
        <w:rPr>
          <w:b/>
          <w:color w:val="1C3A36"/>
          <w:sz w:val="21"/>
        </w:rPr>
        <w:t xml:space="preserve">The FY2024 disposal gain is estimated, not disclosed. </w:t>
      </w:r>
      <w:r>
        <w:rPr>
          <w:color w:val="1C3A36"/>
          <w:sz w:val="21"/>
        </w:rPr>
        <w:t>The EUR 30 million consideration and the completion date are reported, but the carrying value of the stake is not. It is estimated at EGP 100 million on the reasoning that a 1990s-vintage holding carried at historic cost in pre-devaluation pounds is small. A different carrying value shifts the split between the FY2024 disposal gain and FY2024 treasury income, but not the FY2025 or forecast figures.</w:t>
      </w:r>
    </w:p>
    <w:p>
      <w:pPr>
        <w:pStyle w:val="ListBullet"/>
        <w:spacing w:after="60"/>
      </w:pPr>
      <w:r>
        <w:rPr>
          <w:b/>
          <w:color w:val="1C3A36"/>
          <w:sz w:val="21"/>
        </w:rPr>
        <w:t xml:space="preserve">The price distribution is not calibrated for this security. </w:t>
      </w:r>
      <w:r>
        <w:rPr>
          <w:color w:val="1C3A36"/>
          <w:sz w:val="21"/>
        </w:rPr>
        <w:t>Measured over five years it scores worse than a random walk and is materially too wide. It is published with that stated, and it carries no weight in the fundamental valuation.</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confirmation that the cash balance is smaller than the profit bridge implies.</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4,280</w:t>
            </w:r>
          </w:p>
        </w:tc>
        <w:tc>
          <w:tcPr>
            <w:tcW w:type="dxa" w:w="864"/>
          </w:tcPr>
          <w:p>
            <w:pPr>
              <w:spacing w:after="20"/>
              <w:jc w:val="right"/>
            </w:pPr>
            <w:r>
              <w:rPr>
                <w:color w:val="1C3A36"/>
                <w:sz w:val="16"/>
              </w:rPr>
              <w:t>6,420</w:t>
            </w:r>
          </w:p>
        </w:tc>
        <w:tc>
          <w:tcPr>
            <w:tcW w:type="dxa" w:w="864"/>
          </w:tcPr>
          <w:p>
            <w:pPr>
              <w:spacing w:after="20"/>
              <w:jc w:val="right"/>
            </w:pPr>
            <w:r>
              <w:rPr>
                <w:color w:val="1C3A36"/>
                <w:sz w:val="16"/>
              </w:rPr>
              <w:t>9,090</w:t>
            </w:r>
          </w:p>
        </w:tc>
        <w:tc>
          <w:tcPr>
            <w:tcW w:type="dxa" w:w="864"/>
          </w:tcPr>
          <w:p>
            <w:pPr>
              <w:spacing w:after="20"/>
              <w:jc w:val="right"/>
            </w:pPr>
            <w:r>
              <w:rPr>
                <w:color w:val="1C3A36"/>
                <w:sz w:val="16"/>
              </w:rPr>
              <w:t>9,676</w:t>
            </w:r>
          </w:p>
        </w:tc>
        <w:tc>
          <w:tcPr>
            <w:tcW w:type="dxa" w:w="864"/>
          </w:tcPr>
          <w:p>
            <w:pPr>
              <w:spacing w:after="20"/>
              <w:jc w:val="right"/>
            </w:pPr>
            <w:r>
              <w:rPr>
                <w:color w:val="1C3A36"/>
                <w:sz w:val="16"/>
              </w:rPr>
              <w:t>10,309</w:t>
            </w:r>
          </w:p>
        </w:tc>
        <w:tc>
          <w:tcPr>
            <w:tcW w:type="dxa" w:w="864"/>
          </w:tcPr>
          <w:p>
            <w:pPr>
              <w:spacing w:after="20"/>
              <w:jc w:val="right"/>
            </w:pPr>
            <w:r>
              <w:rPr>
                <w:color w:val="1C3A36"/>
                <w:sz w:val="16"/>
              </w:rPr>
              <w:t>11,026</w:t>
            </w:r>
          </w:p>
        </w:tc>
        <w:tc>
          <w:tcPr>
            <w:tcW w:type="dxa" w:w="864"/>
          </w:tcPr>
          <w:p>
            <w:pPr>
              <w:spacing w:after="20"/>
              <w:jc w:val="right"/>
            </w:pPr>
            <w:r>
              <w:rPr>
                <w:color w:val="1C3A36"/>
                <w:sz w:val="16"/>
              </w:rPr>
              <w:t>11,842</w:t>
            </w:r>
          </w:p>
        </w:tc>
        <w:tc>
          <w:tcPr>
            <w:tcW w:type="dxa" w:w="864"/>
          </w:tcPr>
          <w:p>
            <w:pPr>
              <w:spacing w:after="20"/>
              <w:jc w:val="right"/>
            </w:pPr>
            <w:r>
              <w:rPr>
                <w:color w:val="1C3A36"/>
                <w:sz w:val="16"/>
              </w:rPr>
              <w:t>12,669</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83</w:t>
            </w:r>
          </w:p>
        </w:tc>
        <w:tc>
          <w:tcPr>
            <w:tcW w:type="dxa" w:w="864"/>
          </w:tcPr>
          <w:p>
            <w:pPr>
              <w:spacing w:after="20"/>
              <w:jc w:val="right"/>
            </w:pPr>
            <w:r>
              <w:rPr>
                <w:color w:val="1C3A36"/>
                <w:sz w:val="16"/>
              </w:rPr>
              <w:t>1,590</w:t>
            </w:r>
          </w:p>
        </w:tc>
        <w:tc>
          <w:tcPr>
            <w:tcW w:type="dxa" w:w="864"/>
          </w:tcPr>
          <w:p>
            <w:pPr>
              <w:spacing w:after="20"/>
              <w:jc w:val="right"/>
            </w:pPr>
            <w:r>
              <w:rPr>
                <w:color w:val="1C3A36"/>
                <w:sz w:val="16"/>
              </w:rPr>
              <w:t>3,058</w:t>
            </w:r>
          </w:p>
        </w:tc>
        <w:tc>
          <w:tcPr>
            <w:tcW w:type="dxa" w:w="864"/>
          </w:tcPr>
          <w:p>
            <w:pPr>
              <w:spacing w:after="20"/>
              <w:jc w:val="right"/>
            </w:pPr>
            <w:r>
              <w:rPr>
                <w:color w:val="1C3A36"/>
                <w:sz w:val="16"/>
              </w:rPr>
              <w:t>2,916</w:t>
            </w:r>
          </w:p>
        </w:tc>
        <w:tc>
          <w:tcPr>
            <w:tcW w:type="dxa" w:w="864"/>
          </w:tcPr>
          <w:p>
            <w:pPr>
              <w:spacing w:after="20"/>
              <w:jc w:val="right"/>
            </w:pPr>
            <w:r>
              <w:rPr>
                <w:color w:val="1C3A36"/>
                <w:sz w:val="16"/>
              </w:rPr>
              <w:t>2,792</w:t>
            </w:r>
          </w:p>
        </w:tc>
        <w:tc>
          <w:tcPr>
            <w:tcW w:type="dxa" w:w="864"/>
          </w:tcPr>
          <w:p>
            <w:pPr>
              <w:spacing w:after="20"/>
              <w:jc w:val="right"/>
            </w:pPr>
            <w:r>
              <w:rPr>
                <w:color w:val="1C3A36"/>
                <w:sz w:val="16"/>
              </w:rPr>
              <w:t>2,865</w:t>
            </w:r>
          </w:p>
        </w:tc>
        <w:tc>
          <w:tcPr>
            <w:tcW w:type="dxa" w:w="864"/>
          </w:tcPr>
          <w:p>
            <w:pPr>
              <w:spacing w:after="20"/>
              <w:jc w:val="right"/>
            </w:pPr>
            <w:r>
              <w:rPr>
                <w:color w:val="1C3A36"/>
                <w:sz w:val="16"/>
              </w:rPr>
              <w:t>3,094</w:t>
            </w:r>
          </w:p>
        </w:tc>
        <w:tc>
          <w:tcPr>
            <w:tcW w:type="dxa" w:w="864"/>
          </w:tcPr>
          <w:p>
            <w:pPr>
              <w:spacing w:after="20"/>
              <w:jc w:val="right"/>
            </w:pPr>
            <w:r>
              <w:rPr>
                <w:color w:val="1C3A36"/>
                <w:sz w:val="16"/>
              </w:rPr>
              <w:t>3,348</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1.9%</w:t>
            </w:r>
          </w:p>
        </w:tc>
        <w:tc>
          <w:tcPr>
            <w:tcW w:type="dxa" w:w="864"/>
          </w:tcPr>
          <w:p>
            <w:pPr>
              <w:spacing w:after="20"/>
              <w:jc w:val="right"/>
            </w:pPr>
            <w:r>
              <w:rPr>
                <w:color w:val="1C3A36"/>
                <w:sz w:val="16"/>
              </w:rPr>
              <w:t>24.8%</w:t>
            </w:r>
          </w:p>
        </w:tc>
        <w:tc>
          <w:tcPr>
            <w:tcW w:type="dxa" w:w="864"/>
          </w:tcPr>
          <w:p>
            <w:pPr>
              <w:spacing w:after="20"/>
              <w:jc w:val="right"/>
            </w:pPr>
            <w:r>
              <w:rPr>
                <w:color w:val="1C3A36"/>
                <w:sz w:val="16"/>
              </w:rPr>
              <w:t>33.6%</w:t>
            </w:r>
          </w:p>
        </w:tc>
        <w:tc>
          <w:tcPr>
            <w:tcW w:type="dxa" w:w="864"/>
          </w:tcPr>
          <w:p>
            <w:pPr>
              <w:spacing w:after="20"/>
              <w:jc w:val="right"/>
            </w:pPr>
            <w:r>
              <w:rPr>
                <w:color w:val="1C3A36"/>
                <w:sz w:val="16"/>
              </w:rPr>
              <w:t>30.1%</w:t>
            </w:r>
          </w:p>
        </w:tc>
        <w:tc>
          <w:tcPr>
            <w:tcW w:type="dxa" w:w="864"/>
          </w:tcPr>
          <w:p>
            <w:pPr>
              <w:spacing w:after="20"/>
              <w:jc w:val="right"/>
            </w:pPr>
            <w:r>
              <w:rPr>
                <w:color w:val="1C3A36"/>
                <w:sz w:val="16"/>
              </w:rPr>
              <w:t>27.1%</w:t>
            </w:r>
          </w:p>
        </w:tc>
        <w:tc>
          <w:tcPr>
            <w:tcW w:type="dxa" w:w="864"/>
          </w:tcPr>
          <w:p>
            <w:pPr>
              <w:spacing w:after="20"/>
              <w:jc w:val="right"/>
            </w:pPr>
            <w:r>
              <w:rPr>
                <w:color w:val="1C3A36"/>
                <w:sz w:val="16"/>
              </w:rPr>
              <w:t>26.0%</w:t>
            </w:r>
          </w:p>
        </w:tc>
        <w:tc>
          <w:tcPr>
            <w:tcW w:type="dxa" w:w="864"/>
          </w:tcPr>
          <w:p>
            <w:pPr>
              <w:spacing w:after="20"/>
              <w:jc w:val="right"/>
            </w:pPr>
            <w:r>
              <w:rPr>
                <w:color w:val="1C3A36"/>
                <w:sz w:val="16"/>
              </w:rPr>
              <w:t>26.1%</w:t>
            </w:r>
          </w:p>
        </w:tc>
        <w:tc>
          <w:tcPr>
            <w:tcW w:type="dxa" w:w="864"/>
          </w:tcPr>
          <w:p>
            <w:pPr>
              <w:spacing w:after="20"/>
              <w:jc w:val="right"/>
            </w:pPr>
            <w:r>
              <w:rPr>
                <w:color w:val="1C3A36"/>
                <w:sz w:val="16"/>
              </w:rPr>
              <w:t>26.4%</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402</w:t>
            </w:r>
          </w:p>
        </w:tc>
        <w:tc>
          <w:tcPr>
            <w:tcW w:type="dxa" w:w="864"/>
          </w:tcPr>
          <w:p>
            <w:pPr>
              <w:spacing w:after="20"/>
              <w:jc w:val="right"/>
            </w:pPr>
            <w:r>
              <w:rPr>
                <w:color w:val="1C3A36"/>
                <w:sz w:val="16"/>
              </w:rPr>
              <w:t>398</w:t>
            </w:r>
          </w:p>
        </w:tc>
        <w:tc>
          <w:tcPr>
            <w:tcW w:type="dxa" w:w="864"/>
          </w:tcPr>
          <w:p>
            <w:pPr>
              <w:spacing w:after="20"/>
              <w:jc w:val="right"/>
            </w:pPr>
            <w:r>
              <w:rPr>
                <w:color w:val="1C3A36"/>
                <w:sz w:val="16"/>
              </w:rPr>
              <w:t>418</w:t>
            </w:r>
          </w:p>
        </w:tc>
        <w:tc>
          <w:tcPr>
            <w:tcW w:type="dxa" w:w="864"/>
          </w:tcPr>
          <w:p>
            <w:pPr>
              <w:spacing w:after="20"/>
              <w:jc w:val="right"/>
            </w:pPr>
            <w:r>
              <w:rPr>
                <w:color w:val="1C3A36"/>
                <w:sz w:val="16"/>
              </w:rPr>
              <w:t>445</w:t>
            </w:r>
          </w:p>
        </w:tc>
        <w:tc>
          <w:tcPr>
            <w:tcW w:type="dxa" w:w="864"/>
          </w:tcPr>
          <w:p>
            <w:pPr>
              <w:spacing w:after="20"/>
              <w:jc w:val="right"/>
            </w:pPr>
            <w:r>
              <w:rPr>
                <w:color w:val="1C3A36"/>
                <w:sz w:val="16"/>
              </w:rPr>
              <w:t>464</w:t>
            </w:r>
          </w:p>
        </w:tc>
        <w:tc>
          <w:tcPr>
            <w:tcW w:type="dxa" w:w="864"/>
          </w:tcPr>
          <w:p>
            <w:pPr>
              <w:spacing w:after="20"/>
              <w:jc w:val="right"/>
            </w:pPr>
            <w:r>
              <w:rPr>
                <w:color w:val="1C3A36"/>
                <w:sz w:val="16"/>
              </w:rPr>
              <w:t>485</w:t>
            </w:r>
          </w:p>
        </w:tc>
        <w:tc>
          <w:tcPr>
            <w:tcW w:type="dxa" w:w="864"/>
          </w:tcPr>
          <w:p>
            <w:pPr>
              <w:spacing w:after="20"/>
              <w:jc w:val="right"/>
            </w:pPr>
            <w:r>
              <w:rPr>
                <w:color w:val="1C3A36"/>
                <w:sz w:val="16"/>
              </w:rPr>
              <w:t>509</w:t>
            </w:r>
          </w:p>
        </w:tc>
        <w:tc>
          <w:tcPr>
            <w:tcW w:type="dxa" w:w="864"/>
          </w:tcPr>
          <w:p>
            <w:pPr>
              <w:spacing w:after="20"/>
              <w:jc w:val="right"/>
            </w:pPr>
            <w:r>
              <w:rPr>
                <w:color w:val="1C3A36"/>
                <w:sz w:val="16"/>
              </w:rPr>
              <w:t>532</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-319</w:t>
            </w:r>
          </w:p>
        </w:tc>
        <w:tc>
          <w:tcPr>
            <w:tcW w:type="dxa" w:w="864"/>
          </w:tcPr>
          <w:p>
            <w:pPr>
              <w:spacing w:after="20"/>
              <w:jc w:val="right"/>
            </w:pPr>
            <w:r>
              <w:rPr>
                <w:color w:val="1C3A36"/>
                <w:sz w:val="16"/>
              </w:rPr>
              <w:t>1,192</w:t>
            </w:r>
          </w:p>
        </w:tc>
        <w:tc>
          <w:tcPr>
            <w:tcW w:type="dxa" w:w="864"/>
          </w:tcPr>
          <w:p>
            <w:pPr>
              <w:spacing w:after="20"/>
              <w:jc w:val="right"/>
            </w:pPr>
            <w:r>
              <w:rPr>
                <w:color w:val="1C3A36"/>
                <w:sz w:val="16"/>
              </w:rPr>
              <w:t>2,640</w:t>
            </w:r>
          </w:p>
        </w:tc>
        <w:tc>
          <w:tcPr>
            <w:tcW w:type="dxa" w:w="864"/>
          </w:tcPr>
          <w:p>
            <w:pPr>
              <w:spacing w:after="20"/>
              <w:jc w:val="right"/>
            </w:pPr>
            <w:r>
              <w:rPr>
                <w:color w:val="1C3A36"/>
                <w:sz w:val="16"/>
              </w:rPr>
              <w:t>2,471</w:t>
            </w:r>
          </w:p>
        </w:tc>
        <w:tc>
          <w:tcPr>
            <w:tcW w:type="dxa" w:w="864"/>
          </w:tcPr>
          <w:p>
            <w:pPr>
              <w:spacing w:after="20"/>
              <w:jc w:val="right"/>
            </w:pPr>
            <w:r>
              <w:rPr>
                <w:color w:val="1C3A36"/>
                <w:sz w:val="16"/>
              </w:rPr>
              <w:t>2,328</w:t>
            </w:r>
          </w:p>
        </w:tc>
        <w:tc>
          <w:tcPr>
            <w:tcW w:type="dxa" w:w="864"/>
          </w:tcPr>
          <w:p>
            <w:pPr>
              <w:spacing w:after="20"/>
              <w:jc w:val="right"/>
            </w:pPr>
            <w:r>
              <w:rPr>
                <w:color w:val="1C3A36"/>
                <w:sz w:val="16"/>
              </w:rPr>
              <w:t>2,380</w:t>
            </w:r>
          </w:p>
        </w:tc>
        <w:tc>
          <w:tcPr>
            <w:tcW w:type="dxa" w:w="864"/>
          </w:tcPr>
          <w:p>
            <w:pPr>
              <w:spacing w:after="20"/>
              <w:jc w:val="right"/>
            </w:pPr>
            <w:r>
              <w:rPr>
                <w:color w:val="1C3A36"/>
                <w:sz w:val="16"/>
              </w:rPr>
              <w:t>2,585</w:t>
            </w:r>
          </w:p>
        </w:tc>
        <w:tc>
          <w:tcPr>
            <w:tcW w:type="dxa" w:w="864"/>
          </w:tcPr>
          <w:p>
            <w:pPr>
              <w:spacing w:after="20"/>
              <w:jc w:val="right"/>
            </w:pPr>
            <w:r>
              <w:rPr>
                <w:color w:val="1C3A36"/>
                <w:sz w:val="16"/>
              </w:rPr>
              <w:t>2,816</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198</w:t>
            </w:r>
          </w:p>
        </w:tc>
        <w:tc>
          <w:tcPr>
            <w:tcW w:type="dxa" w:w="864"/>
          </w:tcPr>
          <w:p>
            <w:pPr>
              <w:spacing w:after="20"/>
              <w:jc w:val="right"/>
            </w:pPr>
            <w:r>
              <w:rPr>
                <w:color w:val="1C3A36"/>
                <w:sz w:val="16"/>
              </w:rPr>
              <w:t>582</w:t>
            </w:r>
          </w:p>
        </w:tc>
        <w:tc>
          <w:tcPr>
            <w:tcW w:type="dxa" w:w="864"/>
          </w:tcPr>
          <w:p>
            <w:pPr>
              <w:spacing w:after="20"/>
              <w:jc w:val="right"/>
            </w:pPr>
            <w:r>
              <w:rPr>
                <w:color w:val="1C3A36"/>
                <w:sz w:val="16"/>
              </w:rPr>
              <w:t>728</w:t>
            </w:r>
          </w:p>
        </w:tc>
        <w:tc>
          <w:tcPr>
            <w:tcW w:type="dxa" w:w="864"/>
          </w:tcPr>
          <w:p>
            <w:pPr>
              <w:spacing w:after="20"/>
              <w:jc w:val="right"/>
            </w:pPr>
            <w:r>
              <w:rPr>
                <w:color w:val="1C3A36"/>
                <w:sz w:val="16"/>
              </w:rPr>
              <w:t>732</w:t>
            </w:r>
          </w:p>
        </w:tc>
        <w:tc>
          <w:tcPr>
            <w:tcW w:type="dxa" w:w="864"/>
          </w:tcPr>
          <w:p>
            <w:pPr>
              <w:spacing w:after="20"/>
              <w:jc w:val="right"/>
            </w:pPr>
            <w:r>
              <w:rPr>
                <w:color w:val="1C3A36"/>
                <w:sz w:val="16"/>
              </w:rPr>
              <w:t>809</w:t>
            </w:r>
          </w:p>
        </w:tc>
        <w:tc>
          <w:tcPr>
            <w:tcW w:type="dxa" w:w="864"/>
          </w:tcPr>
          <w:p>
            <w:pPr>
              <w:spacing w:after="20"/>
              <w:jc w:val="right"/>
            </w:pPr>
            <w:r>
              <w:rPr>
                <w:color w:val="1C3A36"/>
                <w:sz w:val="16"/>
              </w:rPr>
              <w:t>847</w:t>
            </w:r>
          </w:p>
        </w:tc>
        <w:tc>
          <w:tcPr>
            <w:tcW w:type="dxa" w:w="864"/>
          </w:tcPr>
          <w:p>
            <w:pPr>
              <w:spacing w:after="20"/>
              <w:jc w:val="right"/>
            </w:pPr>
            <w:r>
              <w:rPr>
                <w:color w:val="1C3A36"/>
                <w:sz w:val="16"/>
              </w:rPr>
              <w:t>885</w:t>
            </w:r>
          </w:p>
        </w:tc>
        <w:tc>
          <w:tcPr>
            <w:tcW w:type="dxa" w:w="864"/>
          </w:tcPr>
          <w:p>
            <w:pPr>
              <w:spacing w:after="20"/>
              <w:jc w:val="right"/>
            </w:pPr>
            <w:r>
              <w:rPr>
                <w:color w:val="1C3A36"/>
                <w:sz w:val="16"/>
              </w:rPr>
              <w:t>942</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1,502</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-121</w:t>
            </w:r>
          </w:p>
        </w:tc>
        <w:tc>
          <w:tcPr>
            <w:tcW w:type="dxa" w:w="864"/>
          </w:tcPr>
          <w:p>
            <w:pPr>
              <w:spacing w:after="20"/>
              <w:jc w:val="right"/>
            </w:pPr>
            <w:r>
              <w:rPr>
                <w:color w:val="1C3A36"/>
                <w:sz w:val="16"/>
              </w:rPr>
              <w:t>3,070</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2,482</w:t>
            </w:r>
          </w:p>
        </w:tc>
        <w:tc>
          <w:tcPr>
            <w:tcW w:type="dxa" w:w="864"/>
          </w:tcPr>
          <w:p>
            <w:pPr>
              <w:spacing w:after="20"/>
              <w:jc w:val="right"/>
            </w:pPr>
            <w:r>
              <w:rPr>
                <w:color w:val="1C3A36"/>
                <w:sz w:val="16"/>
              </w:rPr>
              <w:t>2,431</w:t>
            </w:r>
          </w:p>
        </w:tc>
        <w:tc>
          <w:tcPr>
            <w:tcW w:type="dxa" w:w="864"/>
          </w:tcPr>
          <w:p>
            <w:pPr>
              <w:spacing w:after="20"/>
              <w:jc w:val="right"/>
            </w:pPr>
            <w:r>
              <w:rPr>
                <w:color w:val="1C3A36"/>
                <w:sz w:val="16"/>
              </w:rPr>
              <w:t>2,501</w:t>
            </w:r>
          </w:p>
        </w:tc>
        <w:tc>
          <w:tcPr>
            <w:tcW w:type="dxa" w:w="864"/>
          </w:tcPr>
          <w:p>
            <w:pPr>
              <w:spacing w:after="20"/>
              <w:jc w:val="right"/>
            </w:pPr>
            <w:r>
              <w:rPr>
                <w:color w:val="1C3A36"/>
                <w:sz w:val="16"/>
              </w:rPr>
              <w:t>2,689</w:t>
            </w:r>
          </w:p>
        </w:tc>
        <w:tc>
          <w:tcPr>
            <w:tcW w:type="dxa" w:w="864"/>
          </w:tcPr>
          <w:p>
            <w:pPr>
              <w:spacing w:after="20"/>
              <w:jc w:val="right"/>
            </w:pPr>
            <w:r>
              <w:rPr>
                <w:color w:val="1C3A36"/>
                <w:sz w:val="16"/>
              </w:rPr>
              <w:t>2,912</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-0.47</w:t>
            </w:r>
          </w:p>
        </w:tc>
        <w:tc>
          <w:tcPr>
            <w:tcW w:type="dxa" w:w="864"/>
          </w:tcPr>
          <w:p>
            <w:pPr>
              <w:spacing w:after="20"/>
              <w:jc w:val="right"/>
            </w:pPr>
            <w:r>
              <w:rPr>
                <w:color w:val="1C3A36"/>
                <w:sz w:val="16"/>
              </w:rPr>
              <w:t>11.77</w:t>
            </w:r>
          </w:p>
        </w:tc>
        <w:tc>
          <w:tcPr>
            <w:tcW w:type="dxa" w:w="864"/>
          </w:tcPr>
          <w:p>
            <w:pPr>
              <w:spacing w:after="20"/>
              <w:jc w:val="right"/>
            </w:pPr>
            <w:r>
              <w:rPr>
                <w:color w:val="1C3A36"/>
                <w:sz w:val="16"/>
              </w:rPr>
              <w:t>8.78</w:t>
            </w:r>
          </w:p>
        </w:tc>
        <w:tc>
          <w:tcPr>
            <w:tcW w:type="dxa" w:w="864"/>
          </w:tcPr>
          <w:p>
            <w:pPr>
              <w:spacing w:after="20"/>
              <w:jc w:val="right"/>
            </w:pPr>
            <w:r>
              <w:rPr>
                <w:color w:val="1C3A36"/>
                <w:sz w:val="16"/>
              </w:rPr>
              <w:t>9.52</w:t>
            </w:r>
          </w:p>
        </w:tc>
        <w:tc>
          <w:tcPr>
            <w:tcW w:type="dxa" w:w="864"/>
          </w:tcPr>
          <w:p>
            <w:pPr>
              <w:spacing w:after="20"/>
              <w:jc w:val="right"/>
            </w:pPr>
            <w:r>
              <w:rPr>
                <w:color w:val="1C3A36"/>
                <w:sz w:val="16"/>
              </w:rPr>
              <w:t>9.32</w:t>
            </w:r>
          </w:p>
        </w:tc>
        <w:tc>
          <w:tcPr>
            <w:tcW w:type="dxa" w:w="864"/>
          </w:tcPr>
          <w:p>
            <w:pPr>
              <w:spacing w:after="20"/>
              <w:jc w:val="right"/>
            </w:pPr>
            <w:r>
              <w:rPr>
                <w:color w:val="1C3A36"/>
                <w:sz w:val="16"/>
              </w:rPr>
              <w:t>9.59</w:t>
            </w:r>
          </w:p>
        </w:tc>
        <w:tc>
          <w:tcPr>
            <w:tcW w:type="dxa" w:w="864"/>
          </w:tcPr>
          <w:p>
            <w:pPr>
              <w:spacing w:after="20"/>
              <w:jc w:val="right"/>
            </w:pPr>
            <w:r>
              <w:rPr>
                <w:color w:val="1C3A36"/>
                <w:sz w:val="16"/>
              </w:rPr>
              <w:t>10.31</w:t>
            </w:r>
          </w:p>
        </w:tc>
        <w:tc>
          <w:tcPr>
            <w:tcW w:type="dxa" w:w="864"/>
          </w:tcPr>
          <w:p>
            <w:pPr>
              <w:spacing w:after="20"/>
              <w:jc w:val="right"/>
            </w:pPr>
            <w:r>
              <w:rPr>
                <w:color w:val="1C3A36"/>
                <w:sz w:val="16"/>
              </w:rPr>
              <w:t>11.16</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1,738</w:t>
            </w:r>
          </w:p>
        </w:tc>
        <w:tc>
          <w:tcPr>
            <w:tcW w:type="dxa" w:w="864"/>
          </w:tcPr>
          <w:p>
            <w:pPr>
              <w:spacing w:after="20"/>
              <w:jc w:val="right"/>
            </w:pPr>
            <w:r>
              <w:rPr>
                <w:color w:val="1C3A36"/>
                <w:sz w:val="16"/>
              </w:rPr>
              <w:t>4,967</w:t>
            </w:r>
          </w:p>
        </w:tc>
        <w:tc>
          <w:tcPr>
            <w:tcW w:type="dxa" w:w="864"/>
          </w:tcPr>
          <w:p>
            <w:pPr>
              <w:spacing w:after="20"/>
              <w:jc w:val="right"/>
            </w:pPr>
            <w:r>
              <w:rPr>
                <w:color w:val="1C3A36"/>
                <w:sz w:val="16"/>
              </w:rPr>
              <w:t>4,967</w:t>
            </w:r>
          </w:p>
        </w:tc>
        <w:tc>
          <w:tcPr>
            <w:tcW w:type="dxa" w:w="864"/>
          </w:tcPr>
          <w:p>
            <w:pPr>
              <w:spacing w:after="20"/>
              <w:jc w:val="right"/>
            </w:pPr>
            <w:r>
              <w:rPr>
                <w:color w:val="1C3A36"/>
                <w:sz w:val="16"/>
              </w:rPr>
              <w:t>4,757</w:t>
            </w:r>
          </w:p>
        </w:tc>
        <w:tc>
          <w:tcPr>
            <w:tcW w:type="dxa" w:w="864"/>
          </w:tcPr>
          <w:p>
            <w:pPr>
              <w:spacing w:after="20"/>
              <w:jc w:val="right"/>
            </w:pPr>
            <w:r>
              <w:rPr>
                <w:color w:val="1C3A36"/>
                <w:sz w:val="16"/>
              </w:rPr>
              <w:t>5,648</w:t>
            </w:r>
          </w:p>
        </w:tc>
        <w:tc>
          <w:tcPr>
            <w:tcW w:type="dxa" w:w="864"/>
          </w:tcPr>
          <w:p>
            <w:pPr>
              <w:spacing w:after="20"/>
              <w:jc w:val="right"/>
            </w:pPr>
            <w:r>
              <w:rPr>
                <w:color w:val="1C3A36"/>
                <w:sz w:val="16"/>
              </w:rPr>
              <w:t>6,558</w:t>
            </w:r>
          </w:p>
        </w:tc>
        <w:tc>
          <w:tcPr>
            <w:tcW w:type="dxa" w:w="864"/>
          </w:tcPr>
          <w:p>
            <w:pPr>
              <w:spacing w:after="20"/>
              <w:jc w:val="right"/>
            </w:pPr>
            <w:r>
              <w:rPr>
                <w:color w:val="1C3A36"/>
                <w:sz w:val="16"/>
              </w:rPr>
              <w:t>7,533</w:t>
            </w:r>
          </w:p>
        </w:tc>
        <w:tc>
          <w:tcPr>
            <w:tcW w:type="dxa" w:w="864"/>
          </w:tcPr>
          <w:p>
            <w:pPr>
              <w:spacing w:after="20"/>
              <w:jc w:val="right"/>
            </w:pPr>
            <w:r>
              <w:rPr>
                <w:color w:val="1C3A36"/>
                <w:sz w:val="16"/>
              </w:rPr>
              <w:t>8,593</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r>
      <w:tr>
        <w:tc>
          <w:tcPr>
            <w:tcW w:type="dxa" w:w="2909"/>
          </w:tcPr>
          <w:p>
            <w:pPr>
              <w:spacing w:after="20"/>
            </w:pPr>
            <w:r>
              <w:rPr>
                <w:color w:val="1C3A36"/>
                <w:sz w:val="16"/>
              </w:rPr>
              <w:t>Net cash</w:t>
            </w:r>
          </w:p>
        </w:tc>
        <w:tc>
          <w:tcPr>
            <w:tcW w:type="dxa" w:w="864"/>
          </w:tcPr>
          <w:p>
            <w:pPr>
              <w:spacing w:after="20"/>
              <w:jc w:val="right"/>
            </w:pPr>
            <w:r>
              <w:rPr>
                <w:color w:val="1C3A36"/>
                <w:sz w:val="16"/>
              </w:rPr>
              <w:t>1,701</w:t>
            </w:r>
          </w:p>
        </w:tc>
        <w:tc>
          <w:tcPr>
            <w:tcW w:type="dxa" w:w="864"/>
          </w:tcPr>
          <w:p>
            <w:pPr>
              <w:spacing w:after="20"/>
              <w:jc w:val="right"/>
            </w:pPr>
            <w:r>
              <w:rPr>
                <w:color w:val="1C3A36"/>
                <w:sz w:val="16"/>
              </w:rPr>
              <w:t>4,930</w:t>
            </w:r>
          </w:p>
        </w:tc>
        <w:tc>
          <w:tcPr>
            <w:tcW w:type="dxa" w:w="864"/>
          </w:tcPr>
          <w:p>
            <w:pPr>
              <w:spacing w:after="20"/>
              <w:jc w:val="right"/>
            </w:pPr>
            <w:r>
              <w:rPr>
                <w:color w:val="1C3A36"/>
                <w:sz w:val="16"/>
              </w:rPr>
              <w:t>4,930</w:t>
            </w:r>
          </w:p>
        </w:tc>
        <w:tc>
          <w:tcPr>
            <w:tcW w:type="dxa" w:w="864"/>
          </w:tcPr>
          <w:p>
            <w:pPr>
              <w:spacing w:after="20"/>
              <w:jc w:val="right"/>
            </w:pPr>
            <w:r>
              <w:rPr>
                <w:color w:val="1C3A36"/>
                <w:sz w:val="16"/>
              </w:rPr>
              <w:t>4,720</w:t>
            </w:r>
          </w:p>
        </w:tc>
        <w:tc>
          <w:tcPr>
            <w:tcW w:type="dxa" w:w="864"/>
          </w:tcPr>
          <w:p>
            <w:pPr>
              <w:spacing w:after="20"/>
              <w:jc w:val="right"/>
            </w:pPr>
            <w:r>
              <w:rPr>
                <w:color w:val="1C3A36"/>
                <w:sz w:val="16"/>
              </w:rPr>
              <w:t>5,611</w:t>
            </w:r>
          </w:p>
        </w:tc>
        <w:tc>
          <w:tcPr>
            <w:tcW w:type="dxa" w:w="864"/>
          </w:tcPr>
          <w:p>
            <w:pPr>
              <w:spacing w:after="20"/>
              <w:jc w:val="right"/>
            </w:pPr>
            <w:r>
              <w:rPr>
                <w:color w:val="1C3A36"/>
                <w:sz w:val="16"/>
              </w:rPr>
              <w:t>6,521</w:t>
            </w:r>
          </w:p>
        </w:tc>
        <w:tc>
          <w:tcPr>
            <w:tcW w:type="dxa" w:w="864"/>
          </w:tcPr>
          <w:p>
            <w:pPr>
              <w:spacing w:after="20"/>
              <w:jc w:val="right"/>
            </w:pPr>
            <w:r>
              <w:rPr>
                <w:color w:val="1C3A36"/>
                <w:sz w:val="16"/>
              </w:rPr>
              <w:t>7,496</w:t>
            </w:r>
          </w:p>
        </w:tc>
        <w:tc>
          <w:tcPr>
            <w:tcW w:type="dxa" w:w="864"/>
          </w:tcPr>
          <w:p>
            <w:pPr>
              <w:spacing w:after="20"/>
              <w:jc w:val="right"/>
            </w:pPr>
            <w:r>
              <w:rPr>
                <w:color w:val="1C3A36"/>
                <w:sz w:val="16"/>
              </w:rPr>
              <w:t>8,557</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1,705</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5,240</w:t>
            </w:r>
          </w:p>
        </w:tc>
        <w:tc>
          <w:tcPr>
            <w:tcW w:type="dxa" w:w="864"/>
          </w:tcPr>
          <w:p>
            <w:pPr>
              <w:spacing w:after="20"/>
              <w:jc w:val="right"/>
            </w:pPr>
            <w:r>
              <w:rPr>
                <w:color w:val="1C3A36"/>
                <w:sz w:val="16"/>
              </w:rPr>
              <w:t>6,233</w:t>
            </w:r>
          </w:p>
        </w:tc>
        <w:tc>
          <w:tcPr>
            <w:tcW w:type="dxa" w:w="864"/>
          </w:tcPr>
          <w:p>
            <w:pPr>
              <w:spacing w:after="20"/>
              <w:jc w:val="right"/>
            </w:pPr>
            <w:r>
              <w:rPr>
                <w:color w:val="1C3A36"/>
                <w:sz w:val="16"/>
              </w:rPr>
              <w:t>7,205</w:t>
            </w:r>
          </w:p>
        </w:tc>
        <w:tc>
          <w:tcPr>
            <w:tcW w:type="dxa" w:w="864"/>
          </w:tcPr>
          <w:p>
            <w:pPr>
              <w:spacing w:after="20"/>
              <w:jc w:val="right"/>
            </w:pPr>
            <w:r>
              <w:rPr>
                <w:color w:val="1C3A36"/>
                <w:sz w:val="16"/>
              </w:rPr>
              <w:t>8,206</w:t>
            </w:r>
          </w:p>
        </w:tc>
        <w:tc>
          <w:tcPr>
            <w:tcW w:type="dxa" w:w="864"/>
          </w:tcPr>
          <w:p>
            <w:pPr>
              <w:spacing w:after="20"/>
              <w:jc w:val="right"/>
            </w:pPr>
            <w:r>
              <w:rPr>
                <w:color w:val="1C3A36"/>
                <w:sz w:val="16"/>
              </w:rPr>
              <w:t>9,281</w:t>
            </w:r>
          </w:p>
        </w:tc>
        <w:tc>
          <w:tcPr>
            <w:tcW w:type="dxa" w:w="864"/>
          </w:tcPr>
          <w:p>
            <w:pPr>
              <w:spacing w:after="20"/>
              <w:jc w:val="right"/>
            </w:pPr>
            <w:r>
              <w:rPr>
                <w:color w:val="1C3A36"/>
                <w:sz w:val="16"/>
              </w:rPr>
              <w:t>10,446</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6.54</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23.60</w:t>
            </w:r>
          </w:p>
        </w:tc>
        <w:tc>
          <w:tcPr>
            <w:tcW w:type="dxa" w:w="864"/>
          </w:tcPr>
          <w:p>
            <w:pPr>
              <w:spacing w:after="20"/>
              <w:jc w:val="right"/>
            </w:pPr>
            <w:r>
              <w:rPr>
                <w:color w:val="1C3A36"/>
                <w:sz w:val="16"/>
              </w:rPr>
              <w:t>23.90</w:t>
            </w:r>
          </w:p>
        </w:tc>
        <w:tc>
          <w:tcPr>
            <w:tcW w:type="dxa" w:w="864"/>
          </w:tcPr>
          <w:p>
            <w:pPr>
              <w:spacing w:after="20"/>
              <w:jc w:val="right"/>
            </w:pPr>
            <w:r>
              <w:rPr>
                <w:color w:val="1C3A36"/>
                <w:sz w:val="16"/>
              </w:rPr>
              <w:t>27.63</w:t>
            </w:r>
          </w:p>
        </w:tc>
        <w:tc>
          <w:tcPr>
            <w:tcW w:type="dxa" w:w="864"/>
          </w:tcPr>
          <w:p>
            <w:pPr>
              <w:spacing w:after="20"/>
              <w:jc w:val="right"/>
            </w:pPr>
            <w:r>
              <w:rPr>
                <w:color w:val="1C3A36"/>
                <w:sz w:val="16"/>
              </w:rPr>
              <w:t>31.46</w:t>
            </w:r>
          </w:p>
        </w:tc>
        <w:tc>
          <w:tcPr>
            <w:tcW w:type="dxa" w:w="864"/>
          </w:tcPr>
          <w:p>
            <w:pPr>
              <w:spacing w:after="20"/>
              <w:jc w:val="right"/>
            </w:pPr>
            <w:r>
              <w:rPr>
                <w:color w:val="1C3A36"/>
                <w:sz w:val="16"/>
              </w:rPr>
              <w:t>35.59</w:t>
            </w:r>
          </w:p>
        </w:tc>
        <w:tc>
          <w:tcPr>
            <w:tcW w:type="dxa" w:w="864"/>
          </w:tcPr>
          <w:p>
            <w:pPr>
              <w:spacing w:after="20"/>
              <w:jc w:val="right"/>
            </w:pPr>
            <w:r>
              <w:rPr>
                <w:color w:val="1C3A36"/>
                <w:sz w:val="16"/>
              </w:rPr>
              <w:t>40.05</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1,915</w:t>
            </w:r>
          </w:p>
        </w:tc>
        <w:tc>
          <w:tcPr>
            <w:tcW w:type="dxa" w:w="1238"/>
          </w:tcPr>
          <w:p>
            <w:pPr>
              <w:spacing w:after="20"/>
              <w:jc w:val="right"/>
            </w:pPr>
            <w:r>
              <w:rPr>
                <w:color w:val="1C3A36"/>
                <w:sz w:val="18"/>
              </w:rPr>
              <w:t>1,804</w:t>
            </w:r>
          </w:p>
        </w:tc>
        <w:tc>
          <w:tcPr>
            <w:tcW w:type="dxa" w:w="1238"/>
          </w:tcPr>
          <w:p>
            <w:pPr>
              <w:spacing w:after="20"/>
              <w:jc w:val="right"/>
            </w:pPr>
            <w:r>
              <w:rPr>
                <w:color w:val="1C3A36"/>
                <w:sz w:val="18"/>
              </w:rPr>
              <w:t>1,844</w:t>
            </w:r>
          </w:p>
        </w:tc>
        <w:tc>
          <w:tcPr>
            <w:tcW w:type="dxa" w:w="1238"/>
          </w:tcPr>
          <w:p>
            <w:pPr>
              <w:spacing w:after="20"/>
              <w:jc w:val="right"/>
            </w:pPr>
            <w:r>
              <w:rPr>
                <w:color w:val="1C3A36"/>
                <w:sz w:val="18"/>
              </w:rPr>
              <w:t>2,003</w:t>
            </w:r>
          </w:p>
        </w:tc>
        <w:tc>
          <w:tcPr>
            <w:tcW w:type="dxa" w:w="1238"/>
          </w:tcPr>
          <w:p>
            <w:pPr>
              <w:spacing w:after="20"/>
              <w:jc w:val="right"/>
            </w:pPr>
            <w:r>
              <w:rPr>
                <w:color w:val="1C3A36"/>
                <w:sz w:val="18"/>
              </w:rPr>
              <w:t>2,182</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445</w:t>
            </w:r>
          </w:p>
        </w:tc>
        <w:tc>
          <w:tcPr>
            <w:tcW w:type="dxa" w:w="1238"/>
          </w:tcPr>
          <w:p>
            <w:pPr>
              <w:spacing w:after="20"/>
              <w:jc w:val="right"/>
            </w:pPr>
            <w:r>
              <w:rPr>
                <w:color w:val="1C3A36"/>
                <w:sz w:val="18"/>
              </w:rPr>
              <w:t>464</w:t>
            </w:r>
          </w:p>
        </w:tc>
        <w:tc>
          <w:tcPr>
            <w:tcW w:type="dxa" w:w="1238"/>
          </w:tcPr>
          <w:p>
            <w:pPr>
              <w:spacing w:after="20"/>
              <w:jc w:val="right"/>
            </w:pPr>
            <w:r>
              <w:rPr>
                <w:color w:val="1C3A36"/>
                <w:sz w:val="18"/>
              </w:rPr>
              <w:t>485</w:t>
            </w:r>
          </w:p>
        </w:tc>
        <w:tc>
          <w:tcPr>
            <w:tcW w:type="dxa" w:w="1238"/>
          </w:tcPr>
          <w:p>
            <w:pPr>
              <w:spacing w:after="20"/>
              <w:jc w:val="right"/>
            </w:pPr>
            <w:r>
              <w:rPr>
                <w:color w:val="1C3A36"/>
                <w:sz w:val="18"/>
              </w:rPr>
              <w:t>509</w:t>
            </w:r>
          </w:p>
        </w:tc>
        <w:tc>
          <w:tcPr>
            <w:tcW w:type="dxa" w:w="1238"/>
          </w:tcPr>
          <w:p>
            <w:pPr>
              <w:spacing w:after="20"/>
              <w:jc w:val="right"/>
            </w:pPr>
            <w:r>
              <w:rPr>
                <w:color w:val="1C3A36"/>
                <w:sz w:val="18"/>
              </w:rPr>
              <w:t>532</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-484</w:t>
            </w:r>
          </w:p>
        </w:tc>
        <w:tc>
          <w:tcPr>
            <w:tcW w:type="dxa" w:w="1238"/>
          </w:tcPr>
          <w:p>
            <w:pPr>
              <w:spacing w:after="20"/>
              <w:jc w:val="right"/>
            </w:pPr>
            <w:r>
              <w:rPr>
                <w:color w:val="1C3A36"/>
                <w:sz w:val="18"/>
              </w:rPr>
              <w:t>-495</w:t>
            </w:r>
          </w:p>
        </w:tc>
        <w:tc>
          <w:tcPr>
            <w:tcW w:type="dxa" w:w="1238"/>
          </w:tcPr>
          <w:p>
            <w:pPr>
              <w:spacing w:after="20"/>
              <w:jc w:val="right"/>
            </w:pPr>
            <w:r>
              <w:rPr>
                <w:color w:val="1C3A36"/>
                <w:sz w:val="18"/>
              </w:rPr>
              <w:t>-518</w:t>
            </w:r>
          </w:p>
        </w:tc>
        <w:tc>
          <w:tcPr>
            <w:tcW w:type="dxa" w:w="1238"/>
          </w:tcPr>
          <w:p>
            <w:pPr>
              <w:spacing w:after="20"/>
              <w:jc w:val="right"/>
            </w:pPr>
            <w:r>
              <w:rPr>
                <w:color w:val="1C3A36"/>
                <w:sz w:val="18"/>
              </w:rPr>
              <w:t>-545</w:t>
            </w:r>
          </w:p>
        </w:tc>
        <w:tc>
          <w:tcPr>
            <w:tcW w:type="dxa" w:w="1238"/>
          </w:tcPr>
          <w:p>
            <w:pPr>
              <w:spacing w:after="20"/>
              <w:jc w:val="right"/>
            </w:pPr>
            <w:r>
              <w:rPr>
                <w:color w:val="1C3A36"/>
                <w:sz w:val="18"/>
              </w:rPr>
              <w:t>-570</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-47</w:t>
            </w:r>
          </w:p>
        </w:tc>
        <w:tc>
          <w:tcPr>
            <w:tcW w:type="dxa" w:w="1238"/>
          </w:tcPr>
          <w:p>
            <w:pPr>
              <w:spacing w:after="20"/>
              <w:jc w:val="right"/>
            </w:pPr>
            <w:r>
              <w:rPr>
                <w:color w:val="1C3A36"/>
                <w:sz w:val="18"/>
              </w:rPr>
              <w:t>-51</w:t>
            </w:r>
          </w:p>
        </w:tc>
        <w:tc>
          <w:tcPr>
            <w:tcW w:type="dxa" w:w="1238"/>
          </w:tcPr>
          <w:p>
            <w:pPr>
              <w:spacing w:after="20"/>
              <w:jc w:val="right"/>
            </w:pPr>
            <w:r>
              <w:rPr>
                <w:color w:val="1C3A36"/>
                <w:sz w:val="18"/>
              </w:rPr>
              <w:t>-57</w:t>
            </w:r>
          </w:p>
        </w:tc>
        <w:tc>
          <w:tcPr>
            <w:tcW w:type="dxa" w:w="1238"/>
          </w:tcPr>
          <w:p>
            <w:pPr>
              <w:spacing w:after="20"/>
              <w:jc w:val="right"/>
            </w:pPr>
            <w:r>
              <w:rPr>
                <w:color w:val="1C3A36"/>
                <w:sz w:val="18"/>
              </w:rPr>
              <w:t>-65</w:t>
            </w:r>
          </w:p>
        </w:tc>
        <w:tc>
          <w:tcPr>
            <w:tcW w:type="dxa" w:w="1238"/>
          </w:tcPr>
          <w:p>
            <w:pPr>
              <w:spacing w:after="20"/>
              <w:jc w:val="right"/>
            </w:pPr>
            <w:r>
              <w:rPr>
                <w:color w:val="1C3A36"/>
                <w:sz w:val="18"/>
              </w:rPr>
              <w:t>-66</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799</w:t>
            </w:r>
          </w:p>
        </w:tc>
        <w:tc>
          <w:tcPr>
            <w:tcW w:type="dxa" w:w="1238"/>
            <w:shd w:val="clear" w:color="auto" w:fill="F6F1E6"/>
          </w:tcPr>
          <w:p>
            <w:pPr>
              <w:spacing w:after="20"/>
              <w:jc w:val="right"/>
            </w:pPr>
            <w:r>
              <w:rPr>
                <w:b/>
                <w:color w:val="1C3A36"/>
                <w:sz w:val="18"/>
              </w:rPr>
              <w:t>1,804</w:t>
            </w:r>
          </w:p>
        </w:tc>
        <w:tc>
          <w:tcPr>
            <w:tcW w:type="dxa" w:w="1238"/>
            <w:shd w:val="clear" w:color="auto" w:fill="F6F1E6"/>
          </w:tcPr>
          <w:p>
            <w:pPr>
              <w:spacing w:after="20"/>
              <w:jc w:val="right"/>
            </w:pPr>
            <w:r>
              <w:rPr>
                <w:b/>
                <w:color w:val="1C3A36"/>
                <w:sz w:val="18"/>
              </w:rPr>
              <w:t>1,415</w:t>
            </w:r>
          </w:p>
        </w:tc>
        <w:tc>
          <w:tcPr>
            <w:tcW w:type="dxa" w:w="1238"/>
            <w:shd w:val="clear" w:color="auto" w:fill="F6F1E6"/>
          </w:tcPr>
          <w:p>
            <w:pPr>
              <w:spacing w:after="20"/>
              <w:jc w:val="right"/>
            </w:pPr>
            <w:r>
              <w:rPr>
                <w:b/>
                <w:color w:val="1C3A36"/>
                <w:sz w:val="18"/>
              </w:rPr>
              <w:t>297</w:t>
            </w:r>
          </w:p>
        </w:tc>
        <w:tc>
          <w:tcPr>
            <w:tcW w:type="dxa" w:w="1238"/>
            <w:shd w:val="clear" w:color="auto" w:fill="F6F1E6"/>
          </w:tcPr>
          <w:p>
            <w:pPr>
              <w:spacing w:after="20"/>
              <w:jc w:val="right"/>
            </w:pPr>
            <w:r>
              <w:rPr>
                <w:b/>
                <w:color w:val="1C3A36"/>
                <w:sz w:val="18"/>
              </w:rPr>
              <w:t>261</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-1,489</w:t>
            </w:r>
          </w:p>
        </w:tc>
        <w:tc>
          <w:tcPr>
            <w:tcW w:type="dxa" w:w="1238"/>
          </w:tcPr>
          <w:p>
            <w:pPr>
              <w:spacing w:after="20"/>
              <w:jc w:val="right"/>
            </w:pPr>
            <w:r>
              <w:rPr>
                <w:color w:val="1C3A36"/>
                <w:sz w:val="18"/>
              </w:rPr>
              <w:t>-1,459</w:t>
            </w:r>
          </w:p>
        </w:tc>
        <w:tc>
          <w:tcPr>
            <w:tcW w:type="dxa" w:w="1238"/>
          </w:tcPr>
          <w:p>
            <w:pPr>
              <w:spacing w:after="20"/>
              <w:jc w:val="right"/>
            </w:pPr>
            <w:r>
              <w:rPr>
                <w:color w:val="1C3A36"/>
                <w:sz w:val="18"/>
              </w:rPr>
              <w:t>-1,500</w:t>
            </w:r>
          </w:p>
        </w:tc>
        <w:tc>
          <w:tcPr>
            <w:tcW w:type="dxa" w:w="1238"/>
          </w:tcPr>
          <w:p>
            <w:pPr>
              <w:spacing w:after="20"/>
              <w:jc w:val="right"/>
            </w:pPr>
            <w:r>
              <w:rPr>
                <w:color w:val="1C3A36"/>
                <w:sz w:val="18"/>
              </w:rPr>
              <w:t>-1,614</w:t>
            </w:r>
          </w:p>
        </w:tc>
        <w:tc>
          <w:tcPr>
            <w:tcW w:type="dxa" w:w="1238"/>
          </w:tcPr>
          <w:p>
            <w:pPr>
              <w:spacing w:after="20"/>
              <w:jc w:val="right"/>
            </w:pPr>
            <w:r>
              <w:rPr>
                <w:color w:val="1C3A36"/>
                <w:sz w:val="18"/>
              </w:rPr>
              <w:t>-1,747</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76.49 to EGP 98.26, central EGP 87.37 (+10.6% against the market price of EGP 79.00).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83/t.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52.44 to EGP 63.77, central EGP 58.10 (-26.5% against the market price of EGP 79.00).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34.39 to EGP 43.50, central EGP 37.93 (-52.0% against the market price of EGP 79.00).</w:t>
      </w:r>
    </w:p>
    <w:p>
      <w:pPr>
        <w:spacing w:after="120" w:before="0"/>
      </w:pPr>
      <w:r>
        <w:rPr>
          <w:b w:val="0"/>
          <w:i w:val="0"/>
          <w:color w:val="1C3A36"/>
          <w:sz w:val="21"/>
        </w:rPr>
        <w:t>Starts from the balance sheet. Net cash of EGP 4.9bn is 24% of the market capitalisation and 43% of fair equity value. Terminal return on capital of 9.3%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76.49</w:t>
            </w:r>
          </w:p>
        </w:tc>
        <w:tc>
          <w:tcPr>
            <w:tcW w:type="dxa" w:w="1656"/>
          </w:tcPr>
          <w:p>
            <w:pPr>
              <w:spacing w:after="20"/>
              <w:jc w:val="right"/>
            </w:pPr>
            <w:r>
              <w:rPr>
                <w:color w:val="1C3A36"/>
                <w:sz w:val="18"/>
              </w:rPr>
              <w:t>87.37</w:t>
            </w:r>
          </w:p>
        </w:tc>
        <w:tc>
          <w:tcPr>
            <w:tcW w:type="dxa" w:w="1469"/>
          </w:tcPr>
          <w:p>
            <w:pPr>
              <w:spacing w:after="20"/>
              <w:jc w:val="right"/>
            </w:pPr>
            <w:r>
              <w:rPr>
                <w:color w:val="1C3A36"/>
                <w:sz w:val="18"/>
              </w:rPr>
              <w:t>98.26</w:t>
            </w:r>
          </w:p>
        </w:tc>
        <w:tc>
          <w:tcPr>
            <w:tcW w:type="dxa" w:w="1354"/>
          </w:tcPr>
          <w:p>
            <w:pPr>
              <w:spacing w:after="20"/>
              <w:jc w:val="right"/>
            </w:pPr>
            <w:r>
              <w:rPr>
                <w:color w:val="1C3A36"/>
                <w:sz w:val="18"/>
              </w:rPr>
              <w:t>+10.6%</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52.44</w:t>
            </w:r>
          </w:p>
        </w:tc>
        <w:tc>
          <w:tcPr>
            <w:tcW w:type="dxa" w:w="1656"/>
          </w:tcPr>
          <w:p>
            <w:pPr>
              <w:spacing w:after="20"/>
              <w:jc w:val="right"/>
            </w:pPr>
            <w:r>
              <w:rPr>
                <w:color w:val="1C3A36"/>
                <w:sz w:val="18"/>
              </w:rPr>
              <w:t>58.10</w:t>
            </w:r>
          </w:p>
        </w:tc>
        <w:tc>
          <w:tcPr>
            <w:tcW w:type="dxa" w:w="1469"/>
          </w:tcPr>
          <w:p>
            <w:pPr>
              <w:spacing w:after="20"/>
              <w:jc w:val="right"/>
            </w:pPr>
            <w:r>
              <w:rPr>
                <w:color w:val="1C3A36"/>
                <w:sz w:val="18"/>
              </w:rPr>
              <w:t>63.77</w:t>
            </w:r>
          </w:p>
        </w:tc>
        <w:tc>
          <w:tcPr>
            <w:tcW w:type="dxa" w:w="1354"/>
          </w:tcPr>
          <w:p>
            <w:pPr>
              <w:spacing w:after="20"/>
              <w:jc w:val="right"/>
            </w:pPr>
            <w:r>
              <w:rPr>
                <w:color w:val="1C3A36"/>
                <w:sz w:val="18"/>
              </w:rPr>
              <w:t>-26.5%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34.39</w:t>
            </w:r>
          </w:p>
        </w:tc>
        <w:tc>
          <w:tcPr>
            <w:tcW w:type="dxa" w:w="1656"/>
          </w:tcPr>
          <w:p>
            <w:pPr>
              <w:spacing w:after="20"/>
              <w:jc w:val="right"/>
            </w:pPr>
            <w:r>
              <w:rPr>
                <w:color w:val="1C3A36"/>
                <w:sz w:val="18"/>
              </w:rPr>
              <w:t>37.93</w:t>
            </w:r>
          </w:p>
        </w:tc>
        <w:tc>
          <w:tcPr>
            <w:tcW w:type="dxa" w:w="1469"/>
          </w:tcPr>
          <w:p>
            <w:pPr>
              <w:spacing w:after="20"/>
              <w:jc w:val="right"/>
            </w:pPr>
            <w:r>
              <w:rPr>
                <w:color w:val="1C3A36"/>
                <w:sz w:val="18"/>
              </w:rPr>
              <w:t>43.50</w:t>
            </w:r>
          </w:p>
        </w:tc>
        <w:tc>
          <w:tcPr>
            <w:tcW w:type="dxa" w:w="1354"/>
          </w:tcPr>
          <w:p>
            <w:pPr>
              <w:spacing w:after="20"/>
              <w:jc w:val="right"/>
            </w:pPr>
            <w:r>
              <w:rPr>
                <w:color w:val="1C3A36"/>
                <w:sz w:val="18"/>
              </w:rPr>
              <w:t>-52.0%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58.10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-26.5%</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