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8 August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Also indexed on the same portal but not used: annual statements for 2009 to 2021, and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9.42%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19.00 / 20.00% 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erp_cds</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CDS basis total equity risk premium</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13.98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Exchange close, from the study's own price library</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2026-08-06</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2.6e+04, 2.6e+04, 2.6e+04, 2.6e+04, 2.6e+04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0.1, 0.085, 0.075, 0.07, 0.07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on the central bank's target.</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dimson_sum_beta</w:t>
            </w:r>
          </w:p>
        </w:tc>
        <w:tc>
          <w:tcPr>
            <w:tcW w:type="dxa" w:w="1944"/>
          </w:tcPr>
          <w:p>
            <w:pPr>
              <w:spacing w:after="20"/>
              <w:jc w:val="left"/>
            </w:pPr>
            <w:r>
              <w:rPr>
                <w:color w:val="1C3A36"/>
                <w:sz w:val="14"/>
              </w:rPr>
              <w:t>0.8276</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dimson sum-beta over one lead, the contemporaneous term and two lags of the same weekly regression — the thin-trading correction, carried as the beta alternative</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530, 500, 470, 450, 440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price path, mean-reverting from the August 2026 quote toward the cash cost of the marginal gas-based producer.</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steady-state gap between the terminal inflation target and the currency wedge, held constant in the terminal year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set at the central bank's LONGEST-HORIZON published inflation target: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alternative terminal growth rate: two points below the inflation target, which is negative real maintenance growth</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4e+04, 4.1e+04, 4.2e+04, 4.3e+04, 4.4e+04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emerging-market real policy rate,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1.011e+04, 1.092e+04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1.55e+05, 1.6e+05, 1.65e+05, 1.7e+05, 1.75e+05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51.9, 54.2, 56.7, 59.2, 61.9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currency path at 4.5% depreciation a year from the spot rate — the same wedge used to carry the dollar debt at local-equivalent cost.</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4.00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