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40"/>
        </w:rPr>
        <w:t>PALM HILLS DEVELOPMENTS</w:t>
      </w:r>
    </w:p>
    <w:p>
      <w:pPr>
        <w:spacing w:after="280"/>
      </w:pPr>
      <w:r>
        <w:rPr>
          <w:b w:val="0"/>
          <w:i w:val="0"/>
          <w:color w:val="5B6570"/>
          <w:sz w:val="20"/>
        </w:rPr>
        <w:t>Egyptian Exchange · PHDC · Egyptian pounds · edition of 17 September 2026</w:t>
      </w:r>
    </w:p>
    <w:p>
      <w:pPr>
        <w:pStyle w:val="Heading2"/>
      </w:pPr>
      <w:r>
        <w:t>READ FIRST</w:t>
      </w:r>
    </w:p>
    <w:p>
      <w:r>
        <w:rPr>
          <w:sz w:val="16"/>
        </w:rPr>
        <w:t>PRICE DATE 3 September 2026 — the latest known close, the price this valuation is measured against.   ISSUE DATE 17 September 2026 — the day this edition was issued. A recalibration issues a new document carrying its own issue date; the two dates are stated separately because they are not the same fact.</w:t>
      </w:r>
    </w:p>
    <w:p>
      <w:pPr>
        <w:spacing w:after="140"/>
      </w:pPr>
      <w:r>
        <w:rPr>
          <w:b w:val="0"/>
          <w:i w:val="0"/>
          <w:color w:val="1A1D21"/>
          <w:sz w:val="20"/>
        </w:rPr>
        <w:t>This is a valuation study, not advice. It carries no rating, no recommendation and no price target. What it publishes is a range of value and the reasoning behind it, so that a reader can disagree with the reasoning rather than with a number.</w:t>
      </w:r>
    </w:p>
    <w:p>
      <w:pPr>
        <w:spacing w:after="140"/>
      </w:pPr>
      <w:r>
        <w:rPr>
          <w:b w:val="0"/>
          <w:i w:val="0"/>
          <w:color w:val="1A1D21"/>
          <w:sz w:val="20"/>
        </w:rPr>
        <w:t>It supersedes the edition of 10 September 2026. That edition's numbers stand: the discount-rate path, the forecast, the fifteen-year window and the cash-conversion cases are as they were issued. What changed is the quality of six inputs and the accuracy of four descriptions, each found by working an external forensic audit of this study finding by finding and by auditing the study against its own filings again.</w:t>
      </w:r>
    </w:p>
    <w:p>
      <w:pPr>
        <w:spacing w:after="140"/>
      </w:pPr>
      <w:r>
        <w:rPr>
          <w:b w:val="0"/>
          <w:i w:val="0"/>
          <w:color w:val="1A1D21"/>
          <w:sz w:val="20"/>
        </w:rPr>
        <w:t>The changes, in the order they matter. FIRST, the first-quarter 2026 anchors now read the release's own income statement in thousands rather than its headline bullets in rounded billions: revenue of EGP 9,346.1 million rather than 9,300, gross profit of EGP 3,310.0 million rather than 3,300, and the prior-year quarter read outright at EGP 8,392.6 million rather than inferred from a rounded “up 11 per cent”. The full-year 2026 revenue anchor is built from that quarter, so the rounding compounded through all fifteen forecast years. SECOND, the minority's share of value is now the MEAN of its filed profit share over 2023 to 2025 rather than the 2025 share alone: a one-observation anchor is the construction this study refuses everywhere else, and the single year was also the branch that maximised the answer. THIRD, the price this study compares itself against is the close its own price history actually holds, dated to that close, and it is the same price in every section. The superseded edition compared the valuation against one close and computed its trend read and its distribution from another.</w:t>
      </w:r>
    </w:p>
    <w:p>
      <w:pPr>
        <w:spacing w:after="140"/>
      </w:pPr>
      <w:r>
        <w:rPr>
          <w:b w:val="0"/>
          <w:i w:val="0"/>
          <w:color w:val="1A1D21"/>
          <w:sz w:val="20"/>
        </w:rPr>
        <w:t>FOURTH, and this one is about the workbook rather than the answer: the bridge from enterprise value to equity now READS the discounted cash-flow sheet instead of carrying rounded copies of its totals, and the terminal value is published as its own construction — the terminal flow, the growth rate, the rate it is capitalised at and the formula that combines them, each in a cell. A third of the answer sat in a single hardcoded number in every earlier edition of this workbook, and a reader could not see where it came from. FIFTH, four sentences that described the model wrongly are corrected: a catalyst that said the half-year results were still to come, an appendix caption that called a fifteen-year forecast five years, and two passages that reasoned off the credit-rating cost of equity when this study adopts and discounts on the traded default-swap basis. SIXTH, a negative result in the bibliography is withdrawn: it said the disclosed regional unit series cannot be summed to the company total because the charts overlap by about a third, and on this study's own extract they sum exactly in nineteen of twenty-one year-and-vintage pairs.</w:t>
      </w:r>
    </w:p>
    <w:p>
      <w:pPr>
        <w:spacing w:after="140"/>
      </w:pPr>
      <w:r>
        <w:rPr>
          <w:b w:val="0"/>
          <w:i w:val="0"/>
          <w:color w:val="1A1D21"/>
          <w:sz w:val="20"/>
        </w:rPr>
        <w:t>The central figure moves from EGP 17.86 to EGP 20.88 a share. Almost all of that is the minority basis and the sharper first-quarter anchors; neither was chosen for its direction, and the direction is the uncomfortable one — it moves the answer further above the traded price, not toward it. The house rule that a fair value is never adjusted toward a quotation cuts both ways, and a correction is made or not made on whether it is right.</w:t>
      </w:r>
    </w:p>
    <w:p>
      <w:pPr>
        <w:spacing w:after="140"/>
      </w:pPr>
      <w:r>
        <w:rPr>
          <w:b w:val="0"/>
          <w:i w:val="0"/>
          <w:color w:val="1A1D21"/>
          <w:sz w:val="20"/>
        </w:rPr>
        <w:t>Two things in the edition of 11 June 2026 were wrong and remain corrected, and both are set out plainly in section 1.8 rather than buried: its discount rate was below Egypt's own government bond yield, and the project-level price and cost table it valued the company on is not disclosed by the company anywhere.</w:t>
      </w:r>
    </w:p>
    <w:p>
      <w:pPr>
        <w:spacing w:after="140"/>
      </w:pPr>
      <w:r>
        <w:rPr>
          <w:b w:val="0"/>
          <w:i w:val="0"/>
          <w:color w:val="1A1D21"/>
          <w:sz w:val="20"/>
        </w:rPr>
        <w:t>The company's own audited statements are the only source used for its reported history. Where something needed is not disclosed, this study says so and does not fill the hole. There are six such gaps and they are listed in section 7.</w:t>
      </w:r>
    </w:p>
    <w:p>
      <w:pPr>
        <w:spacing w:after="140"/>
      </w:pPr>
      <w:r>
        <w:rPr>
          <w:b w:val="0"/>
          <w:i/>
          <w:color w:val="5B6570"/>
          <w:sz w:val="18"/>
        </w:rPr>
        <w:t>Information set: the company's own published statements as at 2 September 2026, which end at its first-quarter 2026 results — the reviewed statements of 31 March 2026 included. A half-year 2026 release of 18 August 2026 is reported in the trade press, and this study has NOT obtained the filing itself; nothing from it is used, because a report of a disclosure is a lead and not a source. What it is said to contain — an order book of EGP 284bn at 30 June and a further EGP 75bn sold at Hacienda Ras El Hekma shortly after — is carried in section 7 as an open gap, not in the model.</w:t>
      </w:r>
    </w:p>
    <w:p>
      <w:pPr>
        <w:pStyle w:val="Heading1"/>
      </w:pPr>
      <w:r>
        <w:t>Headline</w:t>
      </w:r>
    </w:p>
    <w:p>
      <w:pPr>
        <w:spacing w:after="140"/>
      </w:pPr>
      <w:r>
        <w:rPr>
          <w:b/>
          <w:i w:val="0"/>
          <w:color w:val="1A1D21"/>
          <w:sz w:val="23"/>
        </w:rPr>
        <w:t>Palm Hills is worth EGP 20.88 a share on a base case built from the company's own units and prices. Across the full observed range of cash conversion ALONE — the one driver that decides it — the value spans EGP 7.58 to EGP 46.39. The wider pair published beside it, EGP 4.94 to EGP 54.52, moves a second driver as well: the weak case also carries the whole cost-of-capital schedule 2 points HIGHER and the strong case 1 point lower, which widens the band at both ends. Both pairs are printed because they answer different questions, and neither is a probability. The shares trade at EGP 14.40.</w:t>
      </w:r>
    </w:p>
    <w:p>
      <w:pPr>
        <w:pStyle w:val="ListBullet"/>
        <w:spacing w:after="60"/>
      </w:pPr>
      <w:r>
        <w:rPr>
          <w:color w:val="1A1D21"/>
          <w:sz w:val="20"/>
        </w:rPr>
        <w:t>The forecast is built from units and prices the company itself discloses: 5,633 units sold across three regions at EGP 15.70 to 25.09 million a unit, and separately 2,042 units delivered at EGP 19.73 million of revenue each, because units handed over were contracted years earlier at lower prices.</w:t>
      </w:r>
    </w:p>
    <w:p>
      <w:pPr>
        <w:pStyle w:val="ListBullet"/>
        <w:spacing w:after="60"/>
      </w:pPr>
      <w:r>
        <w:rPr>
          <w:color w:val="1A1D21"/>
          <w:sz w:val="20"/>
        </w:rPr>
        <w:t>The company's cost of capital, built from the ground up, is 24.96% against an Egyptian ten-year government bond yield of 23.00%. It CHANGED in this edition: the real interest rate underneath it now comes from the house Egyptian path rather than from a figure typed into this study's own file, and the rate fell from the 24.96% published on 10 September 2026 to 24.96%. The alternative credit-rating basis, which this study does not adopt, stands at 25.83%; both are published in section 1.8. The change RAISES the value, and it was made for consistency across the book rather than for its direction.</w:t>
      </w:r>
    </w:p>
    <w:p>
      <w:pPr>
        <w:pStyle w:val="ListBullet"/>
        <w:spacing w:after="60"/>
      </w:pPr>
      <w:r>
        <w:rPr>
          <w:color w:val="1A1D21"/>
          <w:sz w:val="20"/>
        </w:rPr>
        <w:t>Value turns on how quickly contracted sales become cash. Over the three years the company has published a cash-flow statement, operating cash was 4.3%, 17.9% and 3.9% of revenue. At the low end the shares are worth EGP 7.58; at the high end, EGP 46.39.</w:t>
      </w:r>
    </w:p>
    <w:p>
      <w:pPr>
        <w:pStyle w:val="ListBullet"/>
        <w:spacing w:after="60"/>
      </w:pPr>
      <w:r>
        <w:rPr>
          <w:color w:val="1A1D21"/>
          <w:sz w:val="20"/>
        </w:rPr>
        <w:t>At the closing price of EGP 14.40 the market is paying for a conversion rate of 6.4% — above the two weak years, well below the strong one.</w:t>
      </w:r>
    </w:p>
    <w:p>
      <w:pPr>
        <w:pStyle w:val="ListBullet"/>
        <w:spacing w:after="60"/>
      </w:pPr>
      <w:r>
        <w:rPr>
          <w:color w:val="1A1D21"/>
          <w:sz w:val="20"/>
        </w:rPr>
        <w:t>The contracted order book stands at EGP 263bn against 2025 revenue of EGP 36.2bn. What limits this company is how fast it can build and hand over, not whether it can sell.</w:t>
      </w:r>
    </w:p>
    <w:p>
      <w:pPr>
        <w:pStyle w:val="Heading1"/>
      </w:pPr>
      <w:r>
        <w:t>Valuation summary — every read at a glance</w:t>
      </w:r>
    </w:p>
    <w:tbl>
      <w:tblPr>
        <w:tblStyle w:val="TableGrid"/>
        <w:tblW w:type="auto" w:w="0"/>
        <w:jc w:val="center"/>
        <w:tblLayout w:type="fixed"/>
        <w:tblLook w:firstColumn="1" w:firstRow="1" w:lastColumn="0" w:lastRow="0" w:noHBand="0" w:noVBand="1" w:val="04A0"/>
        <w:tblLayout w:type="fixed"/>
      </w:tblPr>
      <w:tblGrid>
        <w:gridCol w:w="5262"/>
        <w:gridCol w:w="624"/>
        <w:gridCol w:w="1032"/>
        <w:gridCol w:w="737"/>
        <w:gridCol w:w="1304"/>
      </w:tblGrid>
      <w:tr>
        <w:trPr>
          <w:tblHeader w:val="true"/>
        </w:trPr>
        <w:tc>
          <w:tcPr>
            <w:tcW w:type="dxa" w:w="5261"/>
          </w:tcPr>
          <w:p>
            <w:r/>
            <w:r>
              <w:rPr>
                <w:b/>
                <w:color w:val="5B6570"/>
                <w:sz w:val="17"/>
              </w:rPr>
              <w:t>Lens</w:t>
            </w:r>
          </w:p>
        </w:tc>
        <w:tc>
          <w:tcPr>
            <w:tcW w:type="dxa" w:w="624"/>
          </w:tcPr>
          <w:p>
            <w:r/>
            <w:r>
              <w:rPr>
                <w:b/>
                <w:color w:val="5B6570"/>
                <w:sz w:val="17"/>
              </w:rPr>
              <w:t>Low</w:t>
            </w:r>
          </w:p>
        </w:tc>
        <w:tc>
          <w:tcPr>
            <w:tcW w:type="dxa" w:w="1032"/>
          </w:tcPr>
          <w:p>
            <w:r/>
            <w:r>
              <w:rPr>
                <w:b/>
                <w:color w:val="5B6570"/>
                <w:sz w:val="17"/>
              </w:rPr>
              <w:t>Central</w:t>
            </w:r>
          </w:p>
        </w:tc>
        <w:tc>
          <w:tcPr>
            <w:tcW w:type="dxa" w:w="737"/>
          </w:tcPr>
          <w:p>
            <w:r/>
            <w:r>
              <w:rPr>
                <w:b/>
                <w:color w:val="5B6570"/>
                <w:sz w:val="17"/>
              </w:rPr>
              <w:t>High</w:t>
            </w:r>
          </w:p>
        </w:tc>
        <w:tc>
          <w:tcPr>
            <w:tcW w:type="dxa" w:w="1304"/>
          </w:tcPr>
          <w:p>
            <w:r/>
            <w:r>
              <w:rPr>
                <w:b/>
                <w:color w:val="5B6570"/>
                <w:sz w:val="17"/>
              </w:rPr>
              <w:t>Role</w:t>
            </w:r>
          </w:p>
        </w:tc>
      </w:tr>
      <w:tr>
        <w:trPr>
          <w:cantSplit/>
        </w:trPr>
        <w:tc>
          <w:tcPr>
            <w:tcW w:type="dxa" w:w="5261"/>
          </w:tcPr>
          <w:p>
            <w:r/>
            <w:r>
              <w:rPr>
                <w:color w:val="1A1D21"/>
                <w:sz w:val="17"/>
              </w:rPr>
              <w:t>Discounted cash flow</w:t>
            </w:r>
          </w:p>
        </w:tc>
        <w:tc>
          <w:tcPr>
            <w:tcW w:type="dxa" w:w="624"/>
          </w:tcPr>
          <w:p>
            <w:pPr>
              <w:jc w:val="right"/>
            </w:pPr>
            <w:r/>
            <w:r>
              <w:rPr>
                <w:color w:val="1A1D21"/>
                <w:sz w:val="17"/>
              </w:rPr>
              <w:t>4.94</w:t>
            </w:r>
          </w:p>
        </w:tc>
        <w:tc>
          <w:tcPr>
            <w:tcW w:type="dxa" w:w="1032"/>
          </w:tcPr>
          <w:p>
            <w:pPr>
              <w:jc w:val="right"/>
            </w:pPr>
            <w:r/>
            <w:r>
              <w:rPr>
                <w:color w:val="1A1D21"/>
                <w:sz w:val="17"/>
              </w:rPr>
              <w:t>20.88</w:t>
            </w:r>
          </w:p>
        </w:tc>
        <w:tc>
          <w:tcPr>
            <w:tcW w:type="dxa" w:w="737"/>
          </w:tcPr>
          <w:p>
            <w:pPr>
              <w:jc w:val="right"/>
            </w:pPr>
            <w:r/>
            <w:r>
              <w:rPr>
                <w:color w:val="1A1D21"/>
                <w:sz w:val="17"/>
              </w:rPr>
              <w:t>54.52</w:t>
            </w:r>
          </w:p>
        </w:tc>
        <w:tc>
          <w:tcPr>
            <w:tcW w:type="dxa" w:w="1304"/>
          </w:tcPr>
          <w:p>
            <w:r/>
            <w:r>
              <w:rPr>
                <w:color w:val="1A1D21"/>
                <w:sz w:val="17"/>
              </w:rPr>
              <w:t>the central</w:t>
            </w:r>
          </w:p>
        </w:tc>
      </w:tr>
      <w:tr>
        <w:trPr>
          <w:cantSplit/>
        </w:trPr>
        <w:tc>
          <w:tcPr>
            <w:tcW w:type="dxa" w:w="5261"/>
          </w:tcPr>
          <w:p>
            <w:r/>
            <w:r>
              <w:rPr>
                <w:color w:val="1A1D21"/>
                <w:sz w:val="17"/>
              </w:rPr>
              <w:t>Earnings multiple on own history</w:t>
            </w:r>
          </w:p>
        </w:tc>
        <w:tc>
          <w:tcPr>
            <w:tcW w:type="dxa" w:w="624"/>
          </w:tcPr>
          <w:p>
            <w:pPr>
              <w:jc w:val="right"/>
            </w:pPr>
            <w:r/>
            <w:r>
              <w:rPr>
                <w:color w:val="1A1D21"/>
                <w:sz w:val="17"/>
              </w:rPr>
              <w:t>5.58</w:t>
            </w:r>
          </w:p>
        </w:tc>
        <w:tc>
          <w:tcPr>
            <w:tcW w:type="dxa" w:w="1032"/>
          </w:tcPr>
          <w:p>
            <w:pPr>
              <w:jc w:val="right"/>
            </w:pPr>
            <w:r/>
            <w:r>
              <w:rPr>
                <w:color w:val="1A1D21"/>
                <w:sz w:val="17"/>
              </w:rPr>
              <w:t>8.38</w:t>
            </w:r>
          </w:p>
        </w:tc>
        <w:tc>
          <w:tcPr>
            <w:tcW w:type="dxa" w:w="737"/>
          </w:tcPr>
          <w:p>
            <w:pPr>
              <w:jc w:val="right"/>
            </w:pPr>
            <w:r/>
            <w:r>
              <w:rPr>
                <w:color w:val="1A1D21"/>
                <w:sz w:val="17"/>
              </w:rPr>
              <w:t>13.03</w:t>
            </w:r>
          </w:p>
        </w:tc>
        <w:tc>
          <w:tcPr>
            <w:tcW w:type="dxa" w:w="1304"/>
          </w:tcPr>
          <w:p>
            <w:r/>
            <w:r>
              <w:rPr>
                <w:color w:val="1A1D21"/>
                <w:sz w:val="17"/>
              </w:rPr>
              <w:t>cross-check</w:t>
            </w:r>
          </w:p>
        </w:tc>
      </w:tr>
      <w:tr>
        <w:trPr>
          <w:cantSplit/>
        </w:trPr>
        <w:tc>
          <w:tcPr>
            <w:tcW w:type="dxa" w:w="5261"/>
          </w:tcPr>
          <w:p>
            <w:r/>
            <w:r>
              <w:rPr>
                <w:color w:val="1A1D21"/>
                <w:sz w:val="17"/>
              </w:rPr>
              <w:t>Book value of equity — a disclosed floor</w:t>
            </w:r>
          </w:p>
        </w:tc>
        <w:tc>
          <w:tcPr>
            <w:tcW w:type="dxa" w:w="624"/>
          </w:tcPr>
          <w:p>
            <w:pPr>
              <w:jc w:val="right"/>
            </w:pPr>
            <w:r/>
            <w:r>
              <w:rPr>
                <w:color w:val="1A1D21"/>
                <w:sz w:val="17"/>
              </w:rPr>
              <w:t>5.97</w:t>
            </w:r>
          </w:p>
        </w:tc>
        <w:tc>
          <w:tcPr>
            <w:tcW w:type="dxa" w:w="1032"/>
          </w:tcPr>
          <w:p>
            <w:pPr>
              <w:jc w:val="right"/>
            </w:pPr>
            <w:r/>
            <w:r>
              <w:rPr>
                <w:color w:val="1A1D21"/>
                <w:sz w:val="17"/>
              </w:rPr>
              <w:t>6.63</w:t>
            </w:r>
          </w:p>
        </w:tc>
        <w:tc>
          <w:tcPr>
            <w:tcW w:type="dxa" w:w="737"/>
          </w:tcPr>
          <w:p>
            <w:pPr>
              <w:jc w:val="right"/>
            </w:pPr>
            <w:r/>
            <w:r>
              <w:rPr>
                <w:color w:val="1A1D21"/>
                <w:sz w:val="17"/>
              </w:rPr>
              <w:t>8.62</w:t>
            </w:r>
          </w:p>
        </w:tc>
        <w:tc>
          <w:tcPr>
            <w:tcW w:type="dxa" w:w="1304"/>
          </w:tcPr>
          <w:p>
            <w:r/>
            <w:r>
              <w:rPr>
                <w:color w:val="1A1D21"/>
                <w:sz w:val="17"/>
              </w:rPr>
              <w:t>cross-check</w:t>
            </w:r>
          </w:p>
        </w:tc>
      </w:tr>
      <w:tr>
        <w:trPr>
          <w:cantSplit/>
        </w:trPr>
        <w:tc>
          <w:tcPr>
            <w:tcW w:type="dxa" w:w="5261"/>
          </w:tcPr>
          <w:p>
            <w:r/>
            <w:r>
              <w:rPr>
                <w:color w:val="1A1D21"/>
                <w:sz w:val="17"/>
              </w:rPr>
              <w:t>Market price, 3 September 2026</w:t>
            </w:r>
          </w:p>
        </w:tc>
        <w:tc>
          <w:tcPr>
            <w:tcW w:type="dxa" w:w="624"/>
          </w:tcPr>
          <w:p>
            <w:r/>
            <w:r>
              <w:rPr>
                <w:color w:val="1A1D21"/>
                <w:sz w:val="17"/>
              </w:rPr>
            </w:r>
          </w:p>
        </w:tc>
        <w:tc>
          <w:tcPr>
            <w:tcW w:type="dxa" w:w="1032"/>
          </w:tcPr>
          <w:p>
            <w:pPr>
              <w:jc w:val="right"/>
            </w:pPr>
            <w:r/>
            <w:r>
              <w:rPr>
                <w:color w:val="1A1D21"/>
                <w:sz w:val="17"/>
              </w:rPr>
              <w:t>14.40</w:t>
            </w:r>
          </w:p>
        </w:tc>
        <w:tc>
          <w:tcPr>
            <w:tcW w:type="dxa" w:w="737"/>
          </w:tcPr>
          <w:p>
            <w:r/>
            <w:r>
              <w:rPr>
                <w:color w:val="1A1D21"/>
                <w:sz w:val="17"/>
              </w:rPr>
            </w:r>
          </w:p>
        </w:tc>
        <w:tc>
          <w:tcPr>
            <w:tcW w:type="dxa" w:w="1304"/>
          </w:tcPr>
          <w:p>
            <w:r/>
            <w:r>
              <w:rPr>
                <w:color w:val="1A1D21"/>
                <w:sz w:val="17"/>
              </w:rPr>
            </w:r>
          </w:p>
        </w:tc>
      </w:tr>
      <w:tr>
        <w:trPr>
          <w:cantSplit/>
        </w:trPr>
        <w:tc>
          <w:tcPr>
            <w:tcW w:type="dxa" w:w="5261"/>
          </w:tcPr>
          <w:p>
            <w:r/>
            <w:r>
              <w:rPr>
                <w:color w:val="1A1D21"/>
                <w:sz w:val="17"/>
              </w:rPr>
              <w:t>vs the central</w:t>
            </w:r>
          </w:p>
        </w:tc>
        <w:tc>
          <w:tcPr>
            <w:tcW w:type="dxa" w:w="624"/>
          </w:tcPr>
          <w:p>
            <w:r/>
            <w:r>
              <w:rPr>
                <w:color w:val="1A1D21"/>
                <w:sz w:val="17"/>
              </w:rPr>
            </w:r>
          </w:p>
        </w:tc>
        <w:tc>
          <w:tcPr>
            <w:tcW w:type="dxa" w:w="1032"/>
          </w:tcPr>
          <w:p>
            <w:pPr>
              <w:jc w:val="right"/>
            </w:pPr>
            <w:r/>
            <w:r>
              <w:rPr>
                <w:color w:val="1A1D21"/>
                <w:sz w:val="17"/>
              </w:rPr>
              <w:t>-31%</w:t>
            </w:r>
          </w:p>
        </w:tc>
        <w:tc>
          <w:tcPr>
            <w:tcW w:type="dxa" w:w="737"/>
          </w:tcPr>
          <w:p>
            <w:r/>
            <w:r>
              <w:rPr>
                <w:color w:val="1A1D21"/>
                <w:sz w:val="17"/>
              </w:rPr>
            </w:r>
          </w:p>
        </w:tc>
        <w:tc>
          <w:tcPr>
            <w:tcW w:type="dxa" w:w="1304"/>
          </w:tcPr>
          <w:p>
            <w:r/>
            <w:r>
              <w:rPr>
                <w:color w:val="1A1D21"/>
                <w:sz w:val="17"/>
              </w:rPr>
            </w:r>
          </w:p>
        </w:tc>
      </w:tr>
    </w:tbl>
    <w:p>
      <w:pPr>
        <w:spacing w:after="200"/>
      </w:pPr>
      <w:r>
        <w:rPr>
          <w:b w:val="0"/>
          <w:i/>
          <w:color w:val="5B6570"/>
          <w:sz w:val="16"/>
        </w:rPr>
        <w:t>EGP per share. The cash-flow lens is the central because it is the only one built from the company's own units and prices; the others are cross-checks, published so that a reader can see where they disagree. They are NOT averaged into the central. An earlier edition blended all four at fixed weights, and because three of the four value a developer on its reported earnings and its historical-cost book — a floor for a company whose worth sits in an undelivered order book — the blend read as a value when it was measuring a floor.</w:t>
      </w:r>
    </w:p>
    <w:p>
      <w:pPr>
        <w:jc w:val="center"/>
      </w:pPr>
      <w:r>
        <w:drawing>
          <wp:inline xmlns:a="http://schemas.openxmlformats.org/drawingml/2006/main" xmlns:pic="http://schemas.openxmlformats.org/drawingml/2006/picture">
            <wp:extent cx="5832000" cy="2427171"/>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832000" cy="2427171"/>
                    </a:xfrm>
                    <a:prstGeom prst="rect"/>
                  </pic:spPr>
                </pic:pic>
              </a:graphicData>
            </a:graphic>
          </wp:inline>
        </w:drawing>
      </w:r>
    </w:p>
    <w:p>
      <w:pPr>
        <w:spacing w:after="240"/>
        <w:jc w:val="center"/>
      </w:pPr>
      <w:r>
        <w:rPr>
          <w:b w:val="0"/>
          <w:i/>
          <w:color w:val="5B6570"/>
          <w:sz w:val="16"/>
        </w:rPr>
        <w:t>Figure 1 — each bar is one observed rate of cash conversion; the bar spans the discount rate from four points below the rebuilt cost of capital to four points above, and the white tick marks the value at the rebuilt rate itself. Shown against the closing price and the 30 August 2026 edition's central figure.</w:t>
      </w:r>
    </w:p>
    <w:p>
      <w:pPr>
        <w:pStyle w:val="Heading1"/>
      </w:pPr>
      <w:r>
        <w:t>Company overview</w:t>
      </w:r>
    </w:p>
    <w:p>
      <w:pPr>
        <w:spacing w:after="140"/>
      </w:pPr>
      <w:r>
        <w:rPr>
          <w:b w:val="0"/>
          <w:i w:val="0"/>
          <w:color w:val="1A1D21"/>
          <w:sz w:val="20"/>
        </w:rPr>
        <w:t>Palm Hills Developments builds and sells residential and commercial property in Egypt, principally in West Cairo, East Cairo, and the North Coast and Alexandria. It has been listed on the Egyptian Exchange since 2008. Units are sold off plan and paid for in instalments over several years, so the company collects cash long before, and long after, it recognises the sale.</w:t>
      </w:r>
    </w:p>
    <w:p>
      <w:pPr>
        <w:spacing w:after="140"/>
      </w:pPr>
      <w:r>
        <w:rPr>
          <w:b w:val="0"/>
          <w:i w:val="0"/>
          <w:color w:val="1A1D21"/>
          <w:sz w:val="20"/>
        </w:rPr>
        <w:t>Two things follow from that model and they shape everything in this study. First, revenue is recognised as construction completes rather than when a contract is signed, so the order book and the income statement move on different clocks. Second, the balance sheet carries a very large receivable book — EGP 103.5bn at the end of 2025 — against customer advances of EGP 69.4bn.</w:t>
      </w:r>
    </w:p>
    <w:tbl>
      <w:tblPr>
        <w:tblStyle w:val="TableGrid"/>
        <w:tblW w:type="auto" w:w="0"/>
        <w:jc w:val="center"/>
        <w:tblLayout w:type="fixed"/>
        <w:tblLook w:firstColumn="1" w:firstRow="1" w:lastColumn="0" w:lastRow="0" w:noHBand="0" w:noVBand="1" w:val="04A0"/>
        <w:tblLayout w:type="fixed"/>
      </w:tblPr>
      <w:tblGrid>
        <w:gridCol w:w="7258"/>
        <w:gridCol w:w="964"/>
        <w:gridCol w:w="964"/>
      </w:tblGrid>
      <w:tr>
        <w:trPr>
          <w:tblHeader w:val="true"/>
        </w:trPr>
        <w:tc>
          <w:tcPr>
            <w:tcW w:type="dxa" w:w="7257"/>
          </w:tcPr>
          <w:p>
            <w:r/>
            <w:r>
              <w:rPr>
                <w:b/>
                <w:color w:val="5B6570"/>
                <w:sz w:val="17"/>
              </w:rPr>
            </w:r>
          </w:p>
        </w:tc>
        <w:tc>
          <w:tcPr>
            <w:tcW w:type="dxa" w:w="964"/>
          </w:tcPr>
          <w:p>
            <w:r/>
            <w:r>
              <w:rPr>
                <w:b/>
                <w:color w:val="5B6570"/>
                <w:sz w:val="17"/>
              </w:rPr>
              <w:t>2025</w:t>
            </w:r>
          </w:p>
        </w:tc>
        <w:tc>
          <w:tcPr>
            <w:tcW w:type="dxa" w:w="964"/>
          </w:tcPr>
          <w:p>
            <w:r/>
            <w:r>
              <w:rPr>
                <w:b/>
                <w:color w:val="5B6570"/>
                <w:sz w:val="17"/>
              </w:rPr>
              <w:t>2024</w:t>
            </w:r>
          </w:p>
        </w:tc>
      </w:tr>
      <w:tr>
        <w:trPr>
          <w:cantSplit/>
        </w:trPr>
        <w:tc>
          <w:tcPr>
            <w:tcW w:type="dxa" w:w="7257"/>
          </w:tcPr>
          <w:p>
            <w:r/>
            <w:r>
              <w:rPr>
                <w:color w:val="1A1D21"/>
                <w:sz w:val="17"/>
              </w:rPr>
              <w:t>Revenue (EGP mn)</w:t>
            </w:r>
          </w:p>
        </w:tc>
        <w:tc>
          <w:tcPr>
            <w:tcW w:type="dxa" w:w="964"/>
          </w:tcPr>
          <w:p>
            <w:pPr>
              <w:jc w:val="right"/>
            </w:pPr>
            <w:r/>
            <w:r>
              <w:rPr>
                <w:color w:val="1A1D21"/>
                <w:sz w:val="17"/>
              </w:rPr>
              <w:t>36,169</w:t>
            </w:r>
          </w:p>
        </w:tc>
        <w:tc>
          <w:tcPr>
            <w:tcW w:type="dxa" w:w="964"/>
          </w:tcPr>
          <w:p>
            <w:pPr>
              <w:jc w:val="right"/>
            </w:pPr>
            <w:r/>
            <w:r>
              <w:rPr>
                <w:color w:val="1A1D21"/>
                <w:sz w:val="17"/>
              </w:rPr>
              <w:t>27,167</w:t>
            </w:r>
          </w:p>
        </w:tc>
      </w:tr>
      <w:tr>
        <w:trPr>
          <w:cantSplit/>
        </w:trPr>
        <w:tc>
          <w:tcPr>
            <w:tcW w:type="dxa" w:w="7257"/>
          </w:tcPr>
          <w:p>
            <w:r/>
            <w:r>
              <w:rPr>
                <w:color w:val="1A1D21"/>
                <w:sz w:val="17"/>
              </w:rPr>
              <w:t>Gross profit (EGP mn)</w:t>
            </w:r>
          </w:p>
        </w:tc>
        <w:tc>
          <w:tcPr>
            <w:tcW w:type="dxa" w:w="964"/>
          </w:tcPr>
          <w:p>
            <w:pPr>
              <w:jc w:val="right"/>
            </w:pPr>
            <w:r/>
            <w:r>
              <w:rPr>
                <w:color w:val="1A1D21"/>
                <w:sz w:val="17"/>
              </w:rPr>
              <w:t>14,888</w:t>
            </w:r>
          </w:p>
        </w:tc>
        <w:tc>
          <w:tcPr>
            <w:tcW w:type="dxa" w:w="964"/>
          </w:tcPr>
          <w:p>
            <w:pPr>
              <w:jc w:val="right"/>
            </w:pPr>
            <w:r/>
            <w:r>
              <w:rPr>
                <w:color w:val="1A1D21"/>
                <w:sz w:val="17"/>
              </w:rPr>
              <w:t>9,330</w:t>
            </w:r>
          </w:p>
        </w:tc>
      </w:tr>
      <w:tr>
        <w:trPr>
          <w:cantSplit/>
        </w:trPr>
        <w:tc>
          <w:tcPr>
            <w:tcW w:type="dxa" w:w="7257"/>
          </w:tcPr>
          <w:p>
            <w:r/>
            <w:r>
              <w:rPr>
                <w:color w:val="1A1D21"/>
                <w:sz w:val="17"/>
              </w:rPr>
              <w:t>Gross margin</w:t>
            </w:r>
          </w:p>
        </w:tc>
        <w:tc>
          <w:tcPr>
            <w:tcW w:type="dxa" w:w="964"/>
          </w:tcPr>
          <w:p>
            <w:pPr>
              <w:jc w:val="right"/>
            </w:pPr>
            <w:r/>
            <w:r>
              <w:rPr>
                <w:color w:val="1A1D21"/>
                <w:sz w:val="17"/>
              </w:rPr>
              <w:t>41.2%</w:t>
            </w:r>
          </w:p>
        </w:tc>
        <w:tc>
          <w:tcPr>
            <w:tcW w:type="dxa" w:w="964"/>
          </w:tcPr>
          <w:p>
            <w:pPr>
              <w:jc w:val="right"/>
            </w:pPr>
            <w:r/>
            <w:r>
              <w:rPr>
                <w:color w:val="1A1D21"/>
                <w:sz w:val="17"/>
              </w:rPr>
              <w:t>34.3%</w:t>
            </w:r>
          </w:p>
        </w:tc>
      </w:tr>
      <w:tr>
        <w:trPr>
          <w:cantSplit/>
        </w:trPr>
        <w:tc>
          <w:tcPr>
            <w:tcW w:type="dxa" w:w="7257"/>
          </w:tcPr>
          <w:p>
            <w:r/>
            <w:r>
              <w:rPr>
                <w:color w:val="1A1D21"/>
                <w:sz w:val="17"/>
              </w:rPr>
              <w:t>Profit after tax and minority (EGP mn)</w:t>
            </w:r>
          </w:p>
        </w:tc>
        <w:tc>
          <w:tcPr>
            <w:tcW w:type="dxa" w:w="964"/>
          </w:tcPr>
          <w:p>
            <w:pPr>
              <w:jc w:val="right"/>
            </w:pPr>
            <w:r/>
            <w:r>
              <w:rPr>
                <w:color w:val="1A1D21"/>
                <w:sz w:val="17"/>
              </w:rPr>
              <w:t>4,217</w:t>
            </w:r>
          </w:p>
        </w:tc>
        <w:tc>
          <w:tcPr>
            <w:tcW w:type="dxa" w:w="964"/>
          </w:tcPr>
          <w:p>
            <w:pPr>
              <w:jc w:val="right"/>
            </w:pPr>
            <w:r/>
            <w:r>
              <w:rPr>
                <w:color w:val="1A1D21"/>
                <w:sz w:val="17"/>
              </w:rPr>
              <w:t>3,255</w:t>
            </w:r>
          </w:p>
        </w:tc>
      </w:tr>
      <w:tr>
        <w:trPr>
          <w:cantSplit/>
        </w:trPr>
        <w:tc>
          <w:tcPr>
            <w:tcW w:type="dxa" w:w="7257"/>
          </w:tcPr>
          <w:p>
            <w:r/>
            <w:r>
              <w:rPr>
                <w:color w:val="1A1D21"/>
                <w:sz w:val="17"/>
              </w:rPr>
              <w:t>Cash from operations (EGP mn)</w:t>
            </w:r>
          </w:p>
        </w:tc>
        <w:tc>
          <w:tcPr>
            <w:tcW w:type="dxa" w:w="964"/>
          </w:tcPr>
          <w:p>
            <w:pPr>
              <w:jc w:val="right"/>
            </w:pPr>
            <w:r/>
            <w:r>
              <w:rPr>
                <w:color w:val="1A1D21"/>
                <w:sz w:val="17"/>
              </w:rPr>
              <w:t>1,424</w:t>
            </w:r>
          </w:p>
        </w:tc>
        <w:tc>
          <w:tcPr>
            <w:tcW w:type="dxa" w:w="964"/>
          </w:tcPr>
          <w:p>
            <w:pPr>
              <w:jc w:val="right"/>
            </w:pPr>
            <w:r/>
            <w:r>
              <w:rPr>
                <w:color w:val="1A1D21"/>
                <w:sz w:val="17"/>
              </w:rPr>
              <w:t>4,855</w:t>
            </w:r>
          </w:p>
        </w:tc>
      </w:tr>
      <w:tr>
        <w:trPr>
          <w:cantSplit/>
        </w:trPr>
        <w:tc>
          <w:tcPr>
            <w:tcW w:type="dxa" w:w="7257"/>
          </w:tcPr>
          <w:p>
            <w:r/>
            <w:r>
              <w:rPr>
                <w:color w:val="1A1D21"/>
                <w:sz w:val="17"/>
              </w:rPr>
              <w:t>Order book (EGP mn)</w:t>
            </w:r>
          </w:p>
        </w:tc>
        <w:tc>
          <w:tcPr>
            <w:tcW w:type="dxa" w:w="964"/>
          </w:tcPr>
          <w:p>
            <w:r/>
            <w:r>
              <w:rPr>
                <w:color w:val="1A1D21"/>
                <w:sz w:val="17"/>
              </w:rPr>
              <w:t>263,000 (at 31 Mar 2026)</w:t>
            </w:r>
          </w:p>
        </w:tc>
        <w:tc>
          <w:tcPr>
            <w:tcW w:type="dxa" w:w="964"/>
          </w:tcPr>
          <w:p>
            <w:pPr>
              <w:jc w:val="right"/>
            </w:pPr>
            <w:r/>
            <w:r>
              <w:rPr>
                <w:color w:val="1A1D21"/>
                <w:sz w:val="17"/>
              </w:rPr>
              <w:t>147,000</w:t>
            </w:r>
          </w:p>
        </w:tc>
      </w:tr>
      <w:tr>
        <w:trPr>
          <w:cantSplit/>
        </w:trPr>
        <w:tc>
          <w:tcPr>
            <w:tcW w:type="dxa" w:w="7257"/>
          </w:tcPr>
          <w:p>
            <w:r/>
            <w:r>
              <w:rPr>
                <w:color w:val="1A1D21"/>
                <w:sz w:val="17"/>
              </w:rPr>
              <w:t>Total assets (EGP mn)</w:t>
            </w:r>
          </w:p>
        </w:tc>
        <w:tc>
          <w:tcPr>
            <w:tcW w:type="dxa" w:w="964"/>
          </w:tcPr>
          <w:p>
            <w:pPr>
              <w:jc w:val="right"/>
            </w:pPr>
            <w:r/>
            <w:r>
              <w:rPr>
                <w:color w:val="1A1D21"/>
                <w:sz w:val="17"/>
              </w:rPr>
              <w:t>172,130</w:t>
            </w:r>
          </w:p>
        </w:tc>
        <w:tc>
          <w:tcPr>
            <w:tcW w:type="dxa" w:w="964"/>
          </w:tcPr>
          <w:p>
            <w:pPr>
              <w:jc w:val="right"/>
            </w:pPr>
            <w:r/>
            <w:r>
              <w:rPr>
                <w:color w:val="1A1D21"/>
                <w:sz w:val="17"/>
              </w:rPr>
              <w:t>123,437</w:t>
            </w:r>
          </w:p>
        </w:tc>
      </w:tr>
      <w:tr>
        <w:trPr>
          <w:cantSplit/>
        </w:trPr>
        <w:tc>
          <w:tcPr>
            <w:tcW w:type="dxa" w:w="7257"/>
          </w:tcPr>
          <w:p>
            <w:r/>
            <w:r>
              <w:rPr>
                <w:color w:val="1A1D21"/>
                <w:sz w:val="17"/>
              </w:rPr>
              <w:t>Shareholders' funds (EGP mn)</w:t>
            </w:r>
          </w:p>
        </w:tc>
        <w:tc>
          <w:tcPr>
            <w:tcW w:type="dxa" w:w="964"/>
          </w:tcPr>
          <w:p>
            <w:pPr>
              <w:jc w:val="right"/>
            </w:pPr>
            <w:r/>
            <w:r>
              <w:rPr>
                <w:color w:val="1A1D21"/>
                <w:sz w:val="17"/>
              </w:rPr>
              <w:t>18,766</w:t>
            </w:r>
          </w:p>
        </w:tc>
        <w:tc>
          <w:tcPr>
            <w:tcW w:type="dxa" w:w="964"/>
          </w:tcPr>
          <w:p>
            <w:pPr>
              <w:jc w:val="right"/>
            </w:pPr>
            <w:r/>
            <w:r>
              <w:rPr>
                <w:color w:val="1A1D21"/>
                <w:sz w:val="17"/>
              </w:rPr>
              <w:t>14,625</w:t>
            </w:r>
          </w:p>
        </w:tc>
      </w:tr>
    </w:tbl>
    <w:p>
      <w:pPr>
        <w:spacing w:after="200"/>
      </w:pPr>
      <w:r>
        <w:rPr>
          <w:b w:val="0"/>
          <w:i/>
          <w:color w:val="5B6570"/>
          <w:sz w:val="16"/>
        </w:rPr>
        <w:t>Source: the company's audited consolidated financial statements and its own results releases.</w:t>
      </w:r>
    </w:p>
    <w:p>
      <w:pPr>
        <w:pStyle w:val="Heading1"/>
      </w:pPr>
      <w:r>
        <w:t>1  Fundamental valuation</w:t>
      </w:r>
    </w:p>
    <w:p>
      <w:pPr>
        <w:pStyle w:val="Heading2"/>
      </w:pPr>
      <w:r>
        <w:t>1.1  The cash-flow model</w:t>
      </w:r>
    </w:p>
    <w:p>
      <w:pPr>
        <w:spacing w:after="140"/>
      </w:pPr>
      <w:r>
        <w:rPr>
          <w:b w:val="0"/>
          <w:i w:val="0"/>
          <w:color w:val="1A1D21"/>
          <w:sz w:val="20"/>
        </w:rPr>
        <w:t>The model runs 15 years from the audited 2025 base and then a terminal value. Revenue is limited by how much the company can build and hand over, not by how much it has sold: the order book is EGP 263bn against 2025 revenue of EGP 36.2bn, so sales are not the binding constraint and have not been for some years. Revenue is therefore units handed over times the revenue each one carries — 2,042 units in 2026, growing 15 per cent a year on the company's own disclosed run of handovers, at EGP 19.73 million a unit escalating with inflation. Nothing here is a ratio applied to last year's revenue.</w:t>
      </w:r>
    </w:p>
    <w:p>
      <w:pPr>
        <w:spacing w:after="140"/>
      </w:pPr>
      <w:r>
        <w:rPr>
          <w:b w:val="0"/>
          <w:i w:val="0"/>
          <w:color w:val="1A1D21"/>
          <w:sz w:val="20"/>
        </w:rPr>
        <w:t>Cost is recognised on the same completion schedule as revenue. That sounds obvious and it is the single most important correction in this edition. Since January 2016 the company has recognised revenue on standalone units as construction progresses; a model that accrues revenue that way but accrues cost on handover has the two legs on different clocks, and it systematically overstates profit.</w:t>
      </w:r>
    </w:p>
    <w:p>
      <w:pPr>
        <w:spacing w:after="140"/>
      </w:pPr>
      <w:r>
        <w:rPr>
          <w:b w:val="0"/>
          <w:i w:val="0"/>
          <w:color w:val="1A1D21"/>
          <w:sz w:val="20"/>
        </w:rPr>
        <w:t>Gross margin is an INPUT here, and it is the one place in this forecast where a margin is held rather than derived. The reason is the disclosure: the company last published a delivered-unit count for FY2024, so every later count in this model is implied from revenue divided by price per unit — and cost per unit is then price per unit times one minus the margin however it is written. There is no independent cost per unit to build. What is actually decided here is WHICH disclosed margin anchors it, and section A.1 says which and why.</w:t>
      </w:r>
    </w:p>
    <w:tbl>
      <w:tblPr>
        <w:tblStyle w:val="TableGrid"/>
        <w:tblW w:type="auto" w:w="0"/>
        <w:jc w:val="center"/>
        <w:tblLayout w:type="fixed"/>
        <w:tblLook w:firstColumn="1" w:firstRow="1" w:lastColumn="0" w:lastRow="0" w:noHBand="0" w:noVBand="1" w:val="04A0"/>
        <w:tblLayout w:type="fixed"/>
      </w:tblPr>
      <w:tblGrid>
        <w:gridCol w:w="1605"/>
        <w:gridCol w:w="1083"/>
        <w:gridCol w:w="1083"/>
        <w:gridCol w:w="1083"/>
        <w:gridCol w:w="1083"/>
        <w:gridCol w:w="1083"/>
        <w:gridCol w:w="1083"/>
        <w:gridCol w:w="1083"/>
      </w:tblGrid>
      <w:tr>
        <w:trPr>
          <w:tblHeader w:val="true"/>
        </w:trPr>
        <w:tc>
          <w:tcPr>
            <w:tcW w:type="dxa" w:w="1604"/>
          </w:tcPr>
          <w:p>
            <w:r/>
            <w:r>
              <w:rPr>
                <w:b/>
                <w:color w:val="5B6570"/>
                <w:sz w:val="16"/>
              </w:rPr>
              <w:t>EGP mn unless stated</w:t>
            </w:r>
          </w:p>
        </w:tc>
        <w:tc>
          <w:tcPr>
            <w:tcW w:type="dxa" w:w="1083"/>
          </w:tcPr>
          <w:p>
            <w:r/>
            <w:r>
              <w:rPr>
                <w:b/>
                <w:color w:val="5B6570"/>
                <w:sz w:val="16"/>
              </w:rPr>
              <w:t>2026</w:t>
            </w:r>
          </w:p>
        </w:tc>
        <w:tc>
          <w:tcPr>
            <w:tcW w:type="dxa" w:w="1083"/>
          </w:tcPr>
          <w:p>
            <w:r/>
            <w:r>
              <w:rPr>
                <w:b/>
                <w:color w:val="5B6570"/>
                <w:sz w:val="16"/>
              </w:rPr>
              <w:t>2027</w:t>
            </w:r>
          </w:p>
        </w:tc>
        <w:tc>
          <w:tcPr>
            <w:tcW w:type="dxa" w:w="1083"/>
          </w:tcPr>
          <w:p>
            <w:r/>
            <w:r>
              <w:rPr>
                <w:b/>
                <w:color w:val="5B6570"/>
                <w:sz w:val="16"/>
              </w:rPr>
              <w:t>2028</w:t>
            </w:r>
          </w:p>
        </w:tc>
        <w:tc>
          <w:tcPr>
            <w:tcW w:type="dxa" w:w="1083"/>
          </w:tcPr>
          <w:p>
            <w:r/>
            <w:r>
              <w:rPr>
                <w:b/>
                <w:color w:val="5B6570"/>
                <w:sz w:val="16"/>
              </w:rPr>
              <w:t>2029</w:t>
            </w:r>
          </w:p>
        </w:tc>
        <w:tc>
          <w:tcPr>
            <w:tcW w:type="dxa" w:w="1083"/>
          </w:tcPr>
          <w:p>
            <w:r/>
            <w:r>
              <w:rPr>
                <w:b/>
                <w:color w:val="5B6570"/>
                <w:sz w:val="16"/>
              </w:rPr>
              <w:t>2030</w:t>
            </w:r>
          </w:p>
        </w:tc>
        <w:tc>
          <w:tcPr>
            <w:tcW w:type="dxa" w:w="1083"/>
          </w:tcPr>
          <w:p>
            <w:r/>
            <w:r>
              <w:rPr>
                <w:b/>
                <w:color w:val="5B6570"/>
                <w:sz w:val="16"/>
              </w:rPr>
              <w:t>2035</w:t>
            </w:r>
          </w:p>
        </w:tc>
        <w:tc>
          <w:tcPr>
            <w:tcW w:type="dxa" w:w="1083"/>
          </w:tcPr>
          <w:p>
            <w:r/>
            <w:r>
              <w:rPr>
                <w:b/>
                <w:color w:val="5B6570"/>
                <w:sz w:val="16"/>
              </w:rPr>
              <w:t>2040</w:t>
            </w:r>
          </w:p>
        </w:tc>
      </w:tr>
      <w:tr>
        <w:trPr>
          <w:cantSplit/>
        </w:trPr>
        <w:tc>
          <w:tcPr>
            <w:tcW w:type="dxa" w:w="1604"/>
          </w:tcPr>
          <w:p>
            <w:r/>
            <w:r>
              <w:rPr>
                <w:color w:val="1A1D21"/>
                <w:sz w:val="16"/>
              </w:rPr>
              <w:t>Units sold</w:t>
            </w:r>
          </w:p>
        </w:tc>
        <w:tc>
          <w:tcPr>
            <w:tcW w:type="dxa" w:w="1083"/>
          </w:tcPr>
          <w:p>
            <w:pPr>
              <w:jc w:val="right"/>
            </w:pPr>
            <w:r/>
            <w:r>
              <w:rPr>
                <w:color w:val="1A1D21"/>
                <w:sz w:val="16"/>
              </w:rPr>
              <w:t>5,633</w:t>
            </w:r>
          </w:p>
        </w:tc>
        <w:tc>
          <w:tcPr>
            <w:tcW w:type="dxa" w:w="1083"/>
          </w:tcPr>
          <w:p>
            <w:pPr>
              <w:jc w:val="right"/>
            </w:pPr>
            <w:r/>
            <w:r>
              <w:rPr>
                <w:color w:val="1A1D21"/>
                <w:sz w:val="16"/>
              </w:rPr>
              <w:t>5,633</w:t>
            </w:r>
          </w:p>
        </w:tc>
        <w:tc>
          <w:tcPr>
            <w:tcW w:type="dxa" w:w="1083"/>
          </w:tcPr>
          <w:p>
            <w:pPr>
              <w:jc w:val="right"/>
            </w:pPr>
            <w:r/>
            <w:r>
              <w:rPr>
                <w:color w:val="1A1D21"/>
                <w:sz w:val="16"/>
              </w:rPr>
              <w:t>5,633</w:t>
            </w:r>
          </w:p>
        </w:tc>
        <w:tc>
          <w:tcPr>
            <w:tcW w:type="dxa" w:w="1083"/>
          </w:tcPr>
          <w:p>
            <w:pPr>
              <w:jc w:val="right"/>
            </w:pPr>
            <w:r/>
            <w:r>
              <w:rPr>
                <w:color w:val="1A1D21"/>
                <w:sz w:val="16"/>
              </w:rPr>
              <w:t>5,633</w:t>
            </w:r>
          </w:p>
        </w:tc>
        <w:tc>
          <w:tcPr>
            <w:tcW w:type="dxa" w:w="1083"/>
          </w:tcPr>
          <w:p>
            <w:pPr>
              <w:jc w:val="right"/>
            </w:pPr>
            <w:r/>
            <w:r>
              <w:rPr>
                <w:color w:val="1A1D21"/>
                <w:sz w:val="16"/>
              </w:rPr>
              <w:t>5,633</w:t>
            </w:r>
          </w:p>
        </w:tc>
        <w:tc>
          <w:tcPr>
            <w:tcW w:type="dxa" w:w="1083"/>
          </w:tcPr>
          <w:p>
            <w:pPr>
              <w:jc w:val="right"/>
            </w:pPr>
            <w:r/>
            <w:r>
              <w:rPr>
                <w:color w:val="1A1D21"/>
                <w:sz w:val="16"/>
              </w:rPr>
              <w:t>5,633</w:t>
            </w:r>
          </w:p>
        </w:tc>
        <w:tc>
          <w:tcPr>
            <w:tcW w:type="dxa" w:w="1083"/>
          </w:tcPr>
          <w:p>
            <w:pPr>
              <w:jc w:val="right"/>
            </w:pPr>
            <w:r/>
            <w:r>
              <w:rPr>
                <w:color w:val="1A1D21"/>
                <w:sz w:val="16"/>
              </w:rPr>
              <w:t>5,633</w:t>
            </w:r>
          </w:p>
        </w:tc>
      </w:tr>
      <w:tr>
        <w:trPr>
          <w:cantSplit/>
        </w:trPr>
        <w:tc>
          <w:tcPr>
            <w:tcW w:type="dxa" w:w="1604"/>
          </w:tcPr>
          <w:p>
            <w:r/>
            <w:r>
              <w:rPr>
                <w:color w:val="1A1D21"/>
                <w:sz w:val="16"/>
              </w:rPr>
              <w:t>New sales (EGP mn)</w:t>
            </w:r>
          </w:p>
        </w:tc>
        <w:tc>
          <w:tcPr>
            <w:tcW w:type="dxa" w:w="1083"/>
          </w:tcPr>
          <w:p>
            <w:pPr>
              <w:jc w:val="right"/>
            </w:pPr>
            <w:r/>
            <w:r>
              <w:rPr>
                <w:color w:val="1A1D21"/>
                <w:sz w:val="16"/>
              </w:rPr>
              <w:t>129,712</w:t>
            </w:r>
          </w:p>
        </w:tc>
        <w:tc>
          <w:tcPr>
            <w:tcW w:type="dxa" w:w="1083"/>
          </w:tcPr>
          <w:p>
            <w:pPr>
              <w:jc w:val="right"/>
            </w:pPr>
            <w:r/>
            <w:r>
              <w:rPr>
                <w:color w:val="1A1D21"/>
                <w:sz w:val="16"/>
              </w:rPr>
              <w:t>145,277</w:t>
            </w:r>
          </w:p>
        </w:tc>
        <w:tc>
          <w:tcPr>
            <w:tcW w:type="dxa" w:w="1083"/>
          </w:tcPr>
          <w:p>
            <w:pPr>
              <w:jc w:val="right"/>
            </w:pPr>
            <w:r/>
            <w:r>
              <w:rPr>
                <w:color w:val="1A1D21"/>
                <w:sz w:val="16"/>
              </w:rPr>
              <w:t>158,352</w:t>
            </w:r>
          </w:p>
        </w:tc>
        <w:tc>
          <w:tcPr>
            <w:tcW w:type="dxa" w:w="1083"/>
          </w:tcPr>
          <w:p>
            <w:pPr>
              <w:jc w:val="right"/>
            </w:pPr>
            <w:r/>
            <w:r>
              <w:rPr>
                <w:color w:val="1A1D21"/>
                <w:sz w:val="16"/>
              </w:rPr>
              <w:t>170,229</w:t>
            </w:r>
          </w:p>
        </w:tc>
        <w:tc>
          <w:tcPr>
            <w:tcW w:type="dxa" w:w="1083"/>
          </w:tcPr>
          <w:p>
            <w:pPr>
              <w:jc w:val="right"/>
            </w:pPr>
            <w:r/>
            <w:r>
              <w:rPr>
                <w:color w:val="1A1D21"/>
                <w:sz w:val="16"/>
              </w:rPr>
              <w:t>182,145</w:t>
            </w:r>
          </w:p>
        </w:tc>
        <w:tc>
          <w:tcPr>
            <w:tcW w:type="dxa" w:w="1083"/>
          </w:tcPr>
          <w:p>
            <w:pPr>
              <w:jc w:val="right"/>
            </w:pPr>
            <w:r/>
            <w:r>
              <w:rPr>
                <w:color w:val="1A1D21"/>
                <w:sz w:val="16"/>
              </w:rPr>
              <w:t>255,468</w:t>
            </w:r>
          </w:p>
        </w:tc>
        <w:tc>
          <w:tcPr>
            <w:tcW w:type="dxa" w:w="1083"/>
          </w:tcPr>
          <w:p>
            <w:pPr>
              <w:jc w:val="right"/>
            </w:pPr>
            <w:r/>
            <w:r>
              <w:rPr>
                <w:color w:val="1A1D21"/>
                <w:sz w:val="16"/>
              </w:rPr>
              <w:t>358,306</w:t>
            </w:r>
          </w:p>
        </w:tc>
      </w:tr>
      <w:tr>
        <w:trPr>
          <w:cantSplit/>
        </w:trPr>
        <w:tc>
          <w:tcPr>
            <w:tcW w:type="dxa" w:w="1604"/>
          </w:tcPr>
          <w:p>
            <w:r/>
            <w:r>
              <w:rPr>
                <w:color w:val="1A1D21"/>
                <w:sz w:val="16"/>
              </w:rPr>
              <w:t>Units delivered</w:t>
            </w:r>
          </w:p>
        </w:tc>
        <w:tc>
          <w:tcPr>
            <w:tcW w:type="dxa" w:w="1083"/>
          </w:tcPr>
          <w:p>
            <w:pPr>
              <w:jc w:val="right"/>
            </w:pPr>
            <w:r/>
            <w:r>
              <w:rPr>
                <w:color w:val="1A1D21"/>
                <w:sz w:val="16"/>
              </w:rPr>
              <w:t>2,042</w:t>
            </w:r>
          </w:p>
        </w:tc>
        <w:tc>
          <w:tcPr>
            <w:tcW w:type="dxa" w:w="1083"/>
          </w:tcPr>
          <w:p>
            <w:pPr>
              <w:jc w:val="right"/>
            </w:pPr>
            <w:r/>
            <w:r>
              <w:rPr>
                <w:color w:val="1A1D21"/>
                <w:sz w:val="16"/>
              </w:rPr>
              <w:t>2,348</w:t>
            </w:r>
          </w:p>
        </w:tc>
        <w:tc>
          <w:tcPr>
            <w:tcW w:type="dxa" w:w="1083"/>
          </w:tcPr>
          <w:p>
            <w:pPr>
              <w:jc w:val="right"/>
            </w:pPr>
            <w:r/>
            <w:r>
              <w:rPr>
                <w:color w:val="1A1D21"/>
                <w:sz w:val="16"/>
              </w:rPr>
              <w:t>2,665</w:t>
            </w:r>
          </w:p>
        </w:tc>
        <w:tc>
          <w:tcPr>
            <w:tcW w:type="dxa" w:w="1083"/>
          </w:tcPr>
          <w:p>
            <w:pPr>
              <w:jc w:val="right"/>
            </w:pPr>
            <w:r/>
            <w:r>
              <w:rPr>
                <w:color w:val="1A1D21"/>
                <w:sz w:val="16"/>
              </w:rPr>
              <w:t>2,985</w:t>
            </w:r>
          </w:p>
        </w:tc>
        <w:tc>
          <w:tcPr>
            <w:tcW w:type="dxa" w:w="1083"/>
          </w:tcPr>
          <w:p>
            <w:pPr>
              <w:jc w:val="right"/>
            </w:pPr>
            <w:r/>
            <w:r>
              <w:rPr>
                <w:color w:val="1A1D21"/>
                <w:sz w:val="16"/>
              </w:rPr>
              <w:t>3,298</w:t>
            </w:r>
          </w:p>
        </w:tc>
        <w:tc>
          <w:tcPr>
            <w:tcW w:type="dxa" w:w="1083"/>
          </w:tcPr>
          <w:p>
            <w:pPr>
              <w:jc w:val="right"/>
            </w:pPr>
            <w:r/>
            <w:r>
              <w:rPr>
                <w:color w:val="1A1D21"/>
                <w:sz w:val="16"/>
              </w:rPr>
              <w:t>4,409</w:t>
            </w:r>
          </w:p>
        </w:tc>
        <w:tc>
          <w:tcPr>
            <w:tcW w:type="dxa" w:w="1083"/>
          </w:tcPr>
          <w:p>
            <w:pPr>
              <w:jc w:val="right"/>
            </w:pPr>
            <w:r/>
            <w:r>
              <w:rPr>
                <w:color w:val="1A1D21"/>
                <w:sz w:val="16"/>
              </w:rPr>
              <w:t>4,475</w:t>
            </w:r>
          </w:p>
        </w:tc>
      </w:tr>
      <w:tr>
        <w:trPr>
          <w:cantSplit/>
        </w:trPr>
        <w:tc>
          <w:tcPr>
            <w:tcW w:type="dxa" w:w="1604"/>
          </w:tcPr>
          <w:p>
            <w:r/>
            <w:r>
              <w:rPr>
                <w:color w:val="1A1D21"/>
                <w:sz w:val="16"/>
              </w:rPr>
              <w:t>Revenue per delivered unit (EGP mn)</w:t>
            </w:r>
          </w:p>
        </w:tc>
        <w:tc>
          <w:tcPr>
            <w:tcW w:type="dxa" w:w="1083"/>
          </w:tcPr>
          <w:p>
            <w:pPr>
              <w:jc w:val="right"/>
            </w:pPr>
            <w:r/>
            <w:r>
              <w:rPr>
                <w:color w:val="1A1D21"/>
                <w:sz w:val="16"/>
              </w:rPr>
              <w:t>19.73</w:t>
            </w:r>
          </w:p>
        </w:tc>
        <w:tc>
          <w:tcPr>
            <w:tcW w:type="dxa" w:w="1083"/>
          </w:tcPr>
          <w:p>
            <w:pPr>
              <w:jc w:val="right"/>
            </w:pPr>
            <w:r/>
            <w:r>
              <w:rPr>
                <w:color w:val="1A1D21"/>
                <w:sz w:val="16"/>
              </w:rPr>
              <w:t>22.10</w:t>
            </w:r>
          </w:p>
        </w:tc>
        <w:tc>
          <w:tcPr>
            <w:tcW w:type="dxa" w:w="1083"/>
          </w:tcPr>
          <w:p>
            <w:pPr>
              <w:jc w:val="right"/>
            </w:pPr>
            <w:r/>
            <w:r>
              <w:rPr>
                <w:color w:val="1A1D21"/>
                <w:sz w:val="16"/>
              </w:rPr>
              <w:t>24.08</w:t>
            </w:r>
          </w:p>
        </w:tc>
        <w:tc>
          <w:tcPr>
            <w:tcW w:type="dxa" w:w="1083"/>
          </w:tcPr>
          <w:p>
            <w:pPr>
              <w:jc w:val="right"/>
            </w:pPr>
            <w:r/>
            <w:r>
              <w:rPr>
                <w:color w:val="1A1D21"/>
                <w:sz w:val="16"/>
              </w:rPr>
              <w:t>25.89</w:t>
            </w:r>
          </w:p>
        </w:tc>
        <w:tc>
          <w:tcPr>
            <w:tcW w:type="dxa" w:w="1083"/>
          </w:tcPr>
          <w:p>
            <w:pPr>
              <w:jc w:val="right"/>
            </w:pPr>
            <w:r/>
            <w:r>
              <w:rPr>
                <w:color w:val="1A1D21"/>
                <w:sz w:val="16"/>
              </w:rPr>
              <w:t>27.70</w:t>
            </w:r>
          </w:p>
        </w:tc>
        <w:tc>
          <w:tcPr>
            <w:tcW w:type="dxa" w:w="1083"/>
          </w:tcPr>
          <w:p>
            <w:pPr>
              <w:jc w:val="right"/>
            </w:pPr>
            <w:r/>
            <w:r>
              <w:rPr>
                <w:color w:val="1A1D21"/>
                <w:sz w:val="16"/>
              </w:rPr>
              <w:t>38.85</w:t>
            </w:r>
          </w:p>
        </w:tc>
        <w:tc>
          <w:tcPr>
            <w:tcW w:type="dxa" w:w="1083"/>
          </w:tcPr>
          <w:p>
            <w:pPr>
              <w:jc w:val="right"/>
            </w:pPr>
            <w:r/>
            <w:r>
              <w:rPr>
                <w:color w:val="1A1D21"/>
                <w:sz w:val="16"/>
              </w:rPr>
              <w:t>54.49</w:t>
            </w:r>
          </w:p>
        </w:tc>
      </w:tr>
      <w:tr>
        <w:trPr>
          <w:cantSplit/>
        </w:trPr>
        <w:tc>
          <w:tcPr>
            <w:tcW w:type="dxa" w:w="1604"/>
          </w:tcPr>
          <w:p>
            <w:r/>
            <w:r>
              <w:rPr>
                <w:color w:val="1A1D21"/>
                <w:sz w:val="16"/>
              </w:rPr>
              <w:t>Revenue</w:t>
            </w:r>
          </w:p>
        </w:tc>
        <w:tc>
          <w:tcPr>
            <w:tcW w:type="dxa" w:w="1083"/>
          </w:tcPr>
          <w:p>
            <w:pPr>
              <w:jc w:val="right"/>
            </w:pPr>
            <w:r/>
            <w:r>
              <w:rPr>
                <w:color w:val="1A1D21"/>
                <w:sz w:val="16"/>
              </w:rPr>
              <w:t>40,279</w:t>
            </w:r>
          </w:p>
        </w:tc>
        <w:tc>
          <w:tcPr>
            <w:tcW w:type="dxa" w:w="1083"/>
          </w:tcPr>
          <w:p>
            <w:pPr>
              <w:jc w:val="right"/>
            </w:pPr>
            <w:r/>
            <w:r>
              <w:rPr>
                <w:color w:val="1A1D21"/>
                <w:sz w:val="16"/>
              </w:rPr>
              <w:t>51,879</w:t>
            </w:r>
          </w:p>
        </w:tc>
        <w:tc>
          <w:tcPr>
            <w:tcW w:type="dxa" w:w="1083"/>
          </w:tcPr>
          <w:p>
            <w:pPr>
              <w:jc w:val="right"/>
            </w:pPr>
            <w:r/>
            <w:r>
              <w:rPr>
                <w:color w:val="1A1D21"/>
                <w:sz w:val="16"/>
              </w:rPr>
              <w:t>64,182</w:t>
            </w:r>
          </w:p>
        </w:tc>
        <w:tc>
          <w:tcPr>
            <w:tcW w:type="dxa" w:w="1083"/>
          </w:tcPr>
          <w:p>
            <w:pPr>
              <w:jc w:val="right"/>
            </w:pPr>
            <w:r/>
            <w:r>
              <w:rPr>
                <w:color w:val="1A1D21"/>
                <w:sz w:val="16"/>
              </w:rPr>
              <w:t>77,276</w:t>
            </w:r>
          </w:p>
        </w:tc>
        <w:tc>
          <w:tcPr>
            <w:tcW w:type="dxa" w:w="1083"/>
          </w:tcPr>
          <w:p>
            <w:pPr>
              <w:jc w:val="right"/>
            </w:pPr>
            <w:r/>
            <w:r>
              <w:rPr>
                <w:color w:val="1A1D21"/>
                <w:sz w:val="16"/>
              </w:rPr>
              <w:t>91,367</w:t>
            </w:r>
          </w:p>
        </w:tc>
        <w:tc>
          <w:tcPr>
            <w:tcW w:type="dxa" w:w="1083"/>
          </w:tcPr>
          <w:p>
            <w:pPr>
              <w:jc w:val="right"/>
            </w:pPr>
            <w:r/>
            <w:r>
              <w:rPr>
                <w:color w:val="1A1D21"/>
                <w:sz w:val="16"/>
              </w:rPr>
              <w:t>171,318</w:t>
            </w:r>
          </w:p>
        </w:tc>
        <w:tc>
          <w:tcPr>
            <w:tcW w:type="dxa" w:w="1083"/>
          </w:tcPr>
          <w:p>
            <w:pPr>
              <w:jc w:val="right"/>
            </w:pPr>
            <w:r/>
            <w:r>
              <w:rPr>
                <w:color w:val="1A1D21"/>
                <w:sz w:val="16"/>
              </w:rPr>
              <w:t>243,886</w:t>
            </w:r>
          </w:p>
        </w:tc>
      </w:tr>
      <w:tr>
        <w:trPr>
          <w:cantSplit/>
        </w:trPr>
        <w:tc>
          <w:tcPr>
            <w:tcW w:type="dxa" w:w="1604"/>
          </w:tcPr>
          <w:p>
            <w:r/>
            <w:r>
              <w:rPr>
                <w:color w:val="1A1D21"/>
                <w:sz w:val="16"/>
              </w:rPr>
              <w:t>Cost per delivered unit (EGP mn)</w:t>
            </w:r>
          </w:p>
        </w:tc>
        <w:tc>
          <w:tcPr>
            <w:tcW w:type="dxa" w:w="1083"/>
          </w:tcPr>
          <w:p>
            <w:pPr>
              <w:jc w:val="right"/>
            </w:pPr>
            <w:r/>
            <w:r>
              <w:rPr>
                <w:color w:val="1A1D21"/>
                <w:sz w:val="16"/>
              </w:rPr>
              <w:t>12.74</w:t>
            </w:r>
          </w:p>
        </w:tc>
        <w:tc>
          <w:tcPr>
            <w:tcW w:type="dxa" w:w="1083"/>
          </w:tcPr>
          <w:p>
            <w:pPr>
              <w:jc w:val="right"/>
            </w:pPr>
            <w:r/>
            <w:r>
              <w:rPr>
                <w:color w:val="1A1D21"/>
                <w:sz w:val="16"/>
              </w:rPr>
              <w:t>14.27</w:t>
            </w:r>
          </w:p>
        </w:tc>
        <w:tc>
          <w:tcPr>
            <w:tcW w:type="dxa" w:w="1083"/>
          </w:tcPr>
          <w:p>
            <w:pPr>
              <w:jc w:val="right"/>
            </w:pPr>
            <w:r/>
            <w:r>
              <w:rPr>
                <w:color w:val="1A1D21"/>
                <w:sz w:val="16"/>
              </w:rPr>
              <w:t>15.55</w:t>
            </w:r>
          </w:p>
        </w:tc>
        <w:tc>
          <w:tcPr>
            <w:tcW w:type="dxa" w:w="1083"/>
          </w:tcPr>
          <w:p>
            <w:pPr>
              <w:jc w:val="right"/>
            </w:pPr>
            <w:r/>
            <w:r>
              <w:rPr>
                <w:color w:val="1A1D21"/>
                <w:sz w:val="16"/>
              </w:rPr>
              <w:t>16.72</w:t>
            </w:r>
          </w:p>
        </w:tc>
        <w:tc>
          <w:tcPr>
            <w:tcW w:type="dxa" w:w="1083"/>
          </w:tcPr>
          <w:p>
            <w:pPr>
              <w:jc w:val="right"/>
            </w:pPr>
            <w:r/>
            <w:r>
              <w:rPr>
                <w:color w:val="1A1D21"/>
                <w:sz w:val="16"/>
              </w:rPr>
              <w:t>17.89</w:t>
            </w:r>
          </w:p>
        </w:tc>
        <w:tc>
          <w:tcPr>
            <w:tcW w:type="dxa" w:w="1083"/>
          </w:tcPr>
          <w:p>
            <w:pPr>
              <w:jc w:val="right"/>
            </w:pPr>
            <w:r/>
            <w:r>
              <w:rPr>
                <w:color w:val="1A1D21"/>
                <w:sz w:val="16"/>
              </w:rPr>
              <w:t>25.09</w:t>
            </w:r>
          </w:p>
        </w:tc>
        <w:tc>
          <w:tcPr>
            <w:tcW w:type="dxa" w:w="1083"/>
          </w:tcPr>
          <w:p>
            <w:pPr>
              <w:jc w:val="right"/>
            </w:pPr>
            <w:r/>
            <w:r>
              <w:rPr>
                <w:color w:val="1A1D21"/>
                <w:sz w:val="16"/>
              </w:rPr>
              <w:t>35.20</w:t>
            </w:r>
          </w:p>
        </w:tc>
      </w:tr>
      <w:tr>
        <w:trPr>
          <w:cantSplit/>
        </w:trPr>
        <w:tc>
          <w:tcPr>
            <w:tcW w:type="dxa" w:w="1604"/>
          </w:tcPr>
          <w:p>
            <w:r/>
            <w:r>
              <w:rPr>
                <w:color w:val="1A1D21"/>
                <w:sz w:val="16"/>
              </w:rPr>
              <w:t>Cost of revenue</w:t>
            </w:r>
          </w:p>
        </w:tc>
        <w:tc>
          <w:tcPr>
            <w:tcW w:type="dxa" w:w="1083"/>
          </w:tcPr>
          <w:p>
            <w:pPr>
              <w:jc w:val="right"/>
            </w:pPr>
            <w:r/>
            <w:r>
              <w:rPr>
                <w:color w:val="1A1D21"/>
                <w:sz w:val="16"/>
              </w:rPr>
              <w:t>26,014</w:t>
            </w:r>
          </w:p>
        </w:tc>
        <w:tc>
          <w:tcPr>
            <w:tcW w:type="dxa" w:w="1083"/>
          </w:tcPr>
          <w:p>
            <w:pPr>
              <w:jc w:val="right"/>
            </w:pPr>
            <w:r/>
            <w:r>
              <w:rPr>
                <w:color w:val="1A1D21"/>
                <w:sz w:val="16"/>
              </w:rPr>
              <w:t>33,506</w:t>
            </w:r>
          </w:p>
        </w:tc>
        <w:tc>
          <w:tcPr>
            <w:tcW w:type="dxa" w:w="1083"/>
          </w:tcPr>
          <w:p>
            <w:pPr>
              <w:jc w:val="right"/>
            </w:pPr>
            <w:r/>
            <w:r>
              <w:rPr>
                <w:color w:val="1A1D21"/>
                <w:sz w:val="16"/>
              </w:rPr>
              <w:t>41,452</w:t>
            </w:r>
          </w:p>
        </w:tc>
        <w:tc>
          <w:tcPr>
            <w:tcW w:type="dxa" w:w="1083"/>
          </w:tcPr>
          <w:p>
            <w:pPr>
              <w:jc w:val="right"/>
            </w:pPr>
            <w:r/>
            <w:r>
              <w:rPr>
                <w:color w:val="1A1D21"/>
                <w:sz w:val="16"/>
              </w:rPr>
              <w:t>49,908</w:t>
            </w:r>
          </w:p>
        </w:tc>
        <w:tc>
          <w:tcPr>
            <w:tcW w:type="dxa" w:w="1083"/>
          </w:tcPr>
          <w:p>
            <w:pPr>
              <w:jc w:val="right"/>
            </w:pPr>
            <w:r/>
            <w:r>
              <w:rPr>
                <w:color w:val="1A1D21"/>
                <w:sz w:val="16"/>
              </w:rPr>
              <w:t>59,009</w:t>
            </w:r>
          </w:p>
        </w:tc>
        <w:tc>
          <w:tcPr>
            <w:tcW w:type="dxa" w:w="1083"/>
          </w:tcPr>
          <w:p>
            <w:pPr>
              <w:jc w:val="right"/>
            </w:pPr>
            <w:r/>
            <w:r>
              <w:rPr>
                <w:color w:val="1A1D21"/>
                <w:sz w:val="16"/>
              </w:rPr>
              <w:t>110,645</w:t>
            </w:r>
          </w:p>
        </w:tc>
        <w:tc>
          <w:tcPr>
            <w:tcW w:type="dxa" w:w="1083"/>
          </w:tcPr>
          <w:p>
            <w:pPr>
              <w:jc w:val="right"/>
            </w:pPr>
            <w:r/>
            <w:r>
              <w:rPr>
                <w:color w:val="1A1D21"/>
                <w:sz w:val="16"/>
              </w:rPr>
              <w:t>157,513</w:t>
            </w:r>
          </w:p>
        </w:tc>
      </w:tr>
      <w:tr>
        <w:trPr>
          <w:cantSplit/>
        </w:trPr>
        <w:tc>
          <w:tcPr>
            <w:tcW w:type="dxa" w:w="1604"/>
          </w:tcPr>
          <w:p>
            <w:r/>
            <w:r>
              <w:rPr>
                <w:color w:val="1A1D21"/>
                <w:sz w:val="16"/>
              </w:rPr>
              <w:t>Gross profit</w:t>
            </w:r>
          </w:p>
        </w:tc>
        <w:tc>
          <w:tcPr>
            <w:tcW w:type="dxa" w:w="1083"/>
          </w:tcPr>
          <w:p>
            <w:pPr>
              <w:jc w:val="right"/>
            </w:pPr>
            <w:r/>
            <w:r>
              <w:rPr>
                <w:color w:val="1A1D21"/>
                <w:sz w:val="16"/>
              </w:rPr>
              <w:t>14,265</w:t>
            </w:r>
          </w:p>
        </w:tc>
        <w:tc>
          <w:tcPr>
            <w:tcW w:type="dxa" w:w="1083"/>
          </w:tcPr>
          <w:p>
            <w:pPr>
              <w:jc w:val="right"/>
            </w:pPr>
            <w:r/>
            <w:r>
              <w:rPr>
                <w:color w:val="1A1D21"/>
                <w:sz w:val="16"/>
              </w:rPr>
              <w:t>18,373</w:t>
            </w:r>
          </w:p>
        </w:tc>
        <w:tc>
          <w:tcPr>
            <w:tcW w:type="dxa" w:w="1083"/>
          </w:tcPr>
          <w:p>
            <w:pPr>
              <w:jc w:val="right"/>
            </w:pPr>
            <w:r/>
            <w:r>
              <w:rPr>
                <w:color w:val="1A1D21"/>
                <w:sz w:val="16"/>
              </w:rPr>
              <w:t>22,730</w:t>
            </w:r>
          </w:p>
        </w:tc>
        <w:tc>
          <w:tcPr>
            <w:tcW w:type="dxa" w:w="1083"/>
          </w:tcPr>
          <w:p>
            <w:pPr>
              <w:jc w:val="right"/>
            </w:pPr>
            <w:r/>
            <w:r>
              <w:rPr>
                <w:color w:val="1A1D21"/>
                <w:sz w:val="16"/>
              </w:rPr>
              <w:t>27,368</w:t>
            </w:r>
          </w:p>
        </w:tc>
        <w:tc>
          <w:tcPr>
            <w:tcW w:type="dxa" w:w="1083"/>
          </w:tcPr>
          <w:p>
            <w:pPr>
              <w:jc w:val="right"/>
            </w:pPr>
            <w:r/>
            <w:r>
              <w:rPr>
                <w:color w:val="1A1D21"/>
                <w:sz w:val="16"/>
              </w:rPr>
              <w:t>32,358</w:t>
            </w:r>
          </w:p>
        </w:tc>
        <w:tc>
          <w:tcPr>
            <w:tcW w:type="dxa" w:w="1083"/>
          </w:tcPr>
          <w:p>
            <w:pPr>
              <w:jc w:val="right"/>
            </w:pPr>
            <w:r/>
            <w:r>
              <w:rPr>
                <w:color w:val="1A1D21"/>
                <w:sz w:val="16"/>
              </w:rPr>
              <w:t>60,673</w:t>
            </w:r>
          </w:p>
        </w:tc>
        <w:tc>
          <w:tcPr>
            <w:tcW w:type="dxa" w:w="1083"/>
          </w:tcPr>
          <w:p>
            <w:pPr>
              <w:jc w:val="right"/>
            </w:pPr>
            <w:r/>
            <w:r>
              <w:rPr>
                <w:color w:val="1A1D21"/>
                <w:sz w:val="16"/>
              </w:rPr>
              <w:t>86,373</w:t>
            </w:r>
          </w:p>
        </w:tc>
      </w:tr>
      <w:tr>
        <w:trPr>
          <w:cantSplit/>
        </w:trPr>
        <w:tc>
          <w:tcPr>
            <w:tcW w:type="dxa" w:w="1604"/>
          </w:tcPr>
          <w:p>
            <w:r/>
            <w:r>
              <w:rPr>
                <w:color w:val="1A1D21"/>
                <w:sz w:val="16"/>
              </w:rPr>
              <w:t>Gross margin (held input)</w:t>
            </w:r>
          </w:p>
        </w:tc>
        <w:tc>
          <w:tcPr>
            <w:tcW w:type="dxa" w:w="1083"/>
          </w:tcPr>
          <w:p>
            <w:pPr>
              <w:jc w:val="right"/>
            </w:pPr>
            <w:r/>
            <w:r>
              <w:rPr>
                <w:color w:val="1A1D21"/>
                <w:sz w:val="16"/>
              </w:rPr>
              <w:t>35.4%</w:t>
            </w:r>
          </w:p>
        </w:tc>
        <w:tc>
          <w:tcPr>
            <w:tcW w:type="dxa" w:w="1083"/>
          </w:tcPr>
          <w:p>
            <w:pPr>
              <w:jc w:val="right"/>
            </w:pPr>
            <w:r/>
            <w:r>
              <w:rPr>
                <w:color w:val="1A1D21"/>
                <w:sz w:val="16"/>
              </w:rPr>
              <w:t>35.4%</w:t>
            </w:r>
          </w:p>
        </w:tc>
        <w:tc>
          <w:tcPr>
            <w:tcW w:type="dxa" w:w="1083"/>
          </w:tcPr>
          <w:p>
            <w:pPr>
              <w:jc w:val="right"/>
            </w:pPr>
            <w:r/>
            <w:r>
              <w:rPr>
                <w:color w:val="1A1D21"/>
                <w:sz w:val="16"/>
              </w:rPr>
              <w:t>35.4%</w:t>
            </w:r>
          </w:p>
        </w:tc>
        <w:tc>
          <w:tcPr>
            <w:tcW w:type="dxa" w:w="1083"/>
          </w:tcPr>
          <w:p>
            <w:pPr>
              <w:jc w:val="right"/>
            </w:pPr>
            <w:r/>
            <w:r>
              <w:rPr>
                <w:color w:val="1A1D21"/>
                <w:sz w:val="16"/>
              </w:rPr>
              <w:t>35.4%</w:t>
            </w:r>
          </w:p>
        </w:tc>
        <w:tc>
          <w:tcPr>
            <w:tcW w:type="dxa" w:w="1083"/>
          </w:tcPr>
          <w:p>
            <w:pPr>
              <w:jc w:val="right"/>
            </w:pPr>
            <w:r/>
            <w:r>
              <w:rPr>
                <w:color w:val="1A1D21"/>
                <w:sz w:val="16"/>
              </w:rPr>
              <w:t>35.4%</w:t>
            </w:r>
          </w:p>
        </w:tc>
        <w:tc>
          <w:tcPr>
            <w:tcW w:type="dxa" w:w="1083"/>
          </w:tcPr>
          <w:p>
            <w:pPr>
              <w:jc w:val="right"/>
            </w:pPr>
            <w:r/>
            <w:r>
              <w:rPr>
                <w:color w:val="1A1D21"/>
                <w:sz w:val="16"/>
              </w:rPr>
              <w:t>35.4%</w:t>
            </w:r>
          </w:p>
        </w:tc>
        <w:tc>
          <w:tcPr>
            <w:tcW w:type="dxa" w:w="1083"/>
          </w:tcPr>
          <w:p>
            <w:pPr>
              <w:jc w:val="right"/>
            </w:pPr>
            <w:r/>
            <w:r>
              <w:rPr>
                <w:color w:val="1A1D21"/>
                <w:sz w:val="16"/>
              </w:rPr>
              <w:t>35.4%</w:t>
            </w:r>
          </w:p>
        </w:tc>
      </w:tr>
      <w:tr>
        <w:trPr>
          <w:cantSplit/>
        </w:trPr>
        <w:tc>
          <w:tcPr>
            <w:tcW w:type="dxa" w:w="1604"/>
          </w:tcPr>
          <w:p>
            <w:r/>
            <w:r>
              <w:rPr>
                <w:color w:val="1A1D21"/>
                <w:sz w:val="16"/>
              </w:rPr>
              <w:t>Overheads</w:t>
            </w:r>
          </w:p>
        </w:tc>
        <w:tc>
          <w:tcPr>
            <w:tcW w:type="dxa" w:w="1083"/>
          </w:tcPr>
          <w:p>
            <w:pPr>
              <w:jc w:val="right"/>
            </w:pPr>
            <w:r/>
            <w:r>
              <w:rPr>
                <w:color w:val="1A1D21"/>
                <w:sz w:val="16"/>
              </w:rPr>
              <w:t>7,089</w:t>
            </w:r>
          </w:p>
        </w:tc>
        <w:tc>
          <w:tcPr>
            <w:tcW w:type="dxa" w:w="1083"/>
          </w:tcPr>
          <w:p>
            <w:pPr>
              <w:jc w:val="right"/>
            </w:pPr>
            <w:r/>
            <w:r>
              <w:rPr>
                <w:color w:val="1A1D21"/>
                <w:sz w:val="16"/>
              </w:rPr>
              <w:t>9,130</w:t>
            </w:r>
          </w:p>
        </w:tc>
        <w:tc>
          <w:tcPr>
            <w:tcW w:type="dxa" w:w="1083"/>
          </w:tcPr>
          <w:p>
            <w:pPr>
              <w:jc w:val="right"/>
            </w:pPr>
            <w:r/>
            <w:r>
              <w:rPr>
                <w:color w:val="1A1D21"/>
                <w:sz w:val="16"/>
              </w:rPr>
              <w:t>11,296</w:t>
            </w:r>
          </w:p>
        </w:tc>
        <w:tc>
          <w:tcPr>
            <w:tcW w:type="dxa" w:w="1083"/>
          </w:tcPr>
          <w:p>
            <w:pPr>
              <w:jc w:val="right"/>
            </w:pPr>
            <w:r/>
            <w:r>
              <w:rPr>
                <w:color w:val="1A1D21"/>
                <w:sz w:val="16"/>
              </w:rPr>
              <w:t>13,600</w:t>
            </w:r>
          </w:p>
        </w:tc>
        <w:tc>
          <w:tcPr>
            <w:tcW w:type="dxa" w:w="1083"/>
          </w:tcPr>
          <w:p>
            <w:pPr>
              <w:jc w:val="right"/>
            </w:pPr>
            <w:r/>
            <w:r>
              <w:rPr>
                <w:color w:val="1A1D21"/>
                <w:sz w:val="16"/>
              </w:rPr>
              <w:t>16,080</w:t>
            </w:r>
          </w:p>
        </w:tc>
        <w:tc>
          <w:tcPr>
            <w:tcW w:type="dxa" w:w="1083"/>
          </w:tcPr>
          <w:p>
            <w:pPr>
              <w:jc w:val="right"/>
            </w:pPr>
            <w:r/>
            <w:r>
              <w:rPr>
                <w:color w:val="1A1D21"/>
                <w:sz w:val="16"/>
              </w:rPr>
              <w:t>30,151</w:t>
            </w:r>
          </w:p>
        </w:tc>
        <w:tc>
          <w:tcPr>
            <w:tcW w:type="dxa" w:w="1083"/>
          </w:tcPr>
          <w:p>
            <w:pPr>
              <w:jc w:val="right"/>
            </w:pPr>
            <w:r/>
            <w:r>
              <w:rPr>
                <w:color w:val="1A1D21"/>
                <w:sz w:val="16"/>
              </w:rPr>
              <w:t>42,923</w:t>
            </w:r>
          </w:p>
        </w:tc>
      </w:tr>
      <w:tr>
        <w:trPr>
          <w:cantSplit/>
        </w:trPr>
        <w:tc>
          <w:tcPr>
            <w:tcW w:type="dxa" w:w="1604"/>
          </w:tcPr>
          <w:p>
            <w:r/>
            <w:r>
              <w:rPr>
                <w:color w:val="1A1D21"/>
                <w:sz w:val="16"/>
              </w:rPr>
              <w:t>Depreciation and amortisation</w:t>
            </w:r>
          </w:p>
        </w:tc>
        <w:tc>
          <w:tcPr>
            <w:tcW w:type="dxa" w:w="1083"/>
          </w:tcPr>
          <w:p>
            <w:pPr>
              <w:jc w:val="right"/>
            </w:pPr>
            <w:r/>
            <w:r>
              <w:rPr>
                <w:color w:val="1A1D21"/>
                <w:sz w:val="16"/>
              </w:rPr>
              <w:t>394</w:t>
            </w:r>
          </w:p>
        </w:tc>
        <w:tc>
          <w:tcPr>
            <w:tcW w:type="dxa" w:w="1083"/>
          </w:tcPr>
          <w:p>
            <w:pPr>
              <w:jc w:val="right"/>
            </w:pPr>
            <w:r/>
            <w:r>
              <w:rPr>
                <w:color w:val="1A1D21"/>
                <w:sz w:val="16"/>
              </w:rPr>
              <w:t>507</w:t>
            </w:r>
          </w:p>
        </w:tc>
        <w:tc>
          <w:tcPr>
            <w:tcW w:type="dxa" w:w="1083"/>
          </w:tcPr>
          <w:p>
            <w:pPr>
              <w:jc w:val="right"/>
            </w:pPr>
            <w:r/>
            <w:r>
              <w:rPr>
                <w:color w:val="1A1D21"/>
                <w:sz w:val="16"/>
              </w:rPr>
              <w:t>628</w:t>
            </w:r>
          </w:p>
        </w:tc>
        <w:tc>
          <w:tcPr>
            <w:tcW w:type="dxa" w:w="1083"/>
          </w:tcPr>
          <w:p>
            <w:pPr>
              <w:jc w:val="right"/>
            </w:pPr>
            <w:r/>
            <w:r>
              <w:rPr>
                <w:color w:val="1A1D21"/>
                <w:sz w:val="16"/>
              </w:rPr>
              <w:t>756</w:t>
            </w:r>
          </w:p>
        </w:tc>
        <w:tc>
          <w:tcPr>
            <w:tcW w:type="dxa" w:w="1083"/>
          </w:tcPr>
          <w:p>
            <w:pPr>
              <w:jc w:val="right"/>
            </w:pPr>
            <w:r/>
            <w:r>
              <w:rPr>
                <w:color w:val="1A1D21"/>
                <w:sz w:val="16"/>
              </w:rPr>
              <w:t>893</w:t>
            </w:r>
          </w:p>
        </w:tc>
        <w:tc>
          <w:tcPr>
            <w:tcW w:type="dxa" w:w="1083"/>
          </w:tcPr>
          <w:p>
            <w:pPr>
              <w:jc w:val="right"/>
            </w:pPr>
            <w:r/>
            <w:r>
              <w:rPr>
                <w:color w:val="1A1D21"/>
                <w:sz w:val="16"/>
              </w:rPr>
              <w:t>1,675</w:t>
            </w:r>
          </w:p>
        </w:tc>
        <w:tc>
          <w:tcPr>
            <w:tcW w:type="dxa" w:w="1083"/>
          </w:tcPr>
          <w:p>
            <w:pPr>
              <w:jc w:val="right"/>
            </w:pPr>
            <w:r/>
            <w:r>
              <w:rPr>
                <w:color w:val="1A1D21"/>
                <w:sz w:val="16"/>
              </w:rPr>
              <w:t>2,385</w:t>
            </w:r>
          </w:p>
        </w:tc>
      </w:tr>
      <w:tr>
        <w:trPr>
          <w:cantSplit/>
        </w:trPr>
        <w:tc>
          <w:tcPr>
            <w:tcW w:type="dxa" w:w="1604"/>
          </w:tcPr>
          <w:p>
            <w:r/>
            <w:r>
              <w:rPr>
                <w:color w:val="1A1D21"/>
                <w:sz w:val="16"/>
              </w:rPr>
              <w:t>Operating profit</w:t>
            </w:r>
          </w:p>
        </w:tc>
        <w:tc>
          <w:tcPr>
            <w:tcW w:type="dxa" w:w="1083"/>
          </w:tcPr>
          <w:p>
            <w:pPr>
              <w:jc w:val="right"/>
            </w:pPr>
            <w:r/>
            <w:r>
              <w:rPr>
                <w:color w:val="1A1D21"/>
                <w:sz w:val="16"/>
              </w:rPr>
              <w:t>6,782</w:t>
            </w:r>
          </w:p>
        </w:tc>
        <w:tc>
          <w:tcPr>
            <w:tcW w:type="dxa" w:w="1083"/>
          </w:tcPr>
          <w:p>
            <w:pPr>
              <w:jc w:val="right"/>
            </w:pPr>
            <w:r/>
            <w:r>
              <w:rPr>
                <w:color w:val="1A1D21"/>
                <w:sz w:val="16"/>
              </w:rPr>
              <w:t>8,735</w:t>
            </w:r>
          </w:p>
        </w:tc>
        <w:tc>
          <w:tcPr>
            <w:tcW w:type="dxa" w:w="1083"/>
          </w:tcPr>
          <w:p>
            <w:pPr>
              <w:jc w:val="right"/>
            </w:pPr>
            <w:r/>
            <w:r>
              <w:rPr>
                <w:color w:val="1A1D21"/>
                <w:sz w:val="16"/>
              </w:rPr>
              <w:t>10,807</w:t>
            </w:r>
          </w:p>
        </w:tc>
        <w:tc>
          <w:tcPr>
            <w:tcW w:type="dxa" w:w="1083"/>
          </w:tcPr>
          <w:p>
            <w:pPr>
              <w:jc w:val="right"/>
            </w:pPr>
            <w:r/>
            <w:r>
              <w:rPr>
                <w:color w:val="1A1D21"/>
                <w:sz w:val="16"/>
              </w:rPr>
              <w:t>13,012</w:t>
            </w:r>
          </w:p>
        </w:tc>
        <w:tc>
          <w:tcPr>
            <w:tcW w:type="dxa" w:w="1083"/>
          </w:tcPr>
          <w:p>
            <w:pPr>
              <w:jc w:val="right"/>
            </w:pPr>
            <w:r/>
            <w:r>
              <w:rPr>
                <w:color w:val="1A1D21"/>
                <w:sz w:val="16"/>
              </w:rPr>
              <w:t>15,384</w:t>
            </w:r>
          </w:p>
        </w:tc>
        <w:tc>
          <w:tcPr>
            <w:tcW w:type="dxa" w:w="1083"/>
          </w:tcPr>
          <w:p>
            <w:pPr>
              <w:jc w:val="right"/>
            </w:pPr>
            <w:r/>
            <w:r>
              <w:rPr>
                <w:color w:val="1A1D21"/>
                <w:sz w:val="16"/>
              </w:rPr>
              <w:t>28,847</w:t>
            </w:r>
          </w:p>
        </w:tc>
        <w:tc>
          <w:tcPr>
            <w:tcW w:type="dxa" w:w="1083"/>
          </w:tcPr>
          <w:p>
            <w:pPr>
              <w:jc w:val="right"/>
            </w:pPr>
            <w:r/>
            <w:r>
              <w:rPr>
                <w:color w:val="1A1D21"/>
                <w:sz w:val="16"/>
              </w:rPr>
              <w:t>41,066</w:t>
            </w:r>
          </w:p>
        </w:tc>
      </w:tr>
      <w:tr>
        <w:trPr>
          <w:cantSplit/>
        </w:trPr>
        <w:tc>
          <w:tcPr>
            <w:tcW w:type="dxa" w:w="1604"/>
          </w:tcPr>
          <w:p>
            <w:r/>
            <w:r>
              <w:rPr>
                <w:color w:val="1A1D21"/>
                <w:sz w:val="16"/>
              </w:rPr>
              <w:t>Finance cost</w:t>
            </w:r>
          </w:p>
        </w:tc>
        <w:tc>
          <w:tcPr>
            <w:tcW w:type="dxa" w:w="1083"/>
          </w:tcPr>
          <w:p>
            <w:pPr>
              <w:jc w:val="right"/>
            </w:pPr>
            <w:r/>
            <w:r>
              <w:rPr>
                <w:color w:val="1A1D21"/>
                <w:sz w:val="16"/>
              </w:rPr>
              <w:t>3,348</w:t>
            </w:r>
          </w:p>
        </w:tc>
        <w:tc>
          <w:tcPr>
            <w:tcW w:type="dxa" w:w="1083"/>
          </w:tcPr>
          <w:p>
            <w:pPr>
              <w:jc w:val="right"/>
            </w:pPr>
            <w:r/>
            <w:r>
              <w:rPr>
                <w:color w:val="1A1D21"/>
                <w:sz w:val="16"/>
              </w:rPr>
              <w:t>3,348</w:t>
            </w:r>
          </w:p>
        </w:tc>
        <w:tc>
          <w:tcPr>
            <w:tcW w:type="dxa" w:w="1083"/>
          </w:tcPr>
          <w:p>
            <w:pPr>
              <w:jc w:val="right"/>
            </w:pPr>
            <w:r/>
            <w:r>
              <w:rPr>
                <w:color w:val="1A1D21"/>
                <w:sz w:val="16"/>
              </w:rPr>
              <w:t>3,348</w:t>
            </w:r>
          </w:p>
        </w:tc>
        <w:tc>
          <w:tcPr>
            <w:tcW w:type="dxa" w:w="1083"/>
          </w:tcPr>
          <w:p>
            <w:pPr>
              <w:jc w:val="right"/>
            </w:pPr>
            <w:r/>
            <w:r>
              <w:rPr>
                <w:color w:val="1A1D21"/>
                <w:sz w:val="16"/>
              </w:rPr>
              <w:t>3,348</w:t>
            </w:r>
          </w:p>
        </w:tc>
        <w:tc>
          <w:tcPr>
            <w:tcW w:type="dxa" w:w="1083"/>
          </w:tcPr>
          <w:p>
            <w:pPr>
              <w:jc w:val="right"/>
            </w:pPr>
            <w:r/>
            <w:r>
              <w:rPr>
                <w:color w:val="1A1D21"/>
                <w:sz w:val="16"/>
              </w:rPr>
              <w:t>3,348</w:t>
            </w:r>
          </w:p>
        </w:tc>
        <w:tc>
          <w:tcPr>
            <w:tcW w:type="dxa" w:w="1083"/>
          </w:tcPr>
          <w:p>
            <w:pPr>
              <w:jc w:val="right"/>
            </w:pPr>
            <w:r/>
            <w:r>
              <w:rPr>
                <w:color w:val="1A1D21"/>
                <w:sz w:val="16"/>
              </w:rPr>
              <w:t>3,348</w:t>
            </w:r>
          </w:p>
        </w:tc>
        <w:tc>
          <w:tcPr>
            <w:tcW w:type="dxa" w:w="1083"/>
          </w:tcPr>
          <w:p>
            <w:pPr>
              <w:jc w:val="right"/>
            </w:pPr>
            <w:r/>
            <w:r>
              <w:rPr>
                <w:color w:val="1A1D21"/>
                <w:sz w:val="16"/>
              </w:rPr>
              <w:t>3,348</w:t>
            </w:r>
          </w:p>
        </w:tc>
      </w:tr>
      <w:tr>
        <w:trPr>
          <w:cantSplit/>
        </w:trPr>
        <w:tc>
          <w:tcPr>
            <w:tcW w:type="dxa" w:w="1604"/>
          </w:tcPr>
          <w:p>
            <w:r/>
            <w:r>
              <w:rPr>
                <w:color w:val="1A1D21"/>
                <w:sz w:val="16"/>
              </w:rPr>
              <w:t>Profit before tax</w:t>
            </w:r>
          </w:p>
        </w:tc>
        <w:tc>
          <w:tcPr>
            <w:tcW w:type="dxa" w:w="1083"/>
          </w:tcPr>
          <w:p>
            <w:pPr>
              <w:jc w:val="right"/>
            </w:pPr>
            <w:r/>
            <w:r>
              <w:rPr>
                <w:color w:val="1A1D21"/>
                <w:sz w:val="16"/>
              </w:rPr>
              <w:t>3,435</w:t>
            </w:r>
          </w:p>
        </w:tc>
        <w:tc>
          <w:tcPr>
            <w:tcW w:type="dxa" w:w="1083"/>
          </w:tcPr>
          <w:p>
            <w:pPr>
              <w:jc w:val="right"/>
            </w:pPr>
            <w:r/>
            <w:r>
              <w:rPr>
                <w:color w:val="1A1D21"/>
                <w:sz w:val="16"/>
              </w:rPr>
              <w:t>5,388</w:t>
            </w:r>
          </w:p>
        </w:tc>
        <w:tc>
          <w:tcPr>
            <w:tcW w:type="dxa" w:w="1083"/>
          </w:tcPr>
          <w:p>
            <w:pPr>
              <w:jc w:val="right"/>
            </w:pPr>
            <w:r/>
            <w:r>
              <w:rPr>
                <w:color w:val="1A1D21"/>
                <w:sz w:val="16"/>
              </w:rPr>
              <w:t>7,460</w:t>
            </w:r>
          </w:p>
        </w:tc>
        <w:tc>
          <w:tcPr>
            <w:tcW w:type="dxa" w:w="1083"/>
          </w:tcPr>
          <w:p>
            <w:pPr>
              <w:jc w:val="right"/>
            </w:pPr>
            <w:r/>
            <w:r>
              <w:rPr>
                <w:color w:val="1A1D21"/>
                <w:sz w:val="16"/>
              </w:rPr>
              <w:t>9,664</w:t>
            </w:r>
          </w:p>
        </w:tc>
        <w:tc>
          <w:tcPr>
            <w:tcW w:type="dxa" w:w="1083"/>
          </w:tcPr>
          <w:p>
            <w:pPr>
              <w:jc w:val="right"/>
            </w:pPr>
            <w:r/>
            <w:r>
              <w:rPr>
                <w:color w:val="1A1D21"/>
                <w:sz w:val="16"/>
              </w:rPr>
              <w:t>12,037</w:t>
            </w:r>
          </w:p>
        </w:tc>
        <w:tc>
          <w:tcPr>
            <w:tcW w:type="dxa" w:w="1083"/>
          </w:tcPr>
          <w:p>
            <w:pPr>
              <w:jc w:val="right"/>
            </w:pPr>
            <w:r/>
            <w:r>
              <w:rPr>
                <w:color w:val="1A1D21"/>
                <w:sz w:val="16"/>
              </w:rPr>
              <w:t>25,499</w:t>
            </w:r>
          </w:p>
        </w:tc>
        <w:tc>
          <w:tcPr>
            <w:tcW w:type="dxa" w:w="1083"/>
          </w:tcPr>
          <w:p>
            <w:pPr>
              <w:jc w:val="right"/>
            </w:pPr>
            <w:r/>
            <w:r>
              <w:rPr>
                <w:color w:val="1A1D21"/>
                <w:sz w:val="16"/>
              </w:rPr>
              <w:t>37,718</w:t>
            </w:r>
          </w:p>
        </w:tc>
      </w:tr>
      <w:tr>
        <w:trPr>
          <w:cantSplit/>
        </w:trPr>
        <w:tc>
          <w:tcPr>
            <w:tcW w:type="dxa" w:w="1604"/>
          </w:tcPr>
          <w:p>
            <w:r/>
            <w:r>
              <w:rPr>
                <w:color w:val="1A1D21"/>
                <w:sz w:val="16"/>
              </w:rPr>
              <w:t>Tax rate</w:t>
            </w:r>
          </w:p>
        </w:tc>
        <w:tc>
          <w:tcPr>
            <w:tcW w:type="dxa" w:w="1083"/>
          </w:tcPr>
          <w:p>
            <w:pPr>
              <w:jc w:val="right"/>
            </w:pPr>
            <w:r/>
            <w:r>
              <w:rPr>
                <w:color w:val="1A1D21"/>
                <w:sz w:val="16"/>
              </w:rPr>
              <w:t>22.5%</w:t>
            </w:r>
          </w:p>
        </w:tc>
        <w:tc>
          <w:tcPr>
            <w:tcW w:type="dxa" w:w="1083"/>
          </w:tcPr>
          <w:p>
            <w:pPr>
              <w:jc w:val="right"/>
            </w:pPr>
            <w:r/>
            <w:r>
              <w:rPr>
                <w:color w:val="1A1D21"/>
                <w:sz w:val="16"/>
              </w:rPr>
              <w:t>22.5%</w:t>
            </w:r>
          </w:p>
        </w:tc>
        <w:tc>
          <w:tcPr>
            <w:tcW w:type="dxa" w:w="1083"/>
          </w:tcPr>
          <w:p>
            <w:pPr>
              <w:jc w:val="right"/>
            </w:pPr>
            <w:r/>
            <w:r>
              <w:rPr>
                <w:color w:val="1A1D21"/>
                <w:sz w:val="16"/>
              </w:rPr>
              <w:t>22.5%</w:t>
            </w:r>
          </w:p>
        </w:tc>
        <w:tc>
          <w:tcPr>
            <w:tcW w:type="dxa" w:w="1083"/>
          </w:tcPr>
          <w:p>
            <w:pPr>
              <w:jc w:val="right"/>
            </w:pPr>
            <w:r/>
            <w:r>
              <w:rPr>
                <w:color w:val="1A1D21"/>
                <w:sz w:val="16"/>
              </w:rPr>
              <w:t>22.5%</w:t>
            </w:r>
          </w:p>
        </w:tc>
        <w:tc>
          <w:tcPr>
            <w:tcW w:type="dxa" w:w="1083"/>
          </w:tcPr>
          <w:p>
            <w:pPr>
              <w:jc w:val="right"/>
            </w:pPr>
            <w:r/>
            <w:r>
              <w:rPr>
                <w:color w:val="1A1D21"/>
                <w:sz w:val="16"/>
              </w:rPr>
              <w:t>22.5%</w:t>
            </w:r>
          </w:p>
        </w:tc>
        <w:tc>
          <w:tcPr>
            <w:tcW w:type="dxa" w:w="1083"/>
          </w:tcPr>
          <w:p>
            <w:pPr>
              <w:jc w:val="right"/>
            </w:pPr>
            <w:r/>
            <w:r>
              <w:rPr>
                <w:color w:val="1A1D21"/>
                <w:sz w:val="16"/>
              </w:rPr>
              <w:t>22.5%</w:t>
            </w:r>
          </w:p>
        </w:tc>
        <w:tc>
          <w:tcPr>
            <w:tcW w:type="dxa" w:w="1083"/>
          </w:tcPr>
          <w:p>
            <w:pPr>
              <w:jc w:val="right"/>
            </w:pPr>
            <w:r/>
            <w:r>
              <w:rPr>
                <w:color w:val="1A1D21"/>
                <w:sz w:val="16"/>
              </w:rPr>
              <w:t>22.5%</w:t>
            </w:r>
          </w:p>
        </w:tc>
      </w:tr>
      <w:tr>
        <w:trPr>
          <w:cantSplit/>
        </w:trPr>
        <w:tc>
          <w:tcPr>
            <w:tcW w:type="dxa" w:w="1604"/>
          </w:tcPr>
          <w:p>
            <w:r/>
            <w:r>
              <w:rPr>
                <w:color w:val="1A1D21"/>
                <w:sz w:val="16"/>
              </w:rPr>
              <w:t>Net profit</w:t>
            </w:r>
          </w:p>
        </w:tc>
        <w:tc>
          <w:tcPr>
            <w:tcW w:type="dxa" w:w="1083"/>
          </w:tcPr>
          <w:p>
            <w:pPr>
              <w:jc w:val="right"/>
            </w:pPr>
            <w:r/>
            <w:r>
              <w:rPr>
                <w:color w:val="1A1D21"/>
                <w:sz w:val="16"/>
              </w:rPr>
              <w:t>2,662</w:t>
            </w:r>
          </w:p>
        </w:tc>
        <w:tc>
          <w:tcPr>
            <w:tcW w:type="dxa" w:w="1083"/>
          </w:tcPr>
          <w:p>
            <w:pPr>
              <w:jc w:val="right"/>
            </w:pPr>
            <w:r/>
            <w:r>
              <w:rPr>
                <w:color w:val="1A1D21"/>
                <w:sz w:val="16"/>
              </w:rPr>
              <w:t>4,176</w:t>
            </w:r>
          </w:p>
        </w:tc>
        <w:tc>
          <w:tcPr>
            <w:tcW w:type="dxa" w:w="1083"/>
          </w:tcPr>
          <w:p>
            <w:pPr>
              <w:jc w:val="right"/>
            </w:pPr>
            <w:r/>
            <w:r>
              <w:rPr>
                <w:color w:val="1A1D21"/>
                <w:sz w:val="16"/>
              </w:rPr>
              <w:t>5,781</w:t>
            </w:r>
          </w:p>
        </w:tc>
        <w:tc>
          <w:tcPr>
            <w:tcW w:type="dxa" w:w="1083"/>
          </w:tcPr>
          <w:p>
            <w:pPr>
              <w:jc w:val="right"/>
            </w:pPr>
            <w:r/>
            <w:r>
              <w:rPr>
                <w:color w:val="1A1D21"/>
                <w:sz w:val="16"/>
              </w:rPr>
              <w:t>7,490</w:t>
            </w:r>
          </w:p>
        </w:tc>
        <w:tc>
          <w:tcPr>
            <w:tcW w:type="dxa" w:w="1083"/>
          </w:tcPr>
          <w:p>
            <w:pPr>
              <w:jc w:val="right"/>
            </w:pPr>
            <w:r/>
            <w:r>
              <w:rPr>
                <w:color w:val="1A1D21"/>
                <w:sz w:val="16"/>
              </w:rPr>
              <w:t>9,329</w:t>
            </w:r>
          </w:p>
        </w:tc>
        <w:tc>
          <w:tcPr>
            <w:tcW w:type="dxa" w:w="1083"/>
          </w:tcPr>
          <w:p>
            <w:pPr>
              <w:jc w:val="right"/>
            </w:pPr>
            <w:r/>
            <w:r>
              <w:rPr>
                <w:color w:val="1A1D21"/>
                <w:sz w:val="16"/>
              </w:rPr>
              <w:t>19,762</w:t>
            </w:r>
          </w:p>
        </w:tc>
        <w:tc>
          <w:tcPr>
            <w:tcW w:type="dxa" w:w="1083"/>
          </w:tcPr>
          <w:p>
            <w:pPr>
              <w:jc w:val="right"/>
            </w:pPr>
            <w:r/>
            <w:r>
              <w:rPr>
                <w:color w:val="1A1D21"/>
                <w:sz w:val="16"/>
              </w:rPr>
              <w:t>29,232</w:t>
            </w:r>
          </w:p>
        </w:tc>
      </w:tr>
      <w:tr>
        <w:trPr>
          <w:cantSplit/>
        </w:trPr>
        <w:tc>
          <w:tcPr>
            <w:tcW w:type="dxa" w:w="1604"/>
          </w:tcPr>
          <w:p>
            <w:r/>
            <w:r>
              <w:rPr>
                <w:color w:val="1A1D21"/>
                <w:sz w:val="16"/>
              </w:rPr>
              <w:t>Earnings per share (EGP)</w:t>
            </w:r>
          </w:p>
        </w:tc>
        <w:tc>
          <w:tcPr>
            <w:tcW w:type="dxa" w:w="1083"/>
          </w:tcPr>
          <w:p>
            <w:pPr>
              <w:jc w:val="right"/>
            </w:pPr>
            <w:r/>
            <w:r>
              <w:rPr>
                <w:color w:val="1A1D21"/>
                <w:sz w:val="16"/>
              </w:rPr>
              <w:t>0.93</w:t>
            </w:r>
          </w:p>
        </w:tc>
        <w:tc>
          <w:tcPr>
            <w:tcW w:type="dxa" w:w="1083"/>
          </w:tcPr>
          <w:p>
            <w:pPr>
              <w:jc w:val="right"/>
            </w:pPr>
            <w:r/>
            <w:r>
              <w:rPr>
                <w:color w:val="1A1D21"/>
                <w:sz w:val="16"/>
              </w:rPr>
              <w:t>1.46</w:t>
            </w:r>
          </w:p>
        </w:tc>
        <w:tc>
          <w:tcPr>
            <w:tcW w:type="dxa" w:w="1083"/>
          </w:tcPr>
          <w:p>
            <w:pPr>
              <w:jc w:val="right"/>
            </w:pPr>
            <w:r/>
            <w:r>
              <w:rPr>
                <w:color w:val="1A1D21"/>
                <w:sz w:val="16"/>
              </w:rPr>
              <w:t>2.02</w:t>
            </w:r>
          </w:p>
        </w:tc>
        <w:tc>
          <w:tcPr>
            <w:tcW w:type="dxa" w:w="1083"/>
          </w:tcPr>
          <w:p>
            <w:pPr>
              <w:jc w:val="right"/>
            </w:pPr>
            <w:r/>
            <w:r>
              <w:rPr>
                <w:color w:val="1A1D21"/>
                <w:sz w:val="16"/>
              </w:rPr>
              <w:t>2.62</w:t>
            </w:r>
          </w:p>
        </w:tc>
        <w:tc>
          <w:tcPr>
            <w:tcW w:type="dxa" w:w="1083"/>
          </w:tcPr>
          <w:p>
            <w:pPr>
              <w:jc w:val="right"/>
            </w:pPr>
            <w:r/>
            <w:r>
              <w:rPr>
                <w:color w:val="1A1D21"/>
                <w:sz w:val="16"/>
              </w:rPr>
              <w:t>3.26</w:t>
            </w:r>
          </w:p>
        </w:tc>
        <w:tc>
          <w:tcPr>
            <w:tcW w:type="dxa" w:w="1083"/>
          </w:tcPr>
          <w:p>
            <w:pPr>
              <w:jc w:val="right"/>
            </w:pPr>
            <w:r/>
            <w:r>
              <w:rPr>
                <w:color w:val="1A1D21"/>
                <w:sz w:val="16"/>
              </w:rPr>
              <w:t>6.91</w:t>
            </w:r>
          </w:p>
        </w:tc>
        <w:tc>
          <w:tcPr>
            <w:tcW w:type="dxa" w:w="1083"/>
          </w:tcPr>
          <w:p>
            <w:pPr>
              <w:jc w:val="right"/>
            </w:pPr>
            <w:r/>
            <w:r>
              <w:rPr>
                <w:color w:val="1A1D21"/>
                <w:sz w:val="16"/>
              </w:rPr>
              <w:t>10.22</w:t>
            </w:r>
          </w:p>
        </w:tc>
      </w:tr>
      <w:tr>
        <w:trPr>
          <w:cantSplit/>
        </w:trPr>
        <w:tc>
          <w:tcPr>
            <w:tcW w:type="dxa" w:w="1604"/>
          </w:tcPr>
          <w:p>
            <w:r/>
            <w:r>
              <w:rPr>
                <w:color w:val="1A1D21"/>
                <w:sz w:val="16"/>
              </w:rPr>
              <w:t>Order book, closing</w:t>
            </w:r>
          </w:p>
        </w:tc>
        <w:tc>
          <w:tcPr>
            <w:tcW w:type="dxa" w:w="1083"/>
          </w:tcPr>
          <w:p>
            <w:pPr>
              <w:jc w:val="right"/>
            </w:pPr>
            <w:r/>
            <w:r>
              <w:rPr>
                <w:color w:val="1A1D21"/>
                <w:sz w:val="16"/>
              </w:rPr>
              <w:t>352,433</w:t>
            </w:r>
          </w:p>
        </w:tc>
        <w:tc>
          <w:tcPr>
            <w:tcW w:type="dxa" w:w="1083"/>
          </w:tcPr>
          <w:p>
            <w:pPr>
              <w:jc w:val="right"/>
            </w:pPr>
            <w:r/>
            <w:r>
              <w:rPr>
                <w:color w:val="1A1D21"/>
                <w:sz w:val="16"/>
              </w:rPr>
              <w:t>445,831</w:t>
            </w:r>
          </w:p>
        </w:tc>
        <w:tc>
          <w:tcPr>
            <w:tcW w:type="dxa" w:w="1083"/>
          </w:tcPr>
          <w:p>
            <w:pPr>
              <w:jc w:val="right"/>
            </w:pPr>
            <w:r/>
            <w:r>
              <w:rPr>
                <w:color w:val="1A1D21"/>
                <w:sz w:val="16"/>
              </w:rPr>
              <w:t>540,001</w:t>
            </w:r>
          </w:p>
        </w:tc>
        <w:tc>
          <w:tcPr>
            <w:tcW w:type="dxa" w:w="1083"/>
          </w:tcPr>
          <w:p>
            <w:pPr>
              <w:jc w:val="right"/>
            </w:pPr>
            <w:r/>
            <w:r>
              <w:rPr>
                <w:color w:val="1A1D21"/>
                <w:sz w:val="16"/>
              </w:rPr>
              <w:t>632,954</w:t>
            </w:r>
          </w:p>
        </w:tc>
        <w:tc>
          <w:tcPr>
            <w:tcW w:type="dxa" w:w="1083"/>
          </w:tcPr>
          <w:p>
            <w:pPr>
              <w:jc w:val="right"/>
            </w:pPr>
            <w:r/>
            <w:r>
              <w:rPr>
                <w:color w:val="1A1D21"/>
                <w:sz w:val="16"/>
              </w:rPr>
              <w:t>723,732</w:t>
            </w:r>
          </w:p>
        </w:tc>
        <w:tc>
          <w:tcPr>
            <w:tcW w:type="dxa" w:w="1083"/>
          </w:tcPr>
          <w:p>
            <w:pPr>
              <w:jc w:val="right"/>
            </w:pPr>
            <w:r/>
            <w:r>
              <w:rPr>
                <w:color w:val="1A1D21"/>
                <w:sz w:val="16"/>
              </w:rPr>
              <w:t>1,149,604</w:t>
            </w:r>
          </w:p>
        </w:tc>
        <w:tc>
          <w:tcPr>
            <w:tcW w:type="dxa" w:w="1083"/>
          </w:tcPr>
          <w:p>
            <w:pPr>
              <w:jc w:val="right"/>
            </w:pPr>
            <w:r/>
            <w:r>
              <w:rPr>
                <w:color w:val="1A1D21"/>
                <w:sz w:val="16"/>
              </w:rPr>
              <w:t>1,651,591</w:t>
            </w:r>
          </w:p>
        </w:tc>
      </w:tr>
    </w:tbl>
    <w:p>
      <w:pPr>
        <w:spacing w:after="200"/>
      </w:pPr>
      <w:r>
        <w:rPr>
          <w:b w:val="0"/>
          <w:i/>
          <w:color w:val="5B6570"/>
          <w:sz w:val="16"/>
        </w:rPr>
        <w:t>Every line follows from the two engines above. Gross margin is the one HELD input in this table and cost per unit is solved from it — see the note on the anchors below.</w:t>
      </w:r>
    </w:p>
    <w:p>
      <w:pPr>
        <w:spacing w:after="140"/>
      </w:pPr>
      <w:r>
        <w:rPr>
          <w:b w:val="0"/>
          <w:i w:val="0"/>
          <w:color w:val="1A1D21"/>
          <w:sz w:val="20"/>
        </w:rPr>
        <w:t>Three anchors hold this table to what was actually reported. FY2026 is part-reported: the company disclosed first-quarter revenue of EGP 9,346 million, up 11 per cent on the same quarter of 2025, which places that quarter at 23.2 per cent of the full year and gives an FY2026 revenue anchor of EGP 40,279 million from the actual rather than from a trend. The finance charge is the disclosed rate on the interest-bearing borrowings, 13.91 per cent, not the 25.50 per cent marginal rate used for discounting — a large part of the balance does not bear interest and part of the charge is capitalised into work in progress. And the gross margin is held at 35.4 per cent, which is the LATEST disclosure on its own — the first quarter of 2026 — and not an average. FY2025 reported 41.2 per cent; their average is 38.3 per cent, and that average was the anchor the superseded edition used. Taking the latest alone is the more conservative of the two and it carries the cost drift the company's own two disclosures show, 9.76 per cent.</w:t>
      </w:r>
    </w:p>
    <w:p>
      <w:pPr>
        <w:spacing w:after="140"/>
      </w:pPr>
      <w:r>
        <w:rPr>
          <w:b w:val="0"/>
          <w:i w:val="0"/>
          <w:color w:val="1A1D21"/>
          <w:sz w:val="20"/>
        </w:rPr>
        <w:t>One drift was measured and deliberately not carried. The move from a 41.2 per cent gross margin in 2025 to 35.5 per cent in the first quarter of 2026 implies cost rising about 9.8 per cent a year faster than price. Compounded over five years that takes gross margin to 7.5 per cent and the company to a loss by 2030 — on the strength of one quarter against one year, for a developer whose margin moves with which project happens to hand over. It is sensitised in section 1.9 instead of extrapolated.</w:t>
      </w:r>
    </w:p>
    <w:tbl>
      <w:tblPr>
        <w:tblStyle w:val="TableGrid"/>
        <w:tblW w:type="auto" w:w="0"/>
        <w:jc w:val="center"/>
        <w:tblLayout w:type="fixed"/>
        <w:tblLook w:firstColumn="1" w:firstRow="1" w:lastColumn="0" w:lastRow="0" w:noHBand="0" w:noVBand="1" w:val="04A0"/>
        <w:tblLayout w:type="fixed"/>
      </w:tblPr>
      <w:tblGrid>
        <w:gridCol w:w="1100"/>
        <w:gridCol w:w="850"/>
        <w:gridCol w:w="850"/>
        <w:gridCol w:w="6384"/>
      </w:tblGrid>
      <w:tr>
        <w:trPr>
          <w:tblHeader w:val="true"/>
        </w:trPr>
        <w:tc>
          <w:tcPr>
            <w:tcW w:type="dxa" w:w="1100"/>
          </w:tcPr>
          <w:p>
            <w:r/>
            <w:r>
              <w:rPr>
                <w:b/>
                <w:color w:val="5B6570"/>
                <w:sz w:val="17"/>
              </w:rPr>
              <w:t>Revenue, years three to five (EGP mn)</w:t>
            </w:r>
          </w:p>
        </w:tc>
        <w:tc>
          <w:tcPr>
            <w:tcW w:type="dxa" w:w="850"/>
          </w:tcPr>
          <w:p>
            <w:r/>
            <w:r>
              <w:rPr>
                <w:b/>
                <w:color w:val="5B6570"/>
                <w:sz w:val="17"/>
              </w:rPr>
              <w:t>Low</w:t>
            </w:r>
          </w:p>
        </w:tc>
        <w:tc>
          <w:tcPr>
            <w:tcW w:type="dxa" w:w="850"/>
          </w:tcPr>
          <w:p>
            <w:r/>
            <w:r>
              <w:rPr>
                <w:b/>
                <w:color w:val="5B6570"/>
                <w:sz w:val="17"/>
              </w:rPr>
              <w:t>Point</w:t>
            </w:r>
          </w:p>
        </w:tc>
        <w:tc>
          <w:tcPr>
            <w:tcW w:type="dxa" w:w="6384"/>
          </w:tcPr>
          <w:p>
            <w:r/>
            <w:r>
              <w:rPr>
                <w:b/>
                <w:color w:val="5B6570"/>
                <w:sz w:val="17"/>
              </w:rPr>
              <w:t>High</w:t>
            </w:r>
          </w:p>
        </w:tc>
      </w:tr>
      <w:tr>
        <w:trPr>
          <w:cantSplit/>
        </w:trPr>
        <w:tc>
          <w:tcPr>
            <w:tcW w:type="dxa" w:w="1100"/>
          </w:tcPr>
          <w:p>
            <w:r/>
            <w:r>
              <w:rPr>
                <w:color w:val="1A1D21"/>
                <w:sz w:val="17"/>
              </w:rPr>
              <w:t>2028</w:t>
            </w:r>
          </w:p>
        </w:tc>
        <w:tc>
          <w:tcPr>
            <w:tcW w:type="dxa" w:w="850"/>
          </w:tcPr>
          <w:p>
            <w:pPr>
              <w:jc w:val="right"/>
            </w:pPr>
            <w:r/>
            <w:r>
              <w:rPr>
                <w:color w:val="1A1D21"/>
                <w:sz w:val="17"/>
              </w:rPr>
              <w:t>28,970</w:t>
            </w:r>
          </w:p>
        </w:tc>
        <w:tc>
          <w:tcPr>
            <w:tcW w:type="dxa" w:w="850"/>
          </w:tcPr>
          <w:p>
            <w:pPr>
              <w:jc w:val="right"/>
            </w:pPr>
            <w:r/>
            <w:r>
              <w:rPr>
                <w:color w:val="1A1D21"/>
                <w:sz w:val="17"/>
              </w:rPr>
              <w:t>64,182</w:t>
            </w:r>
          </w:p>
        </w:tc>
        <w:tc>
          <w:tcPr>
            <w:tcW w:type="dxa" w:w="6384"/>
          </w:tcPr>
          <w:p>
            <w:pPr>
              <w:jc w:val="right"/>
            </w:pPr>
            <w:r/>
            <w:r>
              <w:rPr>
                <w:color w:val="1A1D21"/>
                <w:sz w:val="17"/>
              </w:rPr>
              <w:t>121,619</w:t>
            </w:r>
          </w:p>
        </w:tc>
      </w:tr>
      <w:tr>
        <w:trPr>
          <w:cantSplit/>
        </w:trPr>
        <w:tc>
          <w:tcPr>
            <w:tcW w:type="dxa" w:w="1100"/>
          </w:tcPr>
          <w:p>
            <w:r/>
            <w:r>
              <w:rPr>
                <w:color w:val="1A1D21"/>
                <w:sz w:val="17"/>
              </w:rPr>
              <w:t>2029</w:t>
            </w:r>
          </w:p>
        </w:tc>
        <w:tc>
          <w:tcPr>
            <w:tcW w:type="dxa" w:w="850"/>
          </w:tcPr>
          <w:p>
            <w:pPr>
              <w:jc w:val="right"/>
            </w:pPr>
            <w:r/>
            <w:r>
              <w:rPr>
                <w:color w:val="1A1D21"/>
                <w:sz w:val="17"/>
              </w:rPr>
              <w:t>37,309</w:t>
            </w:r>
          </w:p>
        </w:tc>
        <w:tc>
          <w:tcPr>
            <w:tcW w:type="dxa" w:w="850"/>
          </w:tcPr>
          <w:p>
            <w:pPr>
              <w:jc w:val="right"/>
            </w:pPr>
            <w:r/>
            <w:r>
              <w:rPr>
                <w:color w:val="1A1D21"/>
                <w:sz w:val="17"/>
              </w:rPr>
              <w:t>77,276</w:t>
            </w:r>
          </w:p>
        </w:tc>
        <w:tc>
          <w:tcPr>
            <w:tcW w:type="dxa" w:w="6384"/>
          </w:tcPr>
          <w:p>
            <w:pPr>
              <w:jc w:val="right"/>
            </w:pPr>
            <w:r/>
            <w:r>
              <w:rPr>
                <w:color w:val="1A1D21"/>
                <w:sz w:val="17"/>
              </w:rPr>
              <w:t>163,875</w:t>
            </w:r>
          </w:p>
        </w:tc>
      </w:tr>
      <w:tr>
        <w:trPr>
          <w:cantSplit/>
        </w:trPr>
        <w:tc>
          <w:tcPr>
            <w:tcW w:type="dxa" w:w="1100"/>
          </w:tcPr>
          <w:p>
            <w:r/>
            <w:r>
              <w:rPr>
                <w:color w:val="1A1D21"/>
                <w:sz w:val="17"/>
              </w:rPr>
              <w:t>2030</w:t>
            </w:r>
          </w:p>
        </w:tc>
        <w:tc>
          <w:tcPr>
            <w:tcW w:type="dxa" w:w="850"/>
          </w:tcPr>
          <w:p>
            <w:pPr>
              <w:jc w:val="right"/>
            </w:pPr>
            <w:r/>
            <w:r>
              <w:rPr>
                <w:color w:val="1A1D21"/>
                <w:sz w:val="17"/>
              </w:rPr>
              <w:t>59,641</w:t>
            </w:r>
          </w:p>
        </w:tc>
        <w:tc>
          <w:tcPr>
            <w:tcW w:type="dxa" w:w="850"/>
          </w:tcPr>
          <w:p>
            <w:pPr>
              <w:jc w:val="right"/>
            </w:pPr>
            <w:r/>
            <w:r>
              <w:rPr>
                <w:color w:val="1A1D21"/>
                <w:sz w:val="17"/>
              </w:rPr>
              <w:t>91,367</w:t>
            </w:r>
          </w:p>
        </w:tc>
        <w:tc>
          <w:tcPr>
            <w:tcW w:type="dxa" w:w="6384"/>
          </w:tcPr>
          <w:p>
            <w:pPr>
              <w:jc w:val="right"/>
            </w:pPr>
            <w:r/>
            <w:r>
              <w:rPr>
                <w:color w:val="1A1D21"/>
                <w:sz w:val="17"/>
              </w:rPr>
              <w:t>152,695</w:t>
            </w:r>
          </w:p>
        </w:tc>
      </w:tr>
    </w:tbl>
    <w:p>
      <w:pPr>
        <w:spacing w:after="200"/>
      </w:pPr>
      <w:r>
        <w:rPr>
          <w:b w:val="0"/>
          <w:i/>
          <w:color w:val="5B6570"/>
          <w:sz w:val="16"/>
        </w:rPr>
        <w:t>The band is this method's OWN measured error at each horizon, taken from testing it across ten annual starting points on the company's 2011-2025 history. It is not a scenario; it is the spread the method has actually produced.</w:t>
      </w:r>
    </w:p>
    <w:p>
      <w:pPr>
        <w:pStyle w:val="Heading3"/>
      </w:pPr>
      <w:r>
        <w:t>The cash-flow calculation in full</w:t>
      </w:r>
    </w:p>
    <w:p>
      <w:pPr>
        <w:spacing w:after="140"/>
      </w:pPr>
      <w:r>
        <w:rPr>
          <w:b w:val="0"/>
          <w:i w:val="0"/>
          <w:color w:val="1A1D21"/>
          <w:sz w:val="20"/>
        </w:rPr>
        <w:t>Operating profit is not cash, and for a developer selling on instalments the gap between the two is the whole question. The table below runs every step from operating profit to a present value, year by year, with nothing collapsed.</w:t>
      </w:r>
    </w:p>
    <w:tbl>
      <w:tblPr>
        <w:tblStyle w:val="TableGrid"/>
        <w:tblW w:type="auto" w:w="0"/>
        <w:jc w:val="center"/>
        <w:tblLayout w:type="fixed"/>
        <w:tblLook w:firstColumn="1" w:firstRow="1" w:lastColumn="0" w:lastRow="0" w:noHBand="0" w:noVBand="1" w:val="04A0"/>
        <w:tblLayout w:type="fixed"/>
      </w:tblPr>
      <w:tblGrid>
        <w:gridCol w:w="3215"/>
        <w:gridCol w:w="850"/>
        <w:gridCol w:w="850"/>
        <w:gridCol w:w="850"/>
        <w:gridCol w:w="850"/>
        <w:gridCol w:w="850"/>
        <w:gridCol w:w="850"/>
        <w:gridCol w:w="850"/>
      </w:tblGrid>
      <w:tr>
        <w:trPr>
          <w:tblHeader w:val="true"/>
        </w:trPr>
        <w:tc>
          <w:tcPr>
            <w:tcW w:type="dxa" w:w="3214"/>
          </w:tcPr>
          <w:p>
            <w:r/>
            <w:r>
              <w:rPr>
                <w:b/>
                <w:color w:val="5B6570"/>
                <w:sz w:val="17"/>
              </w:rPr>
              <w:t>EGP million</w:t>
            </w:r>
          </w:p>
        </w:tc>
        <w:tc>
          <w:tcPr>
            <w:tcW w:type="dxa" w:w="850"/>
          </w:tcPr>
          <w:p>
            <w:r/>
            <w:r>
              <w:rPr>
                <w:b/>
                <w:color w:val="5B6570"/>
                <w:sz w:val="17"/>
              </w:rPr>
              <w:t>2026</w:t>
            </w:r>
          </w:p>
        </w:tc>
        <w:tc>
          <w:tcPr>
            <w:tcW w:type="dxa" w:w="850"/>
          </w:tcPr>
          <w:p>
            <w:r/>
            <w:r>
              <w:rPr>
                <w:b/>
                <w:color w:val="5B6570"/>
                <w:sz w:val="17"/>
              </w:rPr>
              <w:t>2027</w:t>
            </w:r>
          </w:p>
        </w:tc>
        <w:tc>
          <w:tcPr>
            <w:tcW w:type="dxa" w:w="850"/>
          </w:tcPr>
          <w:p>
            <w:r/>
            <w:r>
              <w:rPr>
                <w:b/>
                <w:color w:val="5B6570"/>
                <w:sz w:val="17"/>
              </w:rPr>
              <w:t>2028</w:t>
            </w:r>
          </w:p>
        </w:tc>
        <w:tc>
          <w:tcPr>
            <w:tcW w:type="dxa" w:w="850"/>
          </w:tcPr>
          <w:p>
            <w:r/>
            <w:r>
              <w:rPr>
                <w:b/>
                <w:color w:val="5B6570"/>
                <w:sz w:val="17"/>
              </w:rPr>
              <w:t>2029</w:t>
            </w:r>
          </w:p>
        </w:tc>
        <w:tc>
          <w:tcPr>
            <w:tcW w:type="dxa" w:w="850"/>
          </w:tcPr>
          <w:p>
            <w:r/>
            <w:r>
              <w:rPr>
                <w:b/>
                <w:color w:val="5B6570"/>
                <w:sz w:val="17"/>
              </w:rPr>
              <w:t>2030</w:t>
            </w:r>
          </w:p>
        </w:tc>
        <w:tc>
          <w:tcPr>
            <w:tcW w:type="dxa" w:w="850"/>
          </w:tcPr>
          <w:p>
            <w:r/>
            <w:r>
              <w:rPr>
                <w:b/>
                <w:color w:val="5B6570"/>
                <w:sz w:val="17"/>
              </w:rPr>
              <w:t>2035</w:t>
            </w:r>
          </w:p>
        </w:tc>
        <w:tc>
          <w:tcPr>
            <w:tcW w:type="dxa" w:w="850"/>
          </w:tcPr>
          <w:p>
            <w:r/>
            <w:r>
              <w:rPr>
                <w:b/>
                <w:color w:val="5B6570"/>
                <w:sz w:val="17"/>
              </w:rPr>
              <w:t>2040</w:t>
            </w:r>
          </w:p>
        </w:tc>
      </w:tr>
      <w:tr>
        <w:trPr>
          <w:cantSplit/>
        </w:trPr>
        <w:tc>
          <w:tcPr>
            <w:tcW w:type="dxa" w:w="3214"/>
          </w:tcPr>
          <w:p>
            <w:r/>
            <w:r>
              <w:rPr>
                <w:color w:val="1A1D21"/>
                <w:sz w:val="17"/>
              </w:rPr>
              <w:t>Operating profit</w:t>
            </w:r>
          </w:p>
        </w:tc>
        <w:tc>
          <w:tcPr>
            <w:tcW w:type="dxa" w:w="850"/>
          </w:tcPr>
          <w:p>
            <w:pPr>
              <w:jc w:val="right"/>
            </w:pPr>
            <w:r/>
            <w:r>
              <w:rPr>
                <w:color w:val="1A1D21"/>
                <w:sz w:val="17"/>
              </w:rPr>
              <w:t>6,782</w:t>
            </w:r>
          </w:p>
        </w:tc>
        <w:tc>
          <w:tcPr>
            <w:tcW w:type="dxa" w:w="850"/>
          </w:tcPr>
          <w:p>
            <w:pPr>
              <w:jc w:val="right"/>
            </w:pPr>
            <w:r/>
            <w:r>
              <w:rPr>
                <w:color w:val="1A1D21"/>
                <w:sz w:val="17"/>
              </w:rPr>
              <w:t>8,735</w:t>
            </w:r>
          </w:p>
        </w:tc>
        <w:tc>
          <w:tcPr>
            <w:tcW w:type="dxa" w:w="850"/>
          </w:tcPr>
          <w:p>
            <w:pPr>
              <w:jc w:val="right"/>
            </w:pPr>
            <w:r/>
            <w:r>
              <w:rPr>
                <w:color w:val="1A1D21"/>
                <w:sz w:val="17"/>
              </w:rPr>
              <w:t>10,807</w:t>
            </w:r>
          </w:p>
        </w:tc>
        <w:tc>
          <w:tcPr>
            <w:tcW w:type="dxa" w:w="850"/>
          </w:tcPr>
          <w:p>
            <w:pPr>
              <w:jc w:val="right"/>
            </w:pPr>
            <w:r/>
            <w:r>
              <w:rPr>
                <w:color w:val="1A1D21"/>
                <w:sz w:val="17"/>
              </w:rPr>
              <w:t>13,012</w:t>
            </w:r>
          </w:p>
        </w:tc>
        <w:tc>
          <w:tcPr>
            <w:tcW w:type="dxa" w:w="850"/>
          </w:tcPr>
          <w:p>
            <w:pPr>
              <w:jc w:val="right"/>
            </w:pPr>
            <w:r/>
            <w:r>
              <w:rPr>
                <w:color w:val="1A1D21"/>
                <w:sz w:val="17"/>
              </w:rPr>
              <w:t>15,384</w:t>
            </w:r>
          </w:p>
        </w:tc>
        <w:tc>
          <w:tcPr>
            <w:tcW w:type="dxa" w:w="850"/>
          </w:tcPr>
          <w:p>
            <w:pPr>
              <w:jc w:val="right"/>
            </w:pPr>
            <w:r/>
            <w:r>
              <w:rPr>
                <w:color w:val="1A1D21"/>
                <w:sz w:val="17"/>
              </w:rPr>
              <w:t>28,847</w:t>
            </w:r>
          </w:p>
        </w:tc>
        <w:tc>
          <w:tcPr>
            <w:tcW w:type="dxa" w:w="850"/>
          </w:tcPr>
          <w:p>
            <w:pPr>
              <w:jc w:val="right"/>
            </w:pPr>
            <w:r/>
            <w:r>
              <w:rPr>
                <w:color w:val="1A1D21"/>
                <w:sz w:val="17"/>
              </w:rPr>
              <w:t>41,066</w:t>
            </w:r>
          </w:p>
        </w:tc>
      </w:tr>
      <w:tr>
        <w:trPr>
          <w:cantSplit/>
        </w:trPr>
        <w:tc>
          <w:tcPr>
            <w:tcW w:type="dxa" w:w="3214"/>
          </w:tcPr>
          <w:p>
            <w:r/>
            <w:r>
              <w:rPr>
                <w:color w:val="1A1D21"/>
                <w:sz w:val="17"/>
              </w:rPr>
              <w:t>Cash from operations</w:t>
            </w:r>
          </w:p>
        </w:tc>
        <w:tc>
          <w:tcPr>
            <w:tcW w:type="dxa" w:w="850"/>
          </w:tcPr>
          <w:p>
            <w:pPr>
              <w:jc w:val="right"/>
            </w:pPr>
            <w:r/>
            <w:r>
              <w:rPr>
                <w:color w:val="1A1D21"/>
                <w:sz w:val="17"/>
              </w:rPr>
              <w:t>3,510</w:t>
            </w:r>
          </w:p>
        </w:tc>
        <w:tc>
          <w:tcPr>
            <w:tcW w:type="dxa" w:w="850"/>
          </w:tcPr>
          <w:p>
            <w:pPr>
              <w:jc w:val="right"/>
            </w:pPr>
            <w:r/>
            <w:r>
              <w:rPr>
                <w:color w:val="1A1D21"/>
                <w:sz w:val="17"/>
              </w:rPr>
              <w:t>4,521</w:t>
            </w:r>
          </w:p>
        </w:tc>
        <w:tc>
          <w:tcPr>
            <w:tcW w:type="dxa" w:w="850"/>
          </w:tcPr>
          <w:p>
            <w:pPr>
              <w:jc w:val="right"/>
            </w:pPr>
            <w:r/>
            <w:r>
              <w:rPr>
                <w:color w:val="1A1D21"/>
                <w:sz w:val="17"/>
              </w:rPr>
              <w:t>5,593</w:t>
            </w:r>
          </w:p>
        </w:tc>
        <w:tc>
          <w:tcPr>
            <w:tcW w:type="dxa" w:w="850"/>
          </w:tcPr>
          <w:p>
            <w:pPr>
              <w:jc w:val="right"/>
            </w:pPr>
            <w:r/>
            <w:r>
              <w:rPr>
                <w:color w:val="1A1D21"/>
                <w:sz w:val="17"/>
              </w:rPr>
              <w:t>6,734</w:t>
            </w:r>
          </w:p>
        </w:tc>
        <w:tc>
          <w:tcPr>
            <w:tcW w:type="dxa" w:w="850"/>
          </w:tcPr>
          <w:p>
            <w:pPr>
              <w:jc w:val="right"/>
            </w:pPr>
            <w:r/>
            <w:r>
              <w:rPr>
                <w:color w:val="1A1D21"/>
                <w:sz w:val="17"/>
              </w:rPr>
              <w:t>7,961</w:t>
            </w:r>
          </w:p>
        </w:tc>
        <w:tc>
          <w:tcPr>
            <w:tcW w:type="dxa" w:w="850"/>
          </w:tcPr>
          <w:p>
            <w:pPr>
              <w:jc w:val="right"/>
            </w:pPr>
            <w:r/>
            <w:r>
              <w:rPr>
                <w:color w:val="1A1D21"/>
                <w:sz w:val="17"/>
              </w:rPr>
              <w:t>14,928</w:t>
            </w:r>
          </w:p>
        </w:tc>
        <w:tc>
          <w:tcPr>
            <w:tcW w:type="dxa" w:w="850"/>
          </w:tcPr>
          <w:p>
            <w:pPr>
              <w:jc w:val="right"/>
            </w:pPr>
            <w:r/>
            <w:r>
              <w:rPr>
                <w:color w:val="1A1D21"/>
                <w:sz w:val="17"/>
              </w:rPr>
              <w:t>21,251</w:t>
            </w:r>
          </w:p>
        </w:tc>
      </w:tr>
      <w:tr>
        <w:trPr>
          <w:cantSplit/>
        </w:trPr>
        <w:tc>
          <w:tcPr>
            <w:tcW w:type="dxa" w:w="3214"/>
          </w:tcPr>
          <w:p>
            <w:r/>
            <w:r>
              <w:rPr>
                <w:color w:val="1A1D21"/>
                <w:sz w:val="17"/>
              </w:rPr>
              <w:t xml:space="preserve">  as a share of revenue</w:t>
            </w:r>
          </w:p>
        </w:tc>
        <w:tc>
          <w:tcPr>
            <w:tcW w:type="dxa" w:w="850"/>
          </w:tcPr>
          <w:p>
            <w:pPr>
              <w:jc w:val="right"/>
            </w:pPr>
            <w:r/>
            <w:r>
              <w:rPr>
                <w:color w:val="1A1D21"/>
                <w:sz w:val="17"/>
              </w:rPr>
              <w:t>8.7%</w:t>
            </w:r>
          </w:p>
        </w:tc>
        <w:tc>
          <w:tcPr>
            <w:tcW w:type="dxa" w:w="850"/>
          </w:tcPr>
          <w:p>
            <w:pPr>
              <w:jc w:val="right"/>
            </w:pPr>
            <w:r/>
            <w:r>
              <w:rPr>
                <w:color w:val="1A1D21"/>
                <w:sz w:val="17"/>
              </w:rPr>
              <w:t>8.7%</w:t>
            </w:r>
          </w:p>
        </w:tc>
        <w:tc>
          <w:tcPr>
            <w:tcW w:type="dxa" w:w="850"/>
          </w:tcPr>
          <w:p>
            <w:pPr>
              <w:jc w:val="right"/>
            </w:pPr>
            <w:r/>
            <w:r>
              <w:rPr>
                <w:color w:val="1A1D21"/>
                <w:sz w:val="17"/>
              </w:rPr>
              <w:t>8.7%</w:t>
            </w:r>
          </w:p>
        </w:tc>
        <w:tc>
          <w:tcPr>
            <w:tcW w:type="dxa" w:w="850"/>
          </w:tcPr>
          <w:p>
            <w:pPr>
              <w:jc w:val="right"/>
            </w:pPr>
            <w:r/>
            <w:r>
              <w:rPr>
                <w:color w:val="1A1D21"/>
                <w:sz w:val="17"/>
              </w:rPr>
              <w:t>8.7%</w:t>
            </w:r>
          </w:p>
        </w:tc>
        <w:tc>
          <w:tcPr>
            <w:tcW w:type="dxa" w:w="850"/>
          </w:tcPr>
          <w:p>
            <w:pPr>
              <w:jc w:val="right"/>
            </w:pPr>
            <w:r/>
            <w:r>
              <w:rPr>
                <w:color w:val="1A1D21"/>
                <w:sz w:val="17"/>
              </w:rPr>
              <w:t>8.7%</w:t>
            </w:r>
          </w:p>
        </w:tc>
        <w:tc>
          <w:tcPr>
            <w:tcW w:type="dxa" w:w="850"/>
          </w:tcPr>
          <w:p>
            <w:pPr>
              <w:jc w:val="right"/>
            </w:pPr>
            <w:r/>
            <w:r>
              <w:rPr>
                <w:color w:val="1A1D21"/>
                <w:sz w:val="17"/>
              </w:rPr>
              <w:t>8.7%</w:t>
            </w:r>
          </w:p>
        </w:tc>
        <w:tc>
          <w:tcPr>
            <w:tcW w:type="dxa" w:w="850"/>
          </w:tcPr>
          <w:p>
            <w:pPr>
              <w:jc w:val="right"/>
            </w:pPr>
            <w:r/>
            <w:r>
              <w:rPr>
                <w:color w:val="1A1D21"/>
                <w:sz w:val="17"/>
              </w:rPr>
              <w:t>8.7%</w:t>
            </w:r>
          </w:p>
        </w:tc>
      </w:tr>
      <w:tr>
        <w:trPr>
          <w:cantSplit/>
        </w:trPr>
        <w:tc>
          <w:tcPr>
            <w:tcW w:type="dxa" w:w="3214"/>
          </w:tcPr>
          <w:p>
            <w:r/>
            <w:r>
              <w:rPr>
                <w:color w:val="1A1D21"/>
                <w:sz w:val="17"/>
              </w:rPr>
              <w:t>plus finance cost, after tax</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r>
      <w:tr>
        <w:trPr>
          <w:cantSplit/>
        </w:trPr>
        <w:tc>
          <w:tcPr>
            <w:tcW w:type="dxa" w:w="3214"/>
          </w:tcPr>
          <w:p>
            <w:r/>
            <w:r>
              <w:rPr>
                <w:color w:val="1A1D21"/>
                <w:sz w:val="17"/>
              </w:rPr>
              <w:t>less capital expenditure</w:t>
            </w:r>
          </w:p>
        </w:tc>
        <w:tc>
          <w:tcPr>
            <w:tcW w:type="dxa" w:w="850"/>
          </w:tcPr>
          <w:p>
            <w:pPr>
              <w:jc w:val="right"/>
            </w:pPr>
            <w:r/>
            <w:r>
              <w:rPr>
                <w:color w:val="1A1D21"/>
                <w:sz w:val="17"/>
              </w:rPr>
              <w:t>403</w:t>
            </w:r>
          </w:p>
        </w:tc>
        <w:tc>
          <w:tcPr>
            <w:tcW w:type="dxa" w:w="850"/>
          </w:tcPr>
          <w:p>
            <w:pPr>
              <w:jc w:val="right"/>
            </w:pPr>
            <w:r/>
            <w:r>
              <w:rPr>
                <w:color w:val="1A1D21"/>
                <w:sz w:val="17"/>
              </w:rPr>
              <w:t>519</w:t>
            </w:r>
          </w:p>
        </w:tc>
        <w:tc>
          <w:tcPr>
            <w:tcW w:type="dxa" w:w="850"/>
          </w:tcPr>
          <w:p>
            <w:pPr>
              <w:jc w:val="right"/>
            </w:pPr>
            <w:r/>
            <w:r>
              <w:rPr>
                <w:color w:val="1A1D21"/>
                <w:sz w:val="17"/>
              </w:rPr>
              <w:t>642</w:t>
            </w:r>
          </w:p>
        </w:tc>
        <w:tc>
          <w:tcPr>
            <w:tcW w:type="dxa" w:w="850"/>
          </w:tcPr>
          <w:p>
            <w:pPr>
              <w:jc w:val="right"/>
            </w:pPr>
            <w:r/>
            <w:r>
              <w:rPr>
                <w:color w:val="1A1D21"/>
                <w:sz w:val="17"/>
              </w:rPr>
              <w:t>773</w:t>
            </w:r>
          </w:p>
        </w:tc>
        <w:tc>
          <w:tcPr>
            <w:tcW w:type="dxa" w:w="850"/>
          </w:tcPr>
          <w:p>
            <w:pPr>
              <w:jc w:val="right"/>
            </w:pPr>
            <w:r/>
            <w:r>
              <w:rPr>
                <w:color w:val="1A1D21"/>
                <w:sz w:val="17"/>
              </w:rPr>
              <w:t>914</w:t>
            </w:r>
          </w:p>
        </w:tc>
        <w:tc>
          <w:tcPr>
            <w:tcW w:type="dxa" w:w="850"/>
          </w:tcPr>
          <w:p>
            <w:pPr>
              <w:jc w:val="right"/>
            </w:pPr>
            <w:r/>
            <w:r>
              <w:rPr>
                <w:color w:val="1A1D21"/>
                <w:sz w:val="17"/>
              </w:rPr>
              <w:t>1,713</w:t>
            </w:r>
          </w:p>
        </w:tc>
        <w:tc>
          <w:tcPr>
            <w:tcW w:type="dxa" w:w="850"/>
          </w:tcPr>
          <w:p>
            <w:pPr>
              <w:jc w:val="right"/>
            </w:pPr>
            <w:r/>
            <w:r>
              <w:rPr>
                <w:color w:val="1A1D21"/>
                <w:sz w:val="17"/>
              </w:rPr>
              <w:t>2,439</w:t>
            </w:r>
          </w:p>
        </w:tc>
      </w:tr>
      <w:tr>
        <w:trPr>
          <w:cantSplit/>
        </w:trPr>
        <w:tc>
          <w:tcPr>
            <w:tcW w:type="dxa" w:w="3214"/>
          </w:tcPr>
          <w:p>
            <w:r/>
            <w:r>
              <w:rPr>
                <w:color w:val="1A1D21"/>
                <w:sz w:val="17"/>
              </w:rPr>
              <w:t>Free cash flow to the firm</w:t>
            </w:r>
          </w:p>
        </w:tc>
        <w:tc>
          <w:tcPr>
            <w:tcW w:type="dxa" w:w="850"/>
          </w:tcPr>
          <w:p>
            <w:pPr>
              <w:jc w:val="right"/>
            </w:pPr>
            <w:r/>
            <w:r>
              <w:rPr>
                <w:color w:val="1A1D21"/>
                <w:sz w:val="17"/>
              </w:rPr>
              <w:t>5,701</w:t>
            </w:r>
          </w:p>
        </w:tc>
        <w:tc>
          <w:tcPr>
            <w:tcW w:type="dxa" w:w="850"/>
          </w:tcPr>
          <w:p>
            <w:pPr>
              <w:jc w:val="right"/>
            </w:pPr>
            <w:r/>
            <w:r>
              <w:rPr>
                <w:color w:val="1A1D21"/>
                <w:sz w:val="17"/>
              </w:rPr>
              <w:t>6,596</w:t>
            </w:r>
          </w:p>
        </w:tc>
        <w:tc>
          <w:tcPr>
            <w:tcW w:type="dxa" w:w="850"/>
          </w:tcPr>
          <w:p>
            <w:pPr>
              <w:jc w:val="right"/>
            </w:pPr>
            <w:r/>
            <w:r>
              <w:rPr>
                <w:color w:val="1A1D21"/>
                <w:sz w:val="17"/>
              </w:rPr>
              <w:t>7,545</w:t>
            </w:r>
          </w:p>
        </w:tc>
        <w:tc>
          <w:tcPr>
            <w:tcW w:type="dxa" w:w="850"/>
          </w:tcPr>
          <w:p>
            <w:pPr>
              <w:jc w:val="right"/>
            </w:pPr>
            <w:r/>
            <w:r>
              <w:rPr>
                <w:color w:val="1A1D21"/>
                <w:sz w:val="17"/>
              </w:rPr>
              <w:t>8,555</w:t>
            </w:r>
          </w:p>
        </w:tc>
        <w:tc>
          <w:tcPr>
            <w:tcW w:type="dxa" w:w="850"/>
          </w:tcPr>
          <w:p>
            <w:pPr>
              <w:jc w:val="right"/>
            </w:pPr>
            <w:r/>
            <w:r>
              <w:rPr>
                <w:color w:val="1A1D21"/>
                <w:sz w:val="17"/>
              </w:rPr>
              <w:t>9,642</w:t>
            </w:r>
          </w:p>
        </w:tc>
        <w:tc>
          <w:tcPr>
            <w:tcW w:type="dxa" w:w="850"/>
          </w:tcPr>
          <w:p>
            <w:pPr>
              <w:jc w:val="right"/>
            </w:pPr>
            <w:r/>
            <w:r>
              <w:rPr>
                <w:color w:val="1A1D21"/>
                <w:sz w:val="17"/>
              </w:rPr>
              <w:t>15,809</w:t>
            </w:r>
          </w:p>
        </w:tc>
        <w:tc>
          <w:tcPr>
            <w:tcW w:type="dxa" w:w="850"/>
          </w:tcPr>
          <w:p>
            <w:pPr>
              <w:jc w:val="right"/>
            </w:pPr>
            <w:r/>
            <w:r>
              <w:rPr>
                <w:color w:val="1A1D21"/>
                <w:sz w:val="17"/>
              </w:rPr>
              <w:t>21,407</w:t>
            </w:r>
          </w:p>
        </w:tc>
      </w:tr>
      <w:tr>
        <w:trPr>
          <w:cantSplit/>
        </w:trPr>
        <w:tc>
          <w:tcPr>
            <w:tcW w:type="dxa" w:w="3214"/>
          </w:tcPr>
          <w:p>
            <w:r/>
            <w:r>
              <w:rPr>
                <w:color w:val="1A1D21"/>
                <w:sz w:val="17"/>
              </w:rPr>
              <w:t>Cost of capital, that year</w:t>
            </w:r>
          </w:p>
        </w:tc>
        <w:tc>
          <w:tcPr>
            <w:tcW w:type="dxa" w:w="850"/>
          </w:tcPr>
          <w:p>
            <w:pPr>
              <w:jc w:val="right"/>
            </w:pPr>
            <w:r/>
            <w:r>
              <w:rPr>
                <w:color w:val="1A1D21"/>
                <w:sz w:val="17"/>
              </w:rPr>
              <w:t>25.0%</w:t>
            </w:r>
          </w:p>
        </w:tc>
        <w:tc>
          <w:tcPr>
            <w:tcW w:type="dxa" w:w="850"/>
          </w:tcPr>
          <w:p>
            <w:pPr>
              <w:jc w:val="right"/>
            </w:pPr>
            <w:r/>
            <w:r>
              <w:rPr>
                <w:color w:val="1A1D21"/>
                <w:sz w:val="17"/>
              </w:rPr>
              <w:t>21.4%</w:t>
            </w:r>
          </w:p>
        </w:tc>
        <w:tc>
          <w:tcPr>
            <w:tcW w:type="dxa" w:w="850"/>
          </w:tcPr>
          <w:p>
            <w:pPr>
              <w:jc w:val="right"/>
            </w:pPr>
            <w:r/>
            <w:r>
              <w:rPr>
                <w:color w:val="1A1D21"/>
                <w:sz w:val="17"/>
              </w:rPr>
              <w:t>18.5%</w:t>
            </w:r>
          </w:p>
        </w:tc>
        <w:tc>
          <w:tcPr>
            <w:tcW w:type="dxa" w:w="850"/>
          </w:tcPr>
          <w:p>
            <w:pPr>
              <w:jc w:val="right"/>
            </w:pPr>
            <w:r/>
            <w:r>
              <w:rPr>
                <w:color w:val="1A1D21"/>
                <w:sz w:val="17"/>
              </w:rPr>
              <w:t>16.4%</w:t>
            </w:r>
          </w:p>
        </w:tc>
        <w:tc>
          <w:tcPr>
            <w:tcW w:type="dxa" w:w="850"/>
          </w:tcPr>
          <w:p>
            <w:pPr>
              <w:jc w:val="right"/>
            </w:pPr>
            <w:r/>
            <w:r>
              <w:rPr>
                <w:color w:val="1A1D21"/>
                <w:sz w:val="17"/>
              </w:rPr>
              <w:t>15.0%</w:t>
            </w:r>
          </w:p>
        </w:tc>
        <w:tc>
          <w:tcPr>
            <w:tcW w:type="dxa" w:w="850"/>
          </w:tcPr>
          <w:p>
            <w:pPr>
              <w:jc w:val="right"/>
            </w:pPr>
            <w:r/>
            <w:r>
              <w:rPr>
                <w:color w:val="1A1D21"/>
                <w:sz w:val="17"/>
              </w:rPr>
              <w:t>15.0%</w:t>
            </w:r>
          </w:p>
        </w:tc>
        <w:tc>
          <w:tcPr>
            <w:tcW w:type="dxa" w:w="850"/>
          </w:tcPr>
          <w:p>
            <w:pPr>
              <w:jc w:val="right"/>
            </w:pPr>
            <w:r/>
            <w:r>
              <w:rPr>
                <w:color w:val="1A1D21"/>
                <w:sz w:val="17"/>
              </w:rPr>
              <w:t>15.0%</w:t>
            </w:r>
          </w:p>
        </w:tc>
      </w:tr>
      <w:tr>
        <w:trPr>
          <w:cantSplit/>
        </w:trPr>
        <w:tc>
          <w:tcPr>
            <w:tcW w:type="dxa" w:w="3214"/>
          </w:tcPr>
          <w:p>
            <w:r/>
            <w:r>
              <w:rPr>
                <w:color w:val="1A1D21"/>
                <w:sz w:val="17"/>
              </w:rPr>
              <w:t>Discount factor</w:t>
            </w:r>
          </w:p>
        </w:tc>
        <w:tc>
          <w:tcPr>
            <w:tcW w:type="dxa" w:w="850"/>
          </w:tcPr>
          <w:p>
            <w:pPr>
              <w:jc w:val="right"/>
            </w:pPr>
            <w:r/>
            <w:r>
              <w:rPr>
                <w:color w:val="1A1D21"/>
                <w:sz w:val="17"/>
              </w:rPr>
              <w:t>0.800</w:t>
            </w:r>
          </w:p>
        </w:tc>
        <w:tc>
          <w:tcPr>
            <w:tcW w:type="dxa" w:w="850"/>
          </w:tcPr>
          <w:p>
            <w:pPr>
              <w:jc w:val="right"/>
            </w:pPr>
            <w:r/>
            <w:r>
              <w:rPr>
                <w:color w:val="1A1D21"/>
                <w:sz w:val="17"/>
              </w:rPr>
              <w:t>0.659</w:t>
            </w:r>
          </w:p>
        </w:tc>
        <w:tc>
          <w:tcPr>
            <w:tcW w:type="dxa" w:w="850"/>
          </w:tcPr>
          <w:p>
            <w:pPr>
              <w:jc w:val="right"/>
            </w:pPr>
            <w:r/>
            <w:r>
              <w:rPr>
                <w:color w:val="1A1D21"/>
                <w:sz w:val="17"/>
              </w:rPr>
              <w:t>0.556</w:t>
            </w:r>
          </w:p>
        </w:tc>
        <w:tc>
          <w:tcPr>
            <w:tcW w:type="dxa" w:w="850"/>
          </w:tcPr>
          <w:p>
            <w:pPr>
              <w:jc w:val="right"/>
            </w:pPr>
            <w:r/>
            <w:r>
              <w:rPr>
                <w:color w:val="1A1D21"/>
                <w:sz w:val="17"/>
              </w:rPr>
              <w:t>0.478</w:t>
            </w:r>
          </w:p>
        </w:tc>
        <w:tc>
          <w:tcPr>
            <w:tcW w:type="dxa" w:w="850"/>
          </w:tcPr>
          <w:p>
            <w:pPr>
              <w:jc w:val="right"/>
            </w:pPr>
            <w:r/>
            <w:r>
              <w:rPr>
                <w:color w:val="1A1D21"/>
                <w:sz w:val="17"/>
              </w:rPr>
              <w:t>0.416</w:t>
            </w:r>
          </w:p>
        </w:tc>
        <w:tc>
          <w:tcPr>
            <w:tcW w:type="dxa" w:w="850"/>
          </w:tcPr>
          <w:p>
            <w:pPr>
              <w:jc w:val="right"/>
            </w:pPr>
            <w:r/>
            <w:r>
              <w:rPr>
                <w:color w:val="1A1D21"/>
                <w:sz w:val="17"/>
              </w:rPr>
              <w:t>0.207</w:t>
            </w:r>
          </w:p>
        </w:tc>
        <w:tc>
          <w:tcPr>
            <w:tcW w:type="dxa" w:w="850"/>
          </w:tcPr>
          <w:p>
            <w:pPr>
              <w:jc w:val="right"/>
            </w:pPr>
            <w:r/>
            <w:r>
              <w:rPr>
                <w:color w:val="1A1D21"/>
                <w:sz w:val="17"/>
              </w:rPr>
              <w:t>0.103</w:t>
            </w:r>
          </w:p>
        </w:tc>
      </w:tr>
      <w:tr>
        <w:trPr>
          <w:cantSplit/>
        </w:trPr>
        <w:tc>
          <w:tcPr>
            <w:tcW w:type="dxa" w:w="3214"/>
          </w:tcPr>
          <w:p>
            <w:r/>
            <w:r>
              <w:rPr>
                <w:color w:val="1A1D21"/>
                <w:sz w:val="17"/>
              </w:rPr>
              <w:t>Present value</w:t>
            </w:r>
          </w:p>
        </w:tc>
        <w:tc>
          <w:tcPr>
            <w:tcW w:type="dxa" w:w="850"/>
          </w:tcPr>
          <w:p>
            <w:pPr>
              <w:jc w:val="right"/>
            </w:pPr>
            <w:r/>
            <w:r>
              <w:rPr>
                <w:color w:val="1A1D21"/>
                <w:sz w:val="17"/>
              </w:rPr>
              <w:t>4,562</w:t>
            </w:r>
          </w:p>
        </w:tc>
        <w:tc>
          <w:tcPr>
            <w:tcW w:type="dxa" w:w="850"/>
          </w:tcPr>
          <w:p>
            <w:pPr>
              <w:jc w:val="right"/>
            </w:pPr>
            <w:r/>
            <w:r>
              <w:rPr>
                <w:color w:val="1A1D21"/>
                <w:sz w:val="17"/>
              </w:rPr>
              <w:t>4,348</w:t>
            </w:r>
          </w:p>
        </w:tc>
        <w:tc>
          <w:tcPr>
            <w:tcW w:type="dxa" w:w="850"/>
          </w:tcPr>
          <w:p>
            <w:pPr>
              <w:jc w:val="right"/>
            </w:pPr>
            <w:r/>
            <w:r>
              <w:rPr>
                <w:color w:val="1A1D21"/>
                <w:sz w:val="17"/>
              </w:rPr>
              <w:t>4,196</w:t>
            </w:r>
          </w:p>
        </w:tc>
        <w:tc>
          <w:tcPr>
            <w:tcW w:type="dxa" w:w="850"/>
          </w:tcPr>
          <w:p>
            <w:pPr>
              <w:jc w:val="right"/>
            </w:pPr>
            <w:r/>
            <w:r>
              <w:rPr>
                <w:color w:val="1A1D21"/>
                <w:sz w:val="17"/>
              </w:rPr>
              <w:t>4,087</w:t>
            </w:r>
          </w:p>
        </w:tc>
        <w:tc>
          <w:tcPr>
            <w:tcW w:type="dxa" w:w="850"/>
          </w:tcPr>
          <w:p>
            <w:pPr>
              <w:jc w:val="right"/>
            </w:pPr>
            <w:r/>
            <w:r>
              <w:rPr>
                <w:color w:val="1A1D21"/>
                <w:sz w:val="17"/>
              </w:rPr>
              <w:t>4,006</w:t>
            </w:r>
          </w:p>
        </w:tc>
        <w:tc>
          <w:tcPr>
            <w:tcW w:type="dxa" w:w="850"/>
          </w:tcPr>
          <w:p>
            <w:pPr>
              <w:jc w:val="right"/>
            </w:pPr>
            <w:r/>
            <w:r>
              <w:rPr>
                <w:color w:val="1A1D21"/>
                <w:sz w:val="17"/>
              </w:rPr>
              <w:t>3,269</w:t>
            </w:r>
          </w:p>
        </w:tc>
        <w:tc>
          <w:tcPr>
            <w:tcW w:type="dxa" w:w="850"/>
          </w:tcPr>
          <w:p>
            <w:pPr>
              <w:jc w:val="right"/>
            </w:pPr>
            <w:r/>
            <w:r>
              <w:rPr>
                <w:color w:val="1A1D21"/>
                <w:sz w:val="17"/>
              </w:rPr>
              <w:t>2,204</w:t>
            </w:r>
          </w:p>
        </w:tc>
      </w:tr>
    </w:tbl>
    <w:p>
      <w:pPr>
        <w:spacing w:after="200"/>
      </w:pPr>
      <w:r>
        <w:rPr>
          <w:b w:val="0"/>
          <w:i/>
          <w:color w:val="5B6570"/>
          <w:sz w:val="16"/>
        </w:rPr>
        <w:t>The finance charge is added back after tax because the discount rate already carries the cost of debt; leaving it in the cash flow would charge for the same thing twice. Capital expenditure is maintenance only, at one per cent of revenue: for this company the building itself is inventory, and it is already inside operating cash.</w:t>
      </w:r>
    </w:p>
    <w:tbl>
      <w:tblPr>
        <w:tblStyle w:val="TableGrid"/>
        <w:tblW w:type="auto" w:w="0"/>
        <w:jc w:val="center"/>
        <w:tblLayout w:type="fixed"/>
        <w:tblLook w:firstColumn="1" w:firstRow="1" w:lastColumn="0" w:lastRow="0" w:noHBand="0" w:noVBand="1" w:val="04A0"/>
        <w:tblLayout w:type="fixed"/>
      </w:tblPr>
      <w:tblGrid>
        <w:gridCol w:w="8108"/>
        <w:gridCol w:w="1077"/>
      </w:tblGrid>
      <w:tr>
        <w:trPr>
          <w:tblHeader w:val="true"/>
        </w:trPr>
        <w:tc>
          <w:tcPr>
            <w:tcW w:type="dxa" w:w="8107"/>
          </w:tcPr>
          <w:p>
            <w:r/>
            <w:r>
              <w:rPr>
                <w:b/>
                <w:color w:val="5B6570"/>
                <w:sz w:val="17"/>
              </w:rPr>
              <w:t>Bridge from enterprise value to equity, base case</w:t>
            </w:r>
          </w:p>
        </w:tc>
        <w:tc>
          <w:tcPr>
            <w:tcW w:type="dxa" w:w="1077"/>
          </w:tcPr>
          <w:p>
            <w:r/>
            <w:r>
              <w:rPr>
                <w:b/>
                <w:color w:val="5B6570"/>
                <w:sz w:val="17"/>
              </w:rPr>
              <w:t>EGP mn</w:t>
            </w:r>
          </w:p>
        </w:tc>
      </w:tr>
      <w:tr>
        <w:trPr>
          <w:cantSplit/>
        </w:trPr>
        <w:tc>
          <w:tcPr>
            <w:tcW w:type="dxa" w:w="8107"/>
          </w:tcPr>
          <w:p>
            <w:r/>
            <w:r>
              <w:rPr>
                <w:color w:val="1A1D21"/>
                <w:sz w:val="17"/>
              </w:rPr>
              <w:t>Present value of the explicit 15 years</w:t>
            </w:r>
          </w:p>
        </w:tc>
        <w:tc>
          <w:tcPr>
            <w:tcW w:type="dxa" w:w="1077"/>
          </w:tcPr>
          <w:p>
            <w:pPr>
              <w:jc w:val="right"/>
            </w:pPr>
            <w:r/>
            <w:r>
              <w:rPr>
                <w:color w:val="1A1D21"/>
                <w:sz w:val="17"/>
              </w:rPr>
              <w:t>52,309.7</w:t>
            </w:r>
          </w:p>
        </w:tc>
      </w:tr>
      <w:tr>
        <w:trPr>
          <w:cantSplit/>
        </w:trPr>
        <w:tc>
          <w:tcPr>
            <w:tcW w:type="dxa" w:w="8107"/>
          </w:tcPr>
          <w:p>
            <w:r/>
            <w:r>
              <w:rPr>
                <w:color w:val="1A1D21"/>
                <w:sz w:val="17"/>
              </w:rPr>
              <w:t>Present value beyond year 15</w:t>
            </w:r>
          </w:p>
        </w:tc>
        <w:tc>
          <w:tcPr>
            <w:tcW w:type="dxa" w:w="1077"/>
          </w:tcPr>
          <w:p>
            <w:pPr>
              <w:jc w:val="right"/>
            </w:pPr>
            <w:r/>
            <w:r>
              <w:rPr>
                <w:color w:val="1A1D21"/>
                <w:sz w:val="17"/>
              </w:rPr>
              <w:t>29,567.0</w:t>
            </w:r>
          </w:p>
        </w:tc>
      </w:tr>
      <w:tr>
        <w:trPr>
          <w:cantSplit/>
        </w:trPr>
        <w:tc>
          <w:tcPr>
            <w:tcW w:type="dxa" w:w="8107"/>
          </w:tcPr>
          <w:p>
            <w:r/>
            <w:r>
              <w:rPr>
                <w:color w:val="1A1D21"/>
                <w:sz w:val="17"/>
              </w:rPr>
              <w:t>Enterprise value</w:t>
            </w:r>
          </w:p>
        </w:tc>
        <w:tc>
          <w:tcPr>
            <w:tcW w:type="dxa" w:w="1077"/>
          </w:tcPr>
          <w:p>
            <w:pPr>
              <w:jc w:val="right"/>
            </w:pPr>
            <w:r/>
            <w:r>
              <w:rPr>
                <w:color w:val="1A1D21"/>
                <w:sz w:val="17"/>
              </w:rPr>
              <w:t>81,876.6</w:t>
            </w:r>
          </w:p>
        </w:tc>
      </w:tr>
      <w:tr>
        <w:trPr>
          <w:cantSplit/>
        </w:trPr>
        <w:tc>
          <w:tcPr>
            <w:tcW w:type="dxa" w:w="8107"/>
          </w:tcPr>
          <w:p>
            <w:r/>
            <w:r>
              <w:rPr>
                <w:color w:val="1A1D21"/>
                <w:sz w:val="17"/>
              </w:rPr>
              <w:t>less net debt, 31 March 2026</w:t>
            </w:r>
          </w:p>
        </w:tc>
        <w:tc>
          <w:tcPr>
            <w:tcW w:type="dxa" w:w="1077"/>
          </w:tcPr>
          <w:p>
            <w:pPr>
              <w:jc w:val="right"/>
            </w:pPr>
            <w:r/>
            <w:r>
              <w:rPr>
                <w:color w:val="1A1D21"/>
                <w:sz w:val="17"/>
              </w:rPr>
              <w:t>-23,244.7</w:t>
            </w:r>
          </w:p>
        </w:tc>
      </w:tr>
      <w:tr>
        <w:trPr>
          <w:cantSplit/>
        </w:trPr>
        <w:tc>
          <w:tcPr>
            <w:tcW w:type="dxa" w:w="8107"/>
          </w:tcPr>
          <w:p>
            <w:r/>
            <w:r>
              <w:rPr>
                <w:color w:val="1A1D21"/>
                <w:sz w:val="17"/>
              </w:rPr>
              <w:t>plus investments in associates</w:t>
            </w:r>
          </w:p>
        </w:tc>
        <w:tc>
          <w:tcPr>
            <w:tcW w:type="dxa" w:w="1077"/>
          </w:tcPr>
          <w:p>
            <w:pPr>
              <w:jc w:val="right"/>
            </w:pPr>
            <w:r/>
            <w:r>
              <w:rPr>
                <w:color w:val="1A1D21"/>
                <w:sz w:val="17"/>
              </w:rPr>
              <w:t>3,838.7</w:t>
            </w:r>
          </w:p>
        </w:tc>
      </w:tr>
      <w:tr>
        <w:trPr>
          <w:cantSplit/>
        </w:trPr>
        <w:tc>
          <w:tcPr>
            <w:tcW w:type="dxa" w:w="8107"/>
          </w:tcPr>
          <w:p>
            <w:r/>
            <w:r>
              <w:rPr>
                <w:color w:val="1A1D21"/>
                <w:sz w:val="17"/>
              </w:rPr>
              <w:t>plus investment property</w:t>
            </w:r>
          </w:p>
        </w:tc>
        <w:tc>
          <w:tcPr>
            <w:tcW w:type="dxa" w:w="1077"/>
          </w:tcPr>
          <w:p>
            <w:pPr>
              <w:jc w:val="right"/>
            </w:pPr>
            <w:r/>
            <w:r>
              <w:rPr>
                <w:color w:val="1A1D21"/>
                <w:sz w:val="17"/>
              </w:rPr>
              <w:t>1,020.5</w:t>
            </w:r>
          </w:p>
        </w:tc>
      </w:tr>
      <w:tr>
        <w:trPr>
          <w:cantSplit/>
        </w:trPr>
        <w:tc>
          <w:tcPr>
            <w:tcW w:type="dxa" w:w="8107"/>
          </w:tcPr>
          <w:p>
            <w:r/>
            <w:r>
              <w:rPr>
                <w:color w:val="1A1D21"/>
                <w:sz w:val="17"/>
              </w:rPr>
              <w:t>Equity value before minority interests</w:t>
            </w:r>
          </w:p>
        </w:tc>
        <w:tc>
          <w:tcPr>
            <w:tcW w:type="dxa" w:w="1077"/>
          </w:tcPr>
          <w:p>
            <w:pPr>
              <w:jc w:val="right"/>
            </w:pPr>
            <w:r/>
            <w:r>
              <w:rPr>
                <w:color w:val="1A1D21"/>
                <w:sz w:val="17"/>
              </w:rPr>
              <w:t>63,491.1</w:t>
            </w:r>
          </w:p>
        </w:tc>
      </w:tr>
      <w:tr>
        <w:trPr>
          <w:cantSplit/>
        </w:trPr>
        <w:tc>
          <w:tcPr>
            <w:tcW w:type="dxa" w:w="8107"/>
          </w:tcPr>
          <w:p>
            <w:r/>
            <w:r>
              <w:rPr>
                <w:color w:val="1A1D21"/>
                <w:sz w:val="17"/>
              </w:rPr>
              <w:t>less minority interests at their share of value</w:t>
            </w:r>
          </w:p>
        </w:tc>
        <w:tc>
          <w:tcPr>
            <w:tcW w:type="dxa" w:w="1077"/>
          </w:tcPr>
          <w:p>
            <w:pPr>
              <w:jc w:val="right"/>
            </w:pPr>
            <w:r/>
            <w:r>
              <w:rPr>
                <w:color w:val="1A1D21"/>
                <w:sz w:val="17"/>
              </w:rPr>
              <w:t>-3,769.3</w:t>
            </w:r>
          </w:p>
        </w:tc>
      </w:tr>
      <w:tr>
        <w:trPr>
          <w:cantSplit/>
        </w:trPr>
        <w:tc>
          <w:tcPr>
            <w:tcW w:type="dxa" w:w="8107"/>
          </w:tcPr>
          <w:p>
            <w:r/>
            <w:r>
              <w:rPr>
                <w:color w:val="1A1D21"/>
                <w:sz w:val="17"/>
              </w:rPr>
              <w:t>Equity value attributable to shareholders</w:t>
            </w:r>
          </w:p>
        </w:tc>
        <w:tc>
          <w:tcPr>
            <w:tcW w:type="dxa" w:w="1077"/>
          </w:tcPr>
          <w:p>
            <w:pPr>
              <w:jc w:val="right"/>
            </w:pPr>
            <w:r/>
            <w:r>
              <w:rPr>
                <w:color w:val="1A1D21"/>
                <w:sz w:val="17"/>
              </w:rPr>
              <w:t>59,721.8</w:t>
            </w:r>
          </w:p>
        </w:tc>
      </w:tr>
      <w:tr>
        <w:trPr>
          <w:cantSplit/>
        </w:trPr>
        <w:tc>
          <w:tcPr>
            <w:tcW w:type="dxa" w:w="8107"/>
          </w:tcPr>
          <w:p>
            <w:r/>
            <w:r>
              <w:rPr>
                <w:color w:val="1A1D21"/>
                <w:sz w:val="17"/>
              </w:rPr>
              <w:t>Shares outstanding, millions</w:t>
            </w:r>
          </w:p>
        </w:tc>
        <w:tc>
          <w:tcPr>
            <w:tcW w:type="dxa" w:w="1077"/>
          </w:tcPr>
          <w:p>
            <w:pPr>
              <w:jc w:val="right"/>
            </w:pPr>
            <w:r/>
            <w:r>
              <w:rPr>
                <w:color w:val="1A1D21"/>
                <w:sz w:val="17"/>
              </w:rPr>
              <w:t>2,859.9</w:t>
            </w:r>
          </w:p>
        </w:tc>
      </w:tr>
      <w:tr>
        <w:trPr>
          <w:cantSplit/>
        </w:trPr>
        <w:tc>
          <w:tcPr>
            <w:tcW w:type="dxa" w:w="8107"/>
          </w:tcPr>
          <w:p>
            <w:r/>
            <w:r>
              <w:rPr>
                <w:color w:val="1A1D21"/>
                <w:sz w:val="17"/>
              </w:rPr>
              <w:t>Value per share, EGP</w:t>
            </w:r>
          </w:p>
        </w:tc>
        <w:tc>
          <w:tcPr>
            <w:tcW w:type="dxa" w:w="1077"/>
          </w:tcPr>
          <w:p>
            <w:pPr>
              <w:jc w:val="right"/>
            </w:pPr>
            <w:r/>
            <w:r>
              <w:rPr>
                <w:color w:val="1A1D21"/>
                <w:sz w:val="17"/>
              </w:rPr>
              <w:t>20.88</w:t>
            </w:r>
          </w:p>
        </w:tc>
      </w:tr>
    </w:tbl>
    <w:p>
      <w:pPr>
        <w:spacing w:after="200"/>
      </w:pPr>
      <w:r>
        <w:rPr>
          <w:b w:val="0"/>
          <w:i/>
          <w:color w:val="5B6570"/>
          <w:sz w:val="16"/>
        </w:rPr>
        <w:t>The terminal value is 36 per cent of enterprise value, which is high and is one reason the range is published rather than a point.</w:t>
      </w:r>
    </w:p>
    <w:p>
      <w:pPr>
        <w:pStyle w:val="Heading3"/>
      </w:pPr>
      <w:r>
        <w:t>What the two statements disagree about, and why it is not resolved here</w:t>
      </w:r>
    </w:p>
    <w:p>
      <w:pPr>
        <w:spacing w:after="140"/>
      </w:pPr>
      <w:r>
        <w:rPr>
          <w:b w:val="0"/>
          <w:i w:val="0"/>
          <w:color w:val="1A1D21"/>
          <w:sz w:val="20"/>
        </w:rPr>
        <w:t>The audited balance sheet and the audited cash-flow statement tell different stories about the same year, and the difference is the largest single uncertainty in this valuation. Working capital on the balance sheet rose EGP 20,085 million in 2025. Net profit plus depreciation less the operating cash the company reported implies it rose EGP 3,146 million. The difference is EGP 16,938 million — 46.8 per cent of the year's revenue.</w:t>
      </w:r>
    </w:p>
    <w:p>
      <w:pPr>
        <w:spacing w:after="140"/>
      </w:pPr>
      <w:r>
        <w:rPr>
          <w:b w:val="0"/>
          <w:i w:val="0"/>
          <w:color w:val="1A1D21"/>
          <w:sz w:val="20"/>
        </w:rPr>
        <w:t>A difference that size is not depreciation and it is not capitalised interest. It is consolidation, land taken on deferred terms, and reclassification inside a book where revenue is recognised as construction progresses. The 2025 cash-flow statement is published in its three totals only, so the difference cannot be split from what the company has disclosed. It is therefore not split. It is measured, recorded in the register of what is missing, and the forecast is published two ways around it rather than one — set out in full in Appendix A.3.</w:t>
      </w:r>
    </w:p>
    <w:tbl>
      <w:tblPr>
        <w:tblStyle w:val="TableGrid"/>
        <w:tblW w:type="auto" w:w="0"/>
        <w:jc w:val="center"/>
        <w:tblLayout w:type="fixed"/>
        <w:tblLook w:firstColumn="1" w:firstRow="1" w:lastColumn="0" w:lastRow="0" w:noHBand="0" w:noVBand="1" w:val="04A0"/>
        <w:tblLayout w:type="fixed"/>
      </w:tblPr>
      <w:tblGrid>
        <w:gridCol w:w="6917"/>
        <w:gridCol w:w="850"/>
        <w:gridCol w:w="850"/>
      </w:tblGrid>
      <w:tr>
        <w:trPr>
          <w:tblHeader w:val="true"/>
        </w:trPr>
        <w:tc>
          <w:tcPr>
            <w:tcW w:type="dxa" w:w="6917"/>
          </w:tcPr>
          <w:p>
            <w:r/>
            <w:r>
              <w:rPr>
                <w:b/>
                <w:color w:val="5B6570"/>
                <w:sz w:val="17"/>
              </w:rPr>
              <w:t>The collection cycle, as reported</w:t>
            </w:r>
          </w:p>
        </w:tc>
        <w:tc>
          <w:tcPr>
            <w:tcW w:type="dxa" w:w="850"/>
          </w:tcPr>
          <w:p>
            <w:r/>
            <w:r>
              <w:rPr>
                <w:b/>
                <w:color w:val="5B6570"/>
                <w:sz w:val="17"/>
              </w:rPr>
              <w:t>2025</w:t>
            </w:r>
          </w:p>
        </w:tc>
        <w:tc>
          <w:tcPr>
            <w:tcW w:type="dxa" w:w="850"/>
          </w:tcPr>
          <w:p>
            <w:r/>
            <w:r>
              <w:rPr>
                <w:b/>
                <w:color w:val="5B6570"/>
                <w:sz w:val="17"/>
              </w:rPr>
              <w:t>2024</w:t>
            </w:r>
          </w:p>
        </w:tc>
      </w:tr>
      <w:tr>
        <w:trPr>
          <w:cantSplit/>
        </w:trPr>
        <w:tc>
          <w:tcPr>
            <w:tcW w:type="dxa" w:w="6917"/>
          </w:tcPr>
          <w:p>
            <w:r/>
            <w:r>
              <w:rPr>
                <w:color w:val="1A1D21"/>
                <w:sz w:val="17"/>
              </w:rPr>
              <w:t>Collection period, days</w:t>
            </w:r>
          </w:p>
        </w:tc>
        <w:tc>
          <w:tcPr>
            <w:tcW w:type="dxa" w:w="850"/>
          </w:tcPr>
          <w:p>
            <w:pPr>
              <w:jc w:val="right"/>
            </w:pPr>
            <w:r/>
            <w:r>
              <w:rPr>
                <w:color w:val="1A1D21"/>
                <w:sz w:val="17"/>
              </w:rPr>
              <w:t>1045</w:t>
            </w:r>
          </w:p>
        </w:tc>
        <w:tc>
          <w:tcPr>
            <w:tcW w:type="dxa" w:w="850"/>
          </w:tcPr>
          <w:p>
            <w:pPr>
              <w:jc w:val="right"/>
            </w:pPr>
            <w:r/>
            <w:r>
              <w:rPr>
                <w:color w:val="1A1D21"/>
                <w:sz w:val="17"/>
              </w:rPr>
              <w:t>1035</w:t>
            </w:r>
          </w:p>
        </w:tc>
      </w:tr>
      <w:tr>
        <w:trPr>
          <w:cantSplit/>
        </w:trPr>
        <w:tc>
          <w:tcPr>
            <w:tcW w:type="dxa" w:w="6917"/>
          </w:tcPr>
          <w:p>
            <w:r/>
            <w:r>
              <w:rPr>
                <w:color w:val="1A1D21"/>
                <w:sz w:val="17"/>
              </w:rPr>
              <w:t>Work in progress, days of cost</w:t>
            </w:r>
          </w:p>
        </w:tc>
        <w:tc>
          <w:tcPr>
            <w:tcW w:type="dxa" w:w="850"/>
          </w:tcPr>
          <w:p>
            <w:pPr>
              <w:jc w:val="right"/>
            </w:pPr>
            <w:r/>
            <w:r>
              <w:rPr>
                <w:color w:val="1A1D21"/>
                <w:sz w:val="17"/>
              </w:rPr>
              <w:t>304</w:t>
            </w:r>
          </w:p>
        </w:tc>
        <w:tc>
          <w:tcPr>
            <w:tcW w:type="dxa" w:w="850"/>
          </w:tcPr>
          <w:p>
            <w:pPr>
              <w:jc w:val="right"/>
            </w:pPr>
            <w:r/>
            <w:r>
              <w:rPr>
                <w:color w:val="1A1D21"/>
                <w:sz w:val="17"/>
              </w:rPr>
              <w:t>270</w:t>
            </w:r>
          </w:p>
        </w:tc>
      </w:tr>
      <w:tr>
        <w:trPr>
          <w:cantSplit/>
        </w:trPr>
        <w:tc>
          <w:tcPr>
            <w:tcW w:type="dxa" w:w="6917"/>
          </w:tcPr>
          <w:p>
            <w:r/>
            <w:r>
              <w:rPr>
                <w:color w:val="1A1D21"/>
                <w:sz w:val="17"/>
              </w:rPr>
              <w:t>Suppliers, days of cost</w:t>
            </w:r>
          </w:p>
        </w:tc>
        <w:tc>
          <w:tcPr>
            <w:tcW w:type="dxa" w:w="850"/>
          </w:tcPr>
          <w:p>
            <w:pPr>
              <w:jc w:val="right"/>
            </w:pPr>
            <w:r/>
            <w:r>
              <w:rPr>
                <w:color w:val="1A1D21"/>
                <w:sz w:val="17"/>
              </w:rPr>
              <w:t>66</w:t>
            </w:r>
          </w:p>
        </w:tc>
        <w:tc>
          <w:tcPr>
            <w:tcW w:type="dxa" w:w="850"/>
          </w:tcPr>
          <w:p>
            <w:pPr>
              <w:jc w:val="right"/>
            </w:pPr>
            <w:r/>
            <w:r>
              <w:rPr>
                <w:color w:val="1A1D21"/>
                <w:sz w:val="17"/>
              </w:rPr>
              <w:t>70</w:t>
            </w:r>
          </w:p>
        </w:tc>
      </w:tr>
      <w:tr>
        <w:trPr>
          <w:cantSplit/>
        </w:trPr>
        <w:tc>
          <w:tcPr>
            <w:tcW w:type="dxa" w:w="6917"/>
          </w:tcPr>
          <w:p>
            <w:r/>
            <w:r>
              <w:rPr>
                <w:color w:val="1A1D21"/>
                <w:sz w:val="17"/>
              </w:rPr>
              <w:t>Customer advances, share of the order book</w:t>
            </w:r>
          </w:p>
        </w:tc>
        <w:tc>
          <w:tcPr>
            <w:tcW w:type="dxa" w:w="850"/>
          </w:tcPr>
          <w:p>
            <w:pPr>
              <w:jc w:val="right"/>
            </w:pPr>
            <w:r/>
            <w:r>
              <w:rPr>
                <w:color w:val="1A1D21"/>
                <w:sz w:val="17"/>
              </w:rPr>
              <w:t>26.4%</w:t>
            </w:r>
          </w:p>
        </w:tc>
        <w:tc>
          <w:tcPr>
            <w:tcW w:type="dxa" w:w="850"/>
          </w:tcPr>
          <w:p>
            <w:pPr>
              <w:jc w:val="right"/>
            </w:pPr>
            <w:r/>
            <w:r>
              <w:rPr>
                <w:color w:val="1A1D21"/>
                <w:sz w:val="17"/>
              </w:rPr>
              <w:t>32.2%</w:t>
            </w:r>
          </w:p>
        </w:tc>
      </w:tr>
      <w:tr>
        <w:trPr>
          <w:cantSplit/>
        </w:trPr>
        <w:tc>
          <w:tcPr>
            <w:tcW w:type="dxa" w:w="6917"/>
          </w:tcPr>
          <w:p>
            <w:r/>
            <w:r>
              <w:rPr>
                <w:color w:val="1A1D21"/>
                <w:sz w:val="17"/>
              </w:rPr>
              <w:t>Net working capital (EGP mn)</w:t>
            </w:r>
          </w:p>
        </w:tc>
        <w:tc>
          <w:tcPr>
            <w:tcW w:type="dxa" w:w="850"/>
          </w:tcPr>
          <w:p>
            <w:pPr>
              <w:jc w:val="right"/>
            </w:pPr>
            <w:r/>
            <w:r>
              <w:rPr>
                <w:color w:val="1A1D21"/>
                <w:sz w:val="17"/>
              </w:rPr>
              <w:t>62,324</w:t>
            </w:r>
          </w:p>
        </w:tc>
        <w:tc>
          <w:tcPr>
            <w:tcW w:type="dxa" w:w="850"/>
          </w:tcPr>
          <w:p>
            <w:pPr>
              <w:jc w:val="right"/>
            </w:pPr>
            <w:r/>
            <w:r>
              <w:rPr>
                <w:color w:val="1A1D21"/>
                <w:sz w:val="17"/>
              </w:rPr>
              <w:t>42,239</w:t>
            </w:r>
          </w:p>
        </w:tc>
      </w:tr>
      <w:tr>
        <w:trPr>
          <w:cantSplit/>
        </w:trPr>
        <w:tc>
          <w:tcPr>
            <w:tcW w:type="dxa" w:w="6917"/>
          </w:tcPr>
          <w:p>
            <w:r/>
            <w:r>
              <w:rPr>
                <w:color w:val="1A1D21"/>
                <w:sz w:val="17"/>
              </w:rPr>
              <w:t xml:space="preserve">  as a multiple of revenue</w:t>
            </w:r>
          </w:p>
        </w:tc>
        <w:tc>
          <w:tcPr>
            <w:tcW w:type="dxa" w:w="850"/>
          </w:tcPr>
          <w:p>
            <w:pPr>
              <w:jc w:val="right"/>
            </w:pPr>
            <w:r/>
            <w:r>
              <w:rPr>
                <w:color w:val="1A1D21"/>
                <w:sz w:val="17"/>
              </w:rPr>
              <w:t>1.72</w:t>
            </w:r>
          </w:p>
        </w:tc>
        <w:tc>
          <w:tcPr>
            <w:tcW w:type="dxa" w:w="850"/>
          </w:tcPr>
          <w:p>
            <w:pPr>
              <w:jc w:val="right"/>
            </w:pPr>
            <w:r/>
            <w:r>
              <w:rPr>
                <w:color w:val="1A1D21"/>
                <w:sz w:val="17"/>
              </w:rPr>
              <w:t>1.55</w:t>
            </w:r>
          </w:p>
        </w:tc>
      </w:tr>
    </w:tbl>
    <w:p>
      <w:pPr>
        <w:spacing w:after="200"/>
      </w:pPr>
      <w:r>
        <w:rPr>
          <w:b w:val="0"/>
          <w:i/>
          <w:color w:val="5B6570"/>
          <w:sz w:val="16"/>
        </w:rPr>
        <w:t>Both years measured the same way on the two audited sheets. The collection period is close to three years because units are sold on multi-year instalments; customer advances against the order book are what funds the building in the meantime.</w:t>
      </w:r>
    </w:p>
    <w:p>
      <w:pPr>
        <w:pStyle w:val="Heading2"/>
      </w:pPr>
      <w:r>
        <w:t>1.2  Book value and sustainable return</w:t>
      </w:r>
    </w:p>
    <w:p>
      <w:pPr>
        <w:spacing w:after="140"/>
      </w:pPr>
      <w:r>
        <w:rPr>
          <w:b w:val="0"/>
          <w:i w:val="0"/>
          <w:color w:val="1A1D21"/>
          <w:sz w:val="20"/>
        </w:rPr>
        <w:t>Shareholders' funds attributable to the parent were EGP 18,956 million at 31 March 2026, or EGP 6.63 a share, against a market price of EGP 14.40 — the shares change hands at about 2.2 times book. The earlier edition divided total equity, minority interests included, by the parent's shares; this one puts the numerator on the same footing as the share count, and on the latest disclosed sheet. Profit after tax and minority interest of EGP 4,217 million in 2025 on average shareholders' funds gives a return on equity of roughly 25.3%. Against a cost of equity of 29.2% — the traded default-swap basis this study adopts and discounts on, not the credit-rating basis of 30.8% that section 1.8 publishes beside it — the company is not currently earning its cost of capital on book, which is why book value sits well below every cash-flow read in this study rather than acting as a floor.</w:t>
      </w:r>
    </w:p>
    <w:p>
      <w:pPr>
        <w:pStyle w:val="Heading2"/>
      </w:pPr>
      <w:r>
        <w:t>1.3  Relative multiples</w:t>
      </w:r>
    </w:p>
    <w:p>
      <w:pPr>
        <w:spacing w:after="140"/>
      </w:pPr>
      <w:r>
        <w:rPr>
          <w:b w:val="0"/>
          <w:i w:val="0"/>
          <w:color w:val="1A1D21"/>
          <w:sz w:val="20"/>
        </w:rPr>
        <w:t>The Egyptian listed developers are compared in Appendix B on the measures that can actually be sourced for all of them on the same basis. Earnings and book multiples for the peer group are NOT published here: no peer discloses figures this study can obtain on a consistent basis, and a multiple assembled from inconsistent or unsourced inputs would look precise and mean nothing. What is comparable is market risk, and on that measure Palm Hills sits in the middle of its sector.</w:t>
      </w:r>
    </w:p>
    <w:p>
      <w:pPr>
        <w:pStyle w:val="Heading2"/>
      </w:pPr>
      <w:r>
        <w:t>1.4  Normalised earnings power</w:t>
      </w:r>
    </w:p>
    <w:p>
      <w:pPr>
        <w:spacing w:after="140"/>
      </w:pPr>
      <w:r>
        <w:rPr>
          <w:b w:val="0"/>
          <w:i w:val="0"/>
          <w:color w:val="1A1D21"/>
          <w:sz w:val="20"/>
        </w:rPr>
        <w:t>Normalising on the three disclosed years, revenue converts to gross profit at about 38.3%, overheads absorb about 17.6% of revenue, and interest on the disclosed borrowings absorbs a further large share. The result is a company whose accounting profit is real but whose cash profit is small and volatile: EGP 1,424 million of operating cash in 2025 on EGP 36,169 million of revenue, against EGP 4,855 million on EGP 27,167 million the year before.</w:t>
      </w:r>
    </w:p>
    <w:p>
      <w:pPr>
        <w:spacing w:after="140"/>
      </w:pPr>
      <w:r>
        <w:rPr>
          <w:b w:val="0"/>
          <w:i w:val="0"/>
          <w:color w:val="1A1D21"/>
          <w:sz w:val="20"/>
        </w:rPr>
        <w:t>Normalised earnings of EGP 4,622 million — the average of the last two years' revenue carried one year forward at inflation, at the 2025 net margin of 11.7% — would capitalise at the ADOPTED cost of equity of 30.77% less growth to about EGP 6.80 a share, and at the cost of equity alone, as an earlier edition did, to EGP 5.25. Neither figure is published as a lens here, and the reason is not the arithmetic. This company recognises revenue when a project completes, so its reported earnings in any year are an accident of which project happened to complete: capitalising a mid-cycle figure treats that schedule as though it were a steady state. The working is kept as a diagnostic in the workbook and it claims nothing.</w:t>
      </w:r>
    </w:p>
    <w:p>
      <w:pPr>
        <w:pStyle w:val="Heading2"/>
      </w:pPr>
      <w:r>
        <w:t>1.5  Synthesis — the lenses in one field</w:t>
      </w:r>
    </w:p>
    <w:p>
      <w:pPr>
        <w:spacing w:after="140"/>
      </w:pPr>
      <w:r>
        <w:rPr>
          <w:b w:val="0"/>
          <w:i w:val="0"/>
          <w:color w:val="1A1D21"/>
          <w:sz w:val="20"/>
        </w:rPr>
        <w:t>The lenses disagree, and the disagreement is the information — but one of them is the answer and the others are checks on it. The cash-flow lens is the central: it is the only one built from the company's own units and prices, and it is the only one that values an order book the company has sold but not yet handed over. The multiple on its own trading history sits at EGP 8.38 and book value at EGP 6.63, and both are lower for the same reason: they measure what has been reported, and what has been reported does not yet include a backlog carried at historical cost in a currency that has lost most of its value since 2022. That is a floor, and it is published as one.</w:t>
      </w:r>
    </w:p>
    <w:tbl>
      <w:tblPr>
        <w:tblStyle w:val="TableGrid"/>
        <w:tblW w:type="auto" w:w="0"/>
        <w:jc w:val="center"/>
        <w:tblLayout w:type="fixed"/>
        <w:tblLook w:firstColumn="1" w:firstRow="1" w:lastColumn="0" w:lastRow="0" w:noHBand="0" w:noVBand="1" w:val="04A0"/>
        <w:tblLayout w:type="fixed"/>
      </w:tblPr>
      <w:tblGrid>
        <w:gridCol w:w="1247"/>
        <w:gridCol w:w="624"/>
        <w:gridCol w:w="1032"/>
        <w:gridCol w:w="737"/>
        <w:gridCol w:w="1304"/>
        <w:gridCol w:w="4014"/>
      </w:tblGrid>
      <w:tr>
        <w:trPr>
          <w:tblHeader w:val="true"/>
        </w:trPr>
        <w:tc>
          <w:tcPr>
            <w:tcW w:type="dxa" w:w="1247"/>
          </w:tcPr>
          <w:p>
            <w:r/>
            <w:r>
              <w:rPr>
                <w:b/>
                <w:color w:val="5B6570"/>
                <w:sz w:val="17"/>
              </w:rPr>
              <w:t>Lens</w:t>
            </w:r>
          </w:p>
        </w:tc>
        <w:tc>
          <w:tcPr>
            <w:tcW w:type="dxa" w:w="624"/>
          </w:tcPr>
          <w:p>
            <w:r/>
            <w:r>
              <w:rPr>
                <w:b/>
                <w:color w:val="5B6570"/>
                <w:sz w:val="17"/>
              </w:rPr>
              <w:t>Low</w:t>
            </w:r>
          </w:p>
        </w:tc>
        <w:tc>
          <w:tcPr>
            <w:tcW w:type="dxa" w:w="1032"/>
          </w:tcPr>
          <w:p>
            <w:r/>
            <w:r>
              <w:rPr>
                <w:b/>
                <w:color w:val="5B6570"/>
                <w:sz w:val="17"/>
              </w:rPr>
              <w:t>Central</w:t>
            </w:r>
          </w:p>
        </w:tc>
        <w:tc>
          <w:tcPr>
            <w:tcW w:type="dxa" w:w="737"/>
          </w:tcPr>
          <w:p>
            <w:r/>
            <w:r>
              <w:rPr>
                <w:b/>
                <w:color w:val="5B6570"/>
                <w:sz w:val="17"/>
              </w:rPr>
              <w:t>High</w:t>
            </w:r>
          </w:p>
        </w:tc>
        <w:tc>
          <w:tcPr>
            <w:tcW w:type="dxa" w:w="1304"/>
          </w:tcPr>
          <w:p>
            <w:r/>
            <w:r>
              <w:rPr>
                <w:b/>
                <w:color w:val="5B6570"/>
                <w:sz w:val="17"/>
              </w:rPr>
              <w:t>Role</w:t>
            </w:r>
          </w:p>
        </w:tc>
        <w:tc>
          <w:tcPr>
            <w:tcW w:type="dxa" w:w="4014"/>
          </w:tcPr>
          <w:p>
            <w:r/>
            <w:r>
              <w:rPr>
                <w:b/>
                <w:color w:val="5B6570"/>
                <w:sz w:val="17"/>
              </w:rPr>
              <w:t>What moves it</w:t>
            </w:r>
          </w:p>
        </w:tc>
      </w:tr>
      <w:tr>
        <w:trPr>
          <w:cantSplit/>
        </w:trPr>
        <w:tc>
          <w:tcPr>
            <w:tcW w:type="dxa" w:w="1247"/>
          </w:tcPr>
          <w:p>
            <w:r/>
            <w:r>
              <w:rPr>
                <w:color w:val="1A1D21"/>
                <w:sz w:val="17"/>
              </w:rPr>
              <w:t>Discounted cash flow</w:t>
            </w:r>
          </w:p>
        </w:tc>
        <w:tc>
          <w:tcPr>
            <w:tcW w:type="dxa" w:w="624"/>
          </w:tcPr>
          <w:p>
            <w:pPr>
              <w:jc w:val="right"/>
            </w:pPr>
            <w:r/>
            <w:r>
              <w:rPr>
                <w:color w:val="1A1D21"/>
                <w:sz w:val="17"/>
              </w:rPr>
              <w:t>4.94</w:t>
            </w:r>
          </w:p>
        </w:tc>
        <w:tc>
          <w:tcPr>
            <w:tcW w:type="dxa" w:w="1032"/>
          </w:tcPr>
          <w:p>
            <w:pPr>
              <w:jc w:val="right"/>
            </w:pPr>
            <w:r/>
            <w:r>
              <w:rPr>
                <w:color w:val="1A1D21"/>
                <w:sz w:val="17"/>
              </w:rPr>
              <w:t>20.88</w:t>
            </w:r>
          </w:p>
        </w:tc>
        <w:tc>
          <w:tcPr>
            <w:tcW w:type="dxa" w:w="737"/>
          </w:tcPr>
          <w:p>
            <w:pPr>
              <w:jc w:val="right"/>
            </w:pPr>
            <w:r/>
            <w:r>
              <w:rPr>
                <w:color w:val="1A1D21"/>
                <w:sz w:val="17"/>
              </w:rPr>
              <w:t>54.52</w:t>
            </w:r>
          </w:p>
        </w:tc>
        <w:tc>
          <w:tcPr>
            <w:tcW w:type="dxa" w:w="1304"/>
          </w:tcPr>
          <w:p>
            <w:r/>
            <w:r>
              <w:rPr>
                <w:color w:val="1A1D21"/>
                <w:sz w:val="17"/>
              </w:rPr>
              <w:t>the central</w:t>
            </w:r>
          </w:p>
        </w:tc>
        <w:tc>
          <w:tcPr>
            <w:tcW w:type="dxa" w:w="4014"/>
          </w:tcPr>
          <w:p>
            <w:r/>
            <w:r>
              <w:rPr>
                <w:color w:val="1A1D21"/>
                <w:sz w:val="17"/>
              </w:rPr>
              <w:t>cash conversion, then the cost of capital</w:t>
            </w:r>
          </w:p>
        </w:tc>
      </w:tr>
      <w:tr>
        <w:trPr>
          <w:cantSplit/>
        </w:trPr>
        <w:tc>
          <w:tcPr>
            <w:tcW w:type="dxa" w:w="1247"/>
          </w:tcPr>
          <w:p>
            <w:r/>
            <w:r>
              <w:rPr>
                <w:color w:val="1A1D21"/>
                <w:sz w:val="17"/>
              </w:rPr>
              <w:t>Earnings multiple on own history</w:t>
            </w:r>
          </w:p>
        </w:tc>
        <w:tc>
          <w:tcPr>
            <w:tcW w:type="dxa" w:w="624"/>
          </w:tcPr>
          <w:p>
            <w:pPr>
              <w:jc w:val="right"/>
            </w:pPr>
            <w:r/>
            <w:r>
              <w:rPr>
                <w:color w:val="1A1D21"/>
                <w:sz w:val="17"/>
              </w:rPr>
              <w:t>5.58</w:t>
            </w:r>
          </w:p>
        </w:tc>
        <w:tc>
          <w:tcPr>
            <w:tcW w:type="dxa" w:w="1032"/>
          </w:tcPr>
          <w:p>
            <w:pPr>
              <w:jc w:val="right"/>
            </w:pPr>
            <w:r/>
            <w:r>
              <w:rPr>
                <w:color w:val="1A1D21"/>
                <w:sz w:val="17"/>
              </w:rPr>
              <w:t>8.38</w:t>
            </w:r>
          </w:p>
        </w:tc>
        <w:tc>
          <w:tcPr>
            <w:tcW w:type="dxa" w:w="737"/>
          </w:tcPr>
          <w:p>
            <w:pPr>
              <w:jc w:val="right"/>
            </w:pPr>
            <w:r/>
            <w:r>
              <w:rPr>
                <w:color w:val="1A1D21"/>
                <w:sz w:val="17"/>
              </w:rPr>
              <w:t>13.03</w:t>
            </w:r>
          </w:p>
        </w:tc>
        <w:tc>
          <w:tcPr>
            <w:tcW w:type="dxa" w:w="1304"/>
          </w:tcPr>
          <w:p>
            <w:r/>
            <w:r>
              <w:rPr>
                <w:color w:val="1A1D21"/>
                <w:sz w:val="17"/>
              </w:rPr>
              <w:t>cross-check</w:t>
            </w:r>
          </w:p>
        </w:tc>
        <w:tc>
          <w:tcPr>
            <w:tcW w:type="dxa" w:w="4014"/>
          </w:tcPr>
          <w:p>
            <w:r/>
            <w:r>
              <w:rPr>
                <w:color w:val="1A1D21"/>
                <w:sz w:val="17"/>
              </w:rPr>
              <w:t>the multiple the shares have historically carried, 6x to 14x</w:t>
            </w:r>
          </w:p>
        </w:tc>
      </w:tr>
      <w:tr>
        <w:trPr>
          <w:cantSplit/>
        </w:trPr>
        <w:tc>
          <w:tcPr>
            <w:tcW w:type="dxa" w:w="1247"/>
          </w:tcPr>
          <w:p>
            <w:r/>
            <w:r>
              <w:rPr>
                <w:color w:val="1A1D21"/>
                <w:sz w:val="17"/>
              </w:rPr>
              <w:t>Book value of equity — a disclosed floor</w:t>
            </w:r>
          </w:p>
        </w:tc>
        <w:tc>
          <w:tcPr>
            <w:tcW w:type="dxa" w:w="624"/>
          </w:tcPr>
          <w:p>
            <w:pPr>
              <w:jc w:val="right"/>
            </w:pPr>
            <w:r/>
            <w:r>
              <w:rPr>
                <w:color w:val="1A1D21"/>
                <w:sz w:val="17"/>
              </w:rPr>
              <w:t>5.97</w:t>
            </w:r>
          </w:p>
        </w:tc>
        <w:tc>
          <w:tcPr>
            <w:tcW w:type="dxa" w:w="1032"/>
          </w:tcPr>
          <w:p>
            <w:pPr>
              <w:jc w:val="right"/>
            </w:pPr>
            <w:r/>
            <w:r>
              <w:rPr>
                <w:color w:val="1A1D21"/>
                <w:sz w:val="17"/>
              </w:rPr>
              <w:t>6.63</w:t>
            </w:r>
          </w:p>
        </w:tc>
        <w:tc>
          <w:tcPr>
            <w:tcW w:type="dxa" w:w="737"/>
          </w:tcPr>
          <w:p>
            <w:pPr>
              <w:jc w:val="right"/>
            </w:pPr>
            <w:r/>
            <w:r>
              <w:rPr>
                <w:color w:val="1A1D21"/>
                <w:sz w:val="17"/>
              </w:rPr>
              <w:t>8.62</w:t>
            </w:r>
          </w:p>
        </w:tc>
        <w:tc>
          <w:tcPr>
            <w:tcW w:type="dxa" w:w="1304"/>
          </w:tcPr>
          <w:p>
            <w:r/>
            <w:r>
              <w:rPr>
                <w:color w:val="1A1D21"/>
                <w:sz w:val="17"/>
              </w:rPr>
              <w:t>cross-check</w:t>
            </w:r>
          </w:p>
        </w:tc>
        <w:tc>
          <w:tcPr>
            <w:tcW w:type="dxa" w:w="4014"/>
          </w:tcPr>
          <w:p>
            <w:r/>
            <w:r>
              <w:rPr>
                <w:color w:val="1A1D21"/>
                <w:sz w:val="17"/>
              </w:rPr>
              <w:t>nothing — it is a reported figure</w:t>
            </w:r>
          </w:p>
        </w:tc>
      </w:tr>
    </w:tbl>
    <w:p>
      <w:pPr>
        <w:spacing w:after="200"/>
      </w:pPr>
      <w:r>
        <w:rPr>
          <w:b w:val="0"/>
          <w:i/>
          <w:color w:val="5B6570"/>
          <w:sz w:val="16"/>
        </w:rPr>
        <w:t>EGP per share, against a close of EGP 14.40. The cash-flow lens is the central and the others are cross-checks; they are not averaged. Normalised earnings power, which an earlier edition carried at a fifth of the weight, is not published as a lens here at all: a developer that recognises revenue when a project completes reports earnings that are an accident of which project completed in which year, and capitalising a mid-cycle figure treats that schedule as a steady state. The working is kept in the workbook as a diagnostic and claims nothing.</w:t>
      </w:r>
    </w:p>
    <w:p>
      <w:pPr>
        <w:pStyle w:val="Heading2"/>
      </w:pPr>
      <w:r>
        <w:t>1.6  Drivers — units and prices, by region</w:t>
      </w:r>
    </w:p>
    <w:p>
      <w:pPr>
        <w:spacing w:after="140"/>
      </w:pPr>
      <w:r>
        <w:rPr>
          <w:b w:val="0"/>
          <w:i w:val="0"/>
          <w:color w:val="1A1D21"/>
          <w:sz w:val="20"/>
        </w:rPr>
        <w:t>This is what the forecast is built from. For each operating region the company publishes both the value of new sales and the number of units behind it, so the average selling price per unit is a realised figure, not an assumption. Dividing one disclosure by the other is the only step taken.</w:t>
      </w:r>
    </w:p>
    <w:p>
      <w:pPr>
        <w:pStyle w:val="Heading3"/>
      </w:pPr>
      <w:r>
        <w:t>North Coast &amp; Alexandria</w:t>
      </w:r>
    </w:p>
    <w:tbl>
      <w:tblPr>
        <w:tblStyle w:val="TableGrid"/>
        <w:tblW w:type="auto" w:w="0"/>
        <w:jc w:val="center"/>
        <w:tblLayout w:type="fixed"/>
        <w:tblLook w:firstColumn="1" w:firstRow="1" w:lastColumn="0" w:lastRow="0" w:noHBand="0" w:noVBand="1" w:val="04A0"/>
        <w:tblLayout w:type="fixed"/>
      </w:tblPr>
      <w:tblGrid>
        <w:gridCol w:w="5046"/>
        <w:gridCol w:w="850"/>
        <w:gridCol w:w="850"/>
        <w:gridCol w:w="850"/>
        <w:gridCol w:w="850"/>
        <w:gridCol w:w="850"/>
      </w:tblGrid>
      <w:tr>
        <w:trPr>
          <w:tblHeader w:val="true"/>
        </w:trPr>
        <w:tc>
          <w:tcPr>
            <w:tcW w:type="dxa" w:w="5046"/>
          </w:tcPr>
          <w:p>
            <w:r/>
            <w:r>
              <w:rPr>
                <w:b/>
                <w:color w:val="5B6570"/>
                <w:sz w:val="17"/>
              </w:rPr>
              <w:t>Disclosed</w:t>
            </w:r>
          </w:p>
        </w:tc>
        <w:tc>
          <w:tcPr>
            <w:tcW w:type="dxa" w:w="850"/>
          </w:tcPr>
          <w:p>
            <w:r/>
            <w:r>
              <w:rPr>
                <w:b/>
                <w:color w:val="5B6570"/>
                <w:sz w:val="17"/>
              </w:rPr>
              <w:t>2020</w:t>
            </w:r>
          </w:p>
        </w:tc>
        <w:tc>
          <w:tcPr>
            <w:tcW w:type="dxa" w:w="850"/>
          </w:tcPr>
          <w:p>
            <w:r/>
            <w:r>
              <w:rPr>
                <w:b/>
                <w:color w:val="5B6570"/>
                <w:sz w:val="17"/>
              </w:rPr>
              <w:t>2021</w:t>
            </w:r>
          </w:p>
        </w:tc>
        <w:tc>
          <w:tcPr>
            <w:tcW w:type="dxa" w:w="850"/>
          </w:tcPr>
          <w:p>
            <w:r/>
            <w:r>
              <w:rPr>
                <w:b/>
                <w:color w:val="5B6570"/>
                <w:sz w:val="17"/>
              </w:rPr>
              <w:t>2022</w:t>
            </w:r>
          </w:p>
        </w:tc>
        <w:tc>
          <w:tcPr>
            <w:tcW w:type="dxa" w:w="850"/>
          </w:tcPr>
          <w:p>
            <w:r/>
            <w:r>
              <w:rPr>
                <w:b/>
                <w:color w:val="5B6570"/>
                <w:sz w:val="17"/>
              </w:rPr>
              <w:t>2023</w:t>
            </w:r>
          </w:p>
        </w:tc>
        <w:tc>
          <w:tcPr>
            <w:tcW w:type="dxa" w:w="850"/>
          </w:tcPr>
          <w:p>
            <w:r/>
            <w:r>
              <w:rPr>
                <w:b/>
                <w:color w:val="5B6570"/>
                <w:sz w:val="17"/>
              </w:rPr>
              <w:t>2024</w:t>
            </w:r>
          </w:p>
        </w:tc>
      </w:tr>
      <w:tr>
        <w:trPr>
          <w:cantSplit/>
        </w:trPr>
        <w:tc>
          <w:tcPr>
            <w:tcW w:type="dxa" w:w="5046"/>
          </w:tcPr>
          <w:p>
            <w:r/>
            <w:r>
              <w:rPr>
                <w:color w:val="1A1D21"/>
                <w:sz w:val="17"/>
              </w:rPr>
              <w:t>New sales (EGP mn)</w:t>
            </w:r>
          </w:p>
        </w:tc>
        <w:tc>
          <w:tcPr>
            <w:tcW w:type="dxa" w:w="850"/>
          </w:tcPr>
          <w:p>
            <w:pPr>
              <w:jc w:val="right"/>
            </w:pPr>
            <w:r/>
            <w:r>
              <w:rPr>
                <w:color w:val="1A1D21"/>
                <w:sz w:val="17"/>
              </w:rPr>
              <w:t>4,205</w:t>
            </w:r>
          </w:p>
        </w:tc>
        <w:tc>
          <w:tcPr>
            <w:tcW w:type="dxa" w:w="850"/>
          </w:tcPr>
          <w:p>
            <w:pPr>
              <w:jc w:val="right"/>
            </w:pPr>
            <w:r/>
            <w:r>
              <w:rPr>
                <w:color w:val="1A1D21"/>
                <w:sz w:val="17"/>
              </w:rPr>
              <w:t>7,139</w:t>
            </w:r>
          </w:p>
        </w:tc>
        <w:tc>
          <w:tcPr>
            <w:tcW w:type="dxa" w:w="850"/>
          </w:tcPr>
          <w:p>
            <w:pPr>
              <w:jc w:val="right"/>
            </w:pPr>
            <w:r/>
            <w:r>
              <w:rPr>
                <w:color w:val="1A1D21"/>
                <w:sz w:val="17"/>
              </w:rPr>
              <w:t>5,627</w:t>
            </w:r>
          </w:p>
        </w:tc>
        <w:tc>
          <w:tcPr>
            <w:tcW w:type="dxa" w:w="850"/>
          </w:tcPr>
          <w:p>
            <w:pPr>
              <w:jc w:val="right"/>
            </w:pPr>
            <w:r/>
            <w:r>
              <w:rPr>
                <w:color w:val="1A1D21"/>
                <w:sz w:val="17"/>
              </w:rPr>
              <w:t>13,900</w:t>
            </w:r>
          </w:p>
        </w:tc>
        <w:tc>
          <w:tcPr>
            <w:tcW w:type="dxa" w:w="850"/>
          </w:tcPr>
          <w:p>
            <w:pPr>
              <w:jc w:val="right"/>
            </w:pPr>
            <w:r/>
            <w:r>
              <w:rPr>
                <w:color w:val="1A1D21"/>
                <w:sz w:val="17"/>
              </w:rPr>
              <w:t>95,082</w:t>
            </w:r>
          </w:p>
        </w:tc>
      </w:tr>
      <w:tr>
        <w:trPr>
          <w:cantSplit/>
        </w:trPr>
        <w:tc>
          <w:tcPr>
            <w:tcW w:type="dxa" w:w="5046"/>
          </w:tcPr>
          <w:p>
            <w:r/>
            <w:r>
              <w:rPr>
                <w:color w:val="1A1D21"/>
                <w:sz w:val="17"/>
              </w:rPr>
              <w:t>Units sold</w:t>
            </w:r>
          </w:p>
        </w:tc>
        <w:tc>
          <w:tcPr>
            <w:tcW w:type="dxa" w:w="850"/>
          </w:tcPr>
          <w:p>
            <w:pPr>
              <w:jc w:val="right"/>
            </w:pPr>
            <w:r/>
            <w:r>
              <w:rPr>
                <w:color w:val="1A1D21"/>
                <w:sz w:val="17"/>
              </w:rPr>
              <w:t>726</w:t>
            </w:r>
          </w:p>
        </w:tc>
        <w:tc>
          <w:tcPr>
            <w:tcW w:type="dxa" w:w="850"/>
          </w:tcPr>
          <w:p>
            <w:pPr>
              <w:jc w:val="right"/>
            </w:pPr>
            <w:r/>
            <w:r>
              <w:rPr>
                <w:color w:val="1A1D21"/>
                <w:sz w:val="17"/>
              </w:rPr>
              <w:t>1,552</w:t>
            </w:r>
          </w:p>
        </w:tc>
        <w:tc>
          <w:tcPr>
            <w:tcW w:type="dxa" w:w="850"/>
          </w:tcPr>
          <w:p>
            <w:pPr>
              <w:jc w:val="right"/>
            </w:pPr>
            <w:r/>
            <w:r>
              <w:rPr>
                <w:color w:val="1A1D21"/>
                <w:sz w:val="17"/>
              </w:rPr>
              <w:t>800</w:t>
            </w:r>
          </w:p>
        </w:tc>
        <w:tc>
          <w:tcPr>
            <w:tcW w:type="dxa" w:w="850"/>
          </w:tcPr>
          <w:p>
            <w:pPr>
              <w:jc w:val="right"/>
            </w:pPr>
            <w:r/>
            <w:r>
              <w:rPr>
                <w:color w:val="1A1D21"/>
                <w:sz w:val="17"/>
              </w:rPr>
              <w:t>1,231</w:t>
            </w:r>
          </w:p>
        </w:tc>
        <w:tc>
          <w:tcPr>
            <w:tcW w:type="dxa" w:w="850"/>
          </w:tcPr>
          <w:p>
            <w:pPr>
              <w:jc w:val="right"/>
            </w:pPr>
            <w:r/>
            <w:r>
              <w:rPr>
                <w:color w:val="1A1D21"/>
                <w:sz w:val="17"/>
              </w:rPr>
              <w:t>4,192</w:t>
            </w:r>
          </w:p>
        </w:tc>
      </w:tr>
      <w:tr>
        <w:trPr>
          <w:cantSplit/>
        </w:trPr>
        <w:tc>
          <w:tcPr>
            <w:tcW w:type="dxa" w:w="5046"/>
          </w:tcPr>
          <w:p>
            <w:r/>
            <w:r>
              <w:rPr>
                <w:color w:val="1A1D21"/>
                <w:sz w:val="17"/>
              </w:rPr>
              <w:t>Price per unit (EGP mn)</w:t>
            </w:r>
          </w:p>
        </w:tc>
        <w:tc>
          <w:tcPr>
            <w:tcW w:type="dxa" w:w="850"/>
          </w:tcPr>
          <w:p>
            <w:pPr>
              <w:jc w:val="right"/>
            </w:pPr>
            <w:r/>
            <w:r>
              <w:rPr>
                <w:color w:val="1A1D21"/>
                <w:sz w:val="17"/>
              </w:rPr>
              <w:t>5.79</w:t>
            </w:r>
          </w:p>
        </w:tc>
        <w:tc>
          <w:tcPr>
            <w:tcW w:type="dxa" w:w="850"/>
          </w:tcPr>
          <w:p>
            <w:pPr>
              <w:jc w:val="right"/>
            </w:pPr>
            <w:r/>
            <w:r>
              <w:rPr>
                <w:color w:val="1A1D21"/>
                <w:sz w:val="17"/>
              </w:rPr>
              <w:t>4.60</w:t>
            </w:r>
          </w:p>
        </w:tc>
        <w:tc>
          <w:tcPr>
            <w:tcW w:type="dxa" w:w="850"/>
          </w:tcPr>
          <w:p>
            <w:pPr>
              <w:jc w:val="right"/>
            </w:pPr>
            <w:r/>
            <w:r>
              <w:rPr>
                <w:color w:val="1A1D21"/>
                <w:sz w:val="17"/>
              </w:rPr>
              <w:t>7.03</w:t>
            </w:r>
          </w:p>
        </w:tc>
        <w:tc>
          <w:tcPr>
            <w:tcW w:type="dxa" w:w="850"/>
          </w:tcPr>
          <w:p>
            <w:pPr>
              <w:jc w:val="right"/>
            </w:pPr>
            <w:r/>
            <w:r>
              <w:rPr>
                <w:color w:val="1A1D21"/>
                <w:sz w:val="17"/>
              </w:rPr>
              <w:t>11.29</w:t>
            </w:r>
          </w:p>
        </w:tc>
        <w:tc>
          <w:tcPr>
            <w:tcW w:type="dxa" w:w="850"/>
          </w:tcPr>
          <w:p>
            <w:pPr>
              <w:jc w:val="right"/>
            </w:pPr>
            <w:r/>
            <w:r>
              <w:rPr>
                <w:color w:val="1A1D21"/>
                <w:sz w:val="17"/>
              </w:rPr>
              <w:t>22.68</w:t>
            </w:r>
          </w:p>
        </w:tc>
      </w:tr>
    </w:tbl>
    <w:p>
      <w:pPr>
        <w:spacing w:after="80"/>
      </w:pPr>
      <w:r>
        <w:rPr>
          <w:b w:val="0"/>
          <w:i w:val="0"/>
          <w:color w:val="1A1D21"/>
          <w:sz w:val="8"/>
        </w:rPr>
      </w:r>
    </w:p>
    <w:p>
      <w:pPr>
        <w:spacing w:after="140"/>
      </w:pPr>
      <w:r>
        <w:rPr>
          <w:b w:val="0"/>
          <w:i w:val="0"/>
          <w:color w:val="5B6570"/>
          <w:sz w:val="18"/>
        </w:rPr>
        <w:t>Carried forward at 2,074 units, the average of the last three disclosed years, at a starting price of EGP 22.68 million a unit, the price realised in 2024, escalated with Egyptian inflation.</w:t>
      </w:r>
    </w:p>
    <w:p>
      <w:pPr>
        <w:pStyle w:val="Heading3"/>
      </w:pPr>
      <w:r>
        <w:t>West Cairo &amp; Badya</w:t>
      </w:r>
    </w:p>
    <w:tbl>
      <w:tblPr>
        <w:tblStyle w:val="TableGrid"/>
        <w:tblW w:type="auto" w:w="0"/>
        <w:jc w:val="center"/>
        <w:tblLayout w:type="fixed"/>
        <w:tblLook w:firstColumn="1" w:firstRow="1" w:lastColumn="0" w:lastRow="0" w:noHBand="0" w:noVBand="1" w:val="04A0"/>
        <w:tblLayout w:type="fixed"/>
      </w:tblPr>
      <w:tblGrid>
        <w:gridCol w:w="5046"/>
        <w:gridCol w:w="850"/>
        <w:gridCol w:w="850"/>
        <w:gridCol w:w="850"/>
        <w:gridCol w:w="850"/>
        <w:gridCol w:w="850"/>
      </w:tblGrid>
      <w:tr>
        <w:trPr>
          <w:tblHeader w:val="true"/>
        </w:trPr>
        <w:tc>
          <w:tcPr>
            <w:tcW w:type="dxa" w:w="5046"/>
          </w:tcPr>
          <w:p>
            <w:r/>
            <w:r>
              <w:rPr>
                <w:b/>
                <w:color w:val="5B6570"/>
                <w:sz w:val="17"/>
              </w:rPr>
              <w:t>Disclosed</w:t>
            </w:r>
          </w:p>
        </w:tc>
        <w:tc>
          <w:tcPr>
            <w:tcW w:type="dxa" w:w="850"/>
          </w:tcPr>
          <w:p>
            <w:r/>
            <w:r>
              <w:rPr>
                <w:b/>
                <w:color w:val="5B6570"/>
                <w:sz w:val="17"/>
              </w:rPr>
              <w:t>2020</w:t>
            </w:r>
          </w:p>
        </w:tc>
        <w:tc>
          <w:tcPr>
            <w:tcW w:type="dxa" w:w="850"/>
          </w:tcPr>
          <w:p>
            <w:r/>
            <w:r>
              <w:rPr>
                <w:b/>
                <w:color w:val="5B6570"/>
                <w:sz w:val="17"/>
              </w:rPr>
              <w:t>2021</w:t>
            </w:r>
          </w:p>
        </w:tc>
        <w:tc>
          <w:tcPr>
            <w:tcW w:type="dxa" w:w="850"/>
          </w:tcPr>
          <w:p>
            <w:r/>
            <w:r>
              <w:rPr>
                <w:b/>
                <w:color w:val="5B6570"/>
                <w:sz w:val="17"/>
              </w:rPr>
              <w:t>2022</w:t>
            </w:r>
          </w:p>
        </w:tc>
        <w:tc>
          <w:tcPr>
            <w:tcW w:type="dxa" w:w="850"/>
          </w:tcPr>
          <w:p>
            <w:r/>
            <w:r>
              <w:rPr>
                <w:b/>
                <w:color w:val="5B6570"/>
                <w:sz w:val="17"/>
              </w:rPr>
              <w:t>2023</w:t>
            </w:r>
          </w:p>
        </w:tc>
        <w:tc>
          <w:tcPr>
            <w:tcW w:type="dxa" w:w="850"/>
          </w:tcPr>
          <w:p>
            <w:r/>
            <w:r>
              <w:rPr>
                <w:b/>
                <w:color w:val="5B6570"/>
                <w:sz w:val="17"/>
              </w:rPr>
              <w:t>2024</w:t>
            </w:r>
          </w:p>
        </w:tc>
      </w:tr>
      <w:tr>
        <w:trPr>
          <w:cantSplit/>
        </w:trPr>
        <w:tc>
          <w:tcPr>
            <w:tcW w:type="dxa" w:w="5046"/>
          </w:tcPr>
          <w:p>
            <w:r/>
            <w:r>
              <w:rPr>
                <w:color w:val="1A1D21"/>
                <w:sz w:val="17"/>
              </w:rPr>
              <w:t>New sales (EGP mn)</w:t>
            </w:r>
          </w:p>
        </w:tc>
        <w:tc>
          <w:tcPr>
            <w:tcW w:type="dxa" w:w="850"/>
          </w:tcPr>
          <w:p>
            <w:pPr>
              <w:jc w:val="right"/>
            </w:pPr>
            <w:r/>
            <w:r>
              <w:rPr>
                <w:color w:val="1A1D21"/>
                <w:sz w:val="17"/>
              </w:rPr>
              <w:t>6,627</w:t>
            </w:r>
          </w:p>
        </w:tc>
        <w:tc>
          <w:tcPr>
            <w:tcW w:type="dxa" w:w="850"/>
          </w:tcPr>
          <w:p>
            <w:pPr>
              <w:jc w:val="right"/>
            </w:pPr>
            <w:r/>
            <w:r>
              <w:rPr>
                <w:color w:val="1A1D21"/>
                <w:sz w:val="17"/>
              </w:rPr>
              <w:t>7,258</w:t>
            </w:r>
          </w:p>
        </w:tc>
        <w:tc>
          <w:tcPr>
            <w:tcW w:type="dxa" w:w="850"/>
          </w:tcPr>
          <w:p>
            <w:pPr>
              <w:jc w:val="right"/>
            </w:pPr>
            <w:r/>
            <w:r>
              <w:rPr>
                <w:color w:val="1A1D21"/>
                <w:sz w:val="17"/>
              </w:rPr>
              <w:t>13,118</w:t>
            </w:r>
          </w:p>
        </w:tc>
        <w:tc>
          <w:tcPr>
            <w:tcW w:type="dxa" w:w="850"/>
          </w:tcPr>
          <w:p>
            <w:pPr>
              <w:jc w:val="right"/>
            </w:pPr>
            <w:r/>
            <w:r>
              <w:rPr>
                <w:color w:val="1A1D21"/>
                <w:sz w:val="17"/>
              </w:rPr>
              <w:t>32,332</w:t>
            </w:r>
          </w:p>
        </w:tc>
        <w:tc>
          <w:tcPr>
            <w:tcW w:type="dxa" w:w="850"/>
          </w:tcPr>
          <w:p>
            <w:pPr>
              <w:jc w:val="right"/>
            </w:pPr>
            <w:r/>
            <w:r>
              <w:rPr>
                <w:color w:val="1A1D21"/>
                <w:sz w:val="17"/>
              </w:rPr>
              <w:t>44,570</w:t>
            </w:r>
          </w:p>
        </w:tc>
      </w:tr>
      <w:tr>
        <w:trPr>
          <w:cantSplit/>
        </w:trPr>
        <w:tc>
          <w:tcPr>
            <w:tcW w:type="dxa" w:w="5046"/>
          </w:tcPr>
          <w:p>
            <w:r/>
            <w:r>
              <w:rPr>
                <w:color w:val="1A1D21"/>
                <w:sz w:val="17"/>
              </w:rPr>
              <w:t>Units sold</w:t>
            </w:r>
          </w:p>
        </w:tc>
        <w:tc>
          <w:tcPr>
            <w:tcW w:type="dxa" w:w="850"/>
          </w:tcPr>
          <w:p>
            <w:pPr>
              <w:jc w:val="right"/>
            </w:pPr>
            <w:r/>
            <w:r>
              <w:rPr>
                <w:color w:val="1A1D21"/>
                <w:sz w:val="17"/>
              </w:rPr>
              <w:t>858</w:t>
            </w:r>
          </w:p>
        </w:tc>
        <w:tc>
          <w:tcPr>
            <w:tcW w:type="dxa" w:w="850"/>
          </w:tcPr>
          <w:p>
            <w:pPr>
              <w:jc w:val="right"/>
            </w:pPr>
            <w:r/>
            <w:r>
              <w:rPr>
                <w:color w:val="1A1D21"/>
                <w:sz w:val="17"/>
              </w:rPr>
              <w:t>1,416</w:t>
            </w:r>
          </w:p>
        </w:tc>
        <w:tc>
          <w:tcPr>
            <w:tcW w:type="dxa" w:w="850"/>
          </w:tcPr>
          <w:p>
            <w:pPr>
              <w:jc w:val="right"/>
            </w:pPr>
            <w:r/>
            <w:r>
              <w:rPr>
                <w:color w:val="1A1D21"/>
                <w:sz w:val="17"/>
              </w:rPr>
              <w:t>2,039</w:t>
            </w:r>
          </w:p>
        </w:tc>
        <w:tc>
          <w:tcPr>
            <w:tcW w:type="dxa" w:w="850"/>
          </w:tcPr>
          <w:p>
            <w:pPr>
              <w:jc w:val="right"/>
            </w:pPr>
            <w:r/>
            <w:r>
              <w:rPr>
                <w:color w:val="1A1D21"/>
                <w:sz w:val="17"/>
              </w:rPr>
              <w:t>2,950</w:t>
            </w:r>
          </w:p>
        </w:tc>
        <w:tc>
          <w:tcPr>
            <w:tcW w:type="dxa" w:w="850"/>
          </w:tcPr>
          <w:p>
            <w:pPr>
              <w:jc w:val="right"/>
            </w:pPr>
            <w:r/>
            <w:r>
              <w:rPr>
                <w:color w:val="1A1D21"/>
                <w:sz w:val="17"/>
              </w:rPr>
              <w:t>2,839</w:t>
            </w:r>
          </w:p>
        </w:tc>
      </w:tr>
      <w:tr>
        <w:trPr>
          <w:cantSplit/>
        </w:trPr>
        <w:tc>
          <w:tcPr>
            <w:tcW w:type="dxa" w:w="5046"/>
          </w:tcPr>
          <w:p>
            <w:r/>
            <w:r>
              <w:rPr>
                <w:color w:val="1A1D21"/>
                <w:sz w:val="17"/>
              </w:rPr>
              <w:t>Price per unit (EGP mn)</w:t>
            </w:r>
          </w:p>
        </w:tc>
        <w:tc>
          <w:tcPr>
            <w:tcW w:type="dxa" w:w="850"/>
          </w:tcPr>
          <w:p>
            <w:pPr>
              <w:jc w:val="right"/>
            </w:pPr>
            <w:r/>
            <w:r>
              <w:rPr>
                <w:color w:val="1A1D21"/>
                <w:sz w:val="17"/>
              </w:rPr>
              <w:t>7.72</w:t>
            </w:r>
          </w:p>
        </w:tc>
        <w:tc>
          <w:tcPr>
            <w:tcW w:type="dxa" w:w="850"/>
          </w:tcPr>
          <w:p>
            <w:pPr>
              <w:jc w:val="right"/>
            </w:pPr>
            <w:r/>
            <w:r>
              <w:rPr>
                <w:color w:val="1A1D21"/>
                <w:sz w:val="17"/>
              </w:rPr>
              <w:t>5.13</w:t>
            </w:r>
          </w:p>
        </w:tc>
        <w:tc>
          <w:tcPr>
            <w:tcW w:type="dxa" w:w="850"/>
          </w:tcPr>
          <w:p>
            <w:pPr>
              <w:jc w:val="right"/>
            </w:pPr>
            <w:r/>
            <w:r>
              <w:rPr>
                <w:color w:val="1A1D21"/>
                <w:sz w:val="17"/>
              </w:rPr>
              <w:t>6.43</w:t>
            </w:r>
          </w:p>
        </w:tc>
        <w:tc>
          <w:tcPr>
            <w:tcW w:type="dxa" w:w="850"/>
          </w:tcPr>
          <w:p>
            <w:pPr>
              <w:jc w:val="right"/>
            </w:pPr>
            <w:r/>
            <w:r>
              <w:rPr>
                <w:color w:val="1A1D21"/>
                <w:sz w:val="17"/>
              </w:rPr>
              <w:t>10.96</w:t>
            </w:r>
          </w:p>
        </w:tc>
        <w:tc>
          <w:tcPr>
            <w:tcW w:type="dxa" w:w="850"/>
          </w:tcPr>
          <w:p>
            <w:pPr>
              <w:jc w:val="right"/>
            </w:pPr>
            <w:r/>
            <w:r>
              <w:rPr>
                <w:color w:val="1A1D21"/>
                <w:sz w:val="17"/>
              </w:rPr>
              <w:t>15.70</w:t>
            </w:r>
          </w:p>
        </w:tc>
      </w:tr>
    </w:tbl>
    <w:p>
      <w:pPr>
        <w:spacing w:after="80"/>
      </w:pPr>
      <w:r>
        <w:rPr>
          <w:b w:val="0"/>
          <w:i w:val="0"/>
          <w:color w:val="1A1D21"/>
          <w:sz w:val="8"/>
        </w:rPr>
      </w:r>
    </w:p>
    <w:p>
      <w:pPr>
        <w:spacing w:after="140"/>
      </w:pPr>
      <w:r>
        <w:rPr>
          <w:b w:val="0"/>
          <w:i w:val="0"/>
          <w:color w:val="5B6570"/>
          <w:sz w:val="18"/>
        </w:rPr>
        <w:t>Carried forward at 2,609 units, the average of the last three disclosed years, at a starting price of EGP 15.70 million a unit, the price realised in 2024, escalated with Egyptian inflation.</w:t>
      </w:r>
    </w:p>
    <w:p>
      <w:pPr>
        <w:pStyle w:val="Heading3"/>
      </w:pPr>
      <w:r>
        <w:t>East Cairo</w:t>
      </w:r>
    </w:p>
    <w:tbl>
      <w:tblPr>
        <w:tblStyle w:val="TableGrid"/>
        <w:tblW w:type="auto" w:w="0"/>
        <w:jc w:val="center"/>
        <w:tblLayout w:type="fixed"/>
        <w:tblLook w:firstColumn="1" w:firstRow="1" w:lastColumn="0" w:lastRow="0" w:noHBand="0" w:noVBand="1" w:val="04A0"/>
        <w:tblLayout w:type="fixed"/>
      </w:tblPr>
      <w:tblGrid>
        <w:gridCol w:w="5046"/>
        <w:gridCol w:w="850"/>
        <w:gridCol w:w="850"/>
        <w:gridCol w:w="850"/>
        <w:gridCol w:w="850"/>
        <w:gridCol w:w="850"/>
      </w:tblGrid>
      <w:tr>
        <w:trPr>
          <w:tblHeader w:val="true"/>
        </w:trPr>
        <w:tc>
          <w:tcPr>
            <w:tcW w:type="dxa" w:w="5046"/>
          </w:tcPr>
          <w:p>
            <w:r/>
            <w:r>
              <w:rPr>
                <w:b/>
                <w:color w:val="5B6570"/>
                <w:sz w:val="17"/>
              </w:rPr>
              <w:t>Disclosed</w:t>
            </w:r>
          </w:p>
        </w:tc>
        <w:tc>
          <w:tcPr>
            <w:tcW w:type="dxa" w:w="850"/>
          </w:tcPr>
          <w:p>
            <w:r/>
            <w:r>
              <w:rPr>
                <w:b/>
                <w:color w:val="5B6570"/>
                <w:sz w:val="17"/>
              </w:rPr>
              <w:t>2020</w:t>
            </w:r>
          </w:p>
        </w:tc>
        <w:tc>
          <w:tcPr>
            <w:tcW w:type="dxa" w:w="850"/>
          </w:tcPr>
          <w:p>
            <w:r/>
            <w:r>
              <w:rPr>
                <w:b/>
                <w:color w:val="5B6570"/>
                <w:sz w:val="17"/>
              </w:rPr>
              <w:t>2021</w:t>
            </w:r>
          </w:p>
        </w:tc>
        <w:tc>
          <w:tcPr>
            <w:tcW w:type="dxa" w:w="850"/>
          </w:tcPr>
          <w:p>
            <w:r/>
            <w:r>
              <w:rPr>
                <w:b/>
                <w:color w:val="5B6570"/>
                <w:sz w:val="17"/>
              </w:rPr>
              <w:t>2022</w:t>
            </w:r>
          </w:p>
        </w:tc>
        <w:tc>
          <w:tcPr>
            <w:tcW w:type="dxa" w:w="850"/>
          </w:tcPr>
          <w:p>
            <w:r/>
            <w:r>
              <w:rPr>
                <w:b/>
                <w:color w:val="5B6570"/>
                <w:sz w:val="17"/>
              </w:rPr>
              <w:t>2023</w:t>
            </w:r>
          </w:p>
        </w:tc>
        <w:tc>
          <w:tcPr>
            <w:tcW w:type="dxa" w:w="850"/>
          </w:tcPr>
          <w:p>
            <w:r/>
            <w:r>
              <w:rPr>
                <w:b/>
                <w:color w:val="5B6570"/>
                <w:sz w:val="17"/>
              </w:rPr>
              <w:t>2024</w:t>
            </w:r>
          </w:p>
        </w:tc>
      </w:tr>
      <w:tr>
        <w:trPr>
          <w:cantSplit/>
        </w:trPr>
        <w:tc>
          <w:tcPr>
            <w:tcW w:type="dxa" w:w="5046"/>
          </w:tcPr>
          <w:p>
            <w:r/>
            <w:r>
              <w:rPr>
                <w:color w:val="1A1D21"/>
                <w:sz w:val="17"/>
              </w:rPr>
              <w:t>New sales (EGP mn)</w:t>
            </w:r>
          </w:p>
        </w:tc>
        <w:tc>
          <w:tcPr>
            <w:tcW w:type="dxa" w:w="850"/>
          </w:tcPr>
          <w:p>
            <w:pPr>
              <w:jc w:val="right"/>
            </w:pPr>
            <w:r/>
            <w:r>
              <w:rPr>
                <w:color w:val="1A1D21"/>
                <w:sz w:val="17"/>
              </w:rPr>
              <w:t>1,947</w:t>
            </w:r>
          </w:p>
        </w:tc>
        <w:tc>
          <w:tcPr>
            <w:tcW w:type="dxa" w:w="850"/>
          </w:tcPr>
          <w:p>
            <w:pPr>
              <w:jc w:val="right"/>
            </w:pPr>
            <w:r/>
            <w:r>
              <w:rPr>
                <w:color w:val="1A1D21"/>
                <w:sz w:val="17"/>
              </w:rPr>
              <w:t>2,892</w:t>
            </w:r>
          </w:p>
        </w:tc>
        <w:tc>
          <w:tcPr>
            <w:tcW w:type="dxa" w:w="850"/>
          </w:tcPr>
          <w:p>
            <w:pPr>
              <w:jc w:val="right"/>
            </w:pPr>
            <w:r/>
            <w:r>
              <w:rPr>
                <w:color w:val="1A1D21"/>
                <w:sz w:val="17"/>
              </w:rPr>
              <w:t>7,265</w:t>
            </w:r>
          </w:p>
        </w:tc>
        <w:tc>
          <w:tcPr>
            <w:tcW w:type="dxa" w:w="850"/>
          </w:tcPr>
          <w:p>
            <w:pPr>
              <w:jc w:val="right"/>
            </w:pPr>
            <w:r/>
            <w:r>
              <w:rPr>
                <w:color w:val="1A1D21"/>
                <w:sz w:val="17"/>
              </w:rPr>
              <w:t>13,270</w:t>
            </w:r>
          </w:p>
        </w:tc>
        <w:tc>
          <w:tcPr>
            <w:tcW w:type="dxa" w:w="850"/>
          </w:tcPr>
          <w:p>
            <w:pPr>
              <w:jc w:val="right"/>
            </w:pPr>
            <w:r/>
            <w:r>
              <w:rPr>
                <w:color w:val="1A1D21"/>
                <w:sz w:val="17"/>
              </w:rPr>
              <w:t>11,364</w:t>
            </w:r>
          </w:p>
        </w:tc>
      </w:tr>
      <w:tr>
        <w:trPr>
          <w:cantSplit/>
        </w:trPr>
        <w:tc>
          <w:tcPr>
            <w:tcW w:type="dxa" w:w="5046"/>
          </w:tcPr>
          <w:p>
            <w:r/>
            <w:r>
              <w:rPr>
                <w:color w:val="1A1D21"/>
                <w:sz w:val="17"/>
              </w:rPr>
              <w:t>Units sold</w:t>
            </w:r>
          </w:p>
        </w:tc>
        <w:tc>
          <w:tcPr>
            <w:tcW w:type="dxa" w:w="850"/>
          </w:tcPr>
          <w:p>
            <w:pPr>
              <w:jc w:val="right"/>
            </w:pPr>
            <w:r/>
            <w:r>
              <w:rPr>
                <w:color w:val="1A1D21"/>
                <w:sz w:val="17"/>
              </w:rPr>
              <w:t>256</w:t>
            </w:r>
          </w:p>
        </w:tc>
        <w:tc>
          <w:tcPr>
            <w:tcW w:type="dxa" w:w="850"/>
          </w:tcPr>
          <w:p>
            <w:pPr>
              <w:jc w:val="right"/>
            </w:pPr>
            <w:r/>
            <w:r>
              <w:rPr>
                <w:color w:val="1A1D21"/>
                <w:sz w:val="17"/>
              </w:rPr>
              <w:t>382</w:t>
            </w:r>
          </w:p>
        </w:tc>
        <w:tc>
          <w:tcPr>
            <w:tcW w:type="dxa" w:w="850"/>
          </w:tcPr>
          <w:p>
            <w:pPr>
              <w:jc w:val="right"/>
            </w:pPr>
            <w:r/>
            <w:r>
              <w:rPr>
                <w:color w:val="1A1D21"/>
                <w:sz w:val="17"/>
              </w:rPr>
              <w:t>1,194</w:t>
            </w:r>
          </w:p>
        </w:tc>
        <w:tc>
          <w:tcPr>
            <w:tcW w:type="dxa" w:w="850"/>
          </w:tcPr>
          <w:p>
            <w:pPr>
              <w:jc w:val="right"/>
            </w:pPr>
            <w:r/>
            <w:r>
              <w:rPr>
                <w:color w:val="1A1D21"/>
                <w:sz w:val="17"/>
              </w:rPr>
              <w:t>1,200</w:t>
            </w:r>
          </w:p>
        </w:tc>
        <w:tc>
          <w:tcPr>
            <w:tcW w:type="dxa" w:w="850"/>
          </w:tcPr>
          <w:p>
            <w:pPr>
              <w:jc w:val="right"/>
            </w:pPr>
            <w:r/>
            <w:r>
              <w:rPr>
                <w:color w:val="1A1D21"/>
                <w:sz w:val="17"/>
              </w:rPr>
              <w:t>453</w:t>
            </w:r>
          </w:p>
        </w:tc>
      </w:tr>
      <w:tr>
        <w:trPr>
          <w:cantSplit/>
        </w:trPr>
        <w:tc>
          <w:tcPr>
            <w:tcW w:type="dxa" w:w="5046"/>
          </w:tcPr>
          <w:p>
            <w:r/>
            <w:r>
              <w:rPr>
                <w:color w:val="1A1D21"/>
                <w:sz w:val="17"/>
              </w:rPr>
              <w:t>Price per unit (EGP mn)</w:t>
            </w:r>
          </w:p>
        </w:tc>
        <w:tc>
          <w:tcPr>
            <w:tcW w:type="dxa" w:w="850"/>
          </w:tcPr>
          <w:p>
            <w:pPr>
              <w:jc w:val="right"/>
            </w:pPr>
            <w:r/>
            <w:r>
              <w:rPr>
                <w:color w:val="1A1D21"/>
                <w:sz w:val="17"/>
              </w:rPr>
              <w:t>7.61</w:t>
            </w:r>
          </w:p>
        </w:tc>
        <w:tc>
          <w:tcPr>
            <w:tcW w:type="dxa" w:w="850"/>
          </w:tcPr>
          <w:p>
            <w:pPr>
              <w:jc w:val="right"/>
            </w:pPr>
            <w:r/>
            <w:r>
              <w:rPr>
                <w:color w:val="1A1D21"/>
                <w:sz w:val="17"/>
              </w:rPr>
              <w:t>7.57</w:t>
            </w:r>
          </w:p>
        </w:tc>
        <w:tc>
          <w:tcPr>
            <w:tcW w:type="dxa" w:w="850"/>
          </w:tcPr>
          <w:p>
            <w:pPr>
              <w:jc w:val="right"/>
            </w:pPr>
            <w:r/>
            <w:r>
              <w:rPr>
                <w:color w:val="1A1D21"/>
                <w:sz w:val="17"/>
              </w:rPr>
              <w:t>6.08</w:t>
            </w:r>
          </w:p>
        </w:tc>
        <w:tc>
          <w:tcPr>
            <w:tcW w:type="dxa" w:w="850"/>
          </w:tcPr>
          <w:p>
            <w:pPr>
              <w:jc w:val="right"/>
            </w:pPr>
            <w:r/>
            <w:r>
              <w:rPr>
                <w:color w:val="1A1D21"/>
                <w:sz w:val="17"/>
              </w:rPr>
              <w:t>11.06</w:t>
            </w:r>
          </w:p>
        </w:tc>
        <w:tc>
          <w:tcPr>
            <w:tcW w:type="dxa" w:w="850"/>
          </w:tcPr>
          <w:p>
            <w:pPr>
              <w:jc w:val="right"/>
            </w:pPr>
            <w:r/>
            <w:r>
              <w:rPr>
                <w:color w:val="1A1D21"/>
                <w:sz w:val="17"/>
              </w:rPr>
              <w:t>25.09</w:t>
            </w:r>
          </w:p>
        </w:tc>
      </w:tr>
    </w:tbl>
    <w:p>
      <w:pPr>
        <w:spacing w:after="80"/>
      </w:pPr>
      <w:r>
        <w:rPr>
          <w:b w:val="0"/>
          <w:i w:val="0"/>
          <w:color w:val="1A1D21"/>
          <w:sz w:val="8"/>
        </w:rPr>
      </w:r>
    </w:p>
    <w:p>
      <w:pPr>
        <w:spacing w:after="140"/>
      </w:pPr>
      <w:r>
        <w:rPr>
          <w:b w:val="0"/>
          <w:i w:val="0"/>
          <w:color w:val="5B6570"/>
          <w:sz w:val="18"/>
        </w:rPr>
        <w:t>Carried forward at 949 units, the average of the last three disclosed years, at a starting price of EGP 25.09 million a unit, the price realised in 2024, escalated with Egyptian inflation.</w:t>
      </w:r>
    </w:p>
    <w:p>
      <w:pPr>
        <w:spacing w:after="140"/>
      </w:pPr>
      <w:r>
        <w:rPr>
          <w:b w:val="0"/>
          <w:i w:val="0"/>
          <w:color w:val="1A1D21"/>
          <w:sz w:val="20"/>
        </w:rPr>
        <w:t>The three regions reconcile to the group total the same release prints: for 2024, 44,570 plus 95,082 plus 11,364 is 151,016, which is the all-regions figure exactly. That reconciliation is checked in code, so a mis-read series fails loudly rather than quietly becoming a price.</w:t>
      </w:r>
    </w:p>
    <w:p>
      <w:pPr>
        <w:spacing w:after="140"/>
      </w:pPr>
      <w:r>
        <w:rPr>
          <w:b w:val="0"/>
          <w:i w:val="0"/>
          <w:color w:val="1A1D21"/>
          <w:sz w:val="20"/>
        </w:rPr>
        <w:t>Revenue is driven by a different quantity from new sales, and the distinction matters. A unit handed over in 2026 was contracted years earlier at that year's price, so revenue per delivered unit sits below the current selling price — EGP 19.73 million against regional prices of EGP 15.70 to 25.09 million. That gap is why the order book keeps building even as deliveries rise, and it is the single clearest fact about how this business converts sales into reported revenue.</w:t>
      </w:r>
    </w:p>
    <w:p>
      <w:pPr>
        <w:spacing w:after="140"/>
      </w:pPr>
      <w:r>
        <w:rPr>
          <w:b w:val="0"/>
          <w:i w:val="0"/>
          <w:color w:val="1A1D21"/>
          <w:sz w:val="20"/>
        </w:rPr>
        <w:t>What is NOT disclosed, and therefore not used: unit mix, average unit size, price per square metre and construction cost per square metre, for any project. The edition of 11 June 2026 carried a full table of those figures across fifteen named projects. None of it is published by the company. It is not reused here, and the forecast is built at the finest level the disclosure actually supports.</w:t>
      </w:r>
    </w:p>
    <w:p>
      <w:pPr>
        <w:pStyle w:val="Heading2"/>
      </w:pPr>
      <w:r>
        <w:t>1.7  The crux</w:t>
      </w:r>
    </w:p>
    <w:p>
      <w:pPr>
        <w:spacing w:after="140"/>
      </w:pPr>
      <w:r>
        <w:rPr>
          <w:b/>
          <w:i w:val="0"/>
          <w:color w:val="1A1D21"/>
          <w:sz w:val="20"/>
        </w:rPr>
        <w:t>How fast do contracted sales become cash?</w:t>
      </w:r>
    </w:p>
    <w:p>
      <w:pPr>
        <w:spacing w:after="140"/>
      </w:pPr>
      <w:r>
        <w:rPr>
          <w:b w:val="0"/>
          <w:i w:val="0"/>
          <w:color w:val="1A1D21"/>
          <w:sz w:val="20"/>
        </w:rPr>
        <w:t>Everything else in this study is secondary to that question. Palm Hills sells off plan on long instalment terms, so a sale signed today produces cash over several years on a schedule the company does not publish — no down-payment percentage, no instalment tenor, no post-handover tail. The edition of 11 June 2026 assumed all three. This edition measures the outcome instead, from the three years in which the company has published a cash-flow statement.</w:t>
      </w:r>
    </w:p>
    <w:tbl>
      <w:tblPr>
        <w:tblStyle w:val="TableGrid"/>
        <w:tblW w:type="auto" w:w="0"/>
        <w:jc w:val="center"/>
        <w:tblLayout w:type="fixed"/>
        <w:tblLook w:firstColumn="1" w:firstRow="1" w:lastColumn="0" w:lastRow="0" w:noHBand="0" w:noVBand="1" w:val="04A0"/>
        <w:tblLayout w:type="fixed"/>
      </w:tblPr>
      <w:tblGrid>
        <w:gridCol w:w="686"/>
        <w:gridCol w:w="1378"/>
        <w:gridCol w:w="6084"/>
        <w:gridCol w:w="1032"/>
      </w:tblGrid>
      <w:tr>
        <w:trPr>
          <w:tblHeader w:val="true"/>
        </w:trPr>
        <w:tc>
          <w:tcPr>
            <w:tcW w:type="dxa" w:w="686"/>
          </w:tcPr>
          <w:p>
            <w:r/>
            <w:r>
              <w:rPr>
                <w:b/>
                <w:color w:val="5B6570"/>
                <w:sz w:val="17"/>
              </w:rPr>
              <w:t>Year</w:t>
            </w:r>
          </w:p>
        </w:tc>
        <w:tc>
          <w:tcPr>
            <w:tcW w:type="dxa" w:w="1378"/>
          </w:tcPr>
          <w:p>
            <w:r/>
            <w:r>
              <w:rPr>
                <w:b/>
                <w:color w:val="5B6570"/>
                <w:sz w:val="17"/>
              </w:rPr>
              <w:t>Cash from operations (EGP mn)</w:t>
            </w:r>
          </w:p>
        </w:tc>
        <w:tc>
          <w:tcPr>
            <w:tcW w:type="dxa" w:w="6083"/>
          </w:tcPr>
          <w:p>
            <w:r/>
            <w:r>
              <w:rPr>
                <w:b/>
                <w:color w:val="5B6570"/>
                <w:sz w:val="17"/>
              </w:rPr>
              <w:t>Revenue (EGP mn)</w:t>
            </w:r>
          </w:p>
        </w:tc>
        <w:tc>
          <w:tcPr>
            <w:tcW w:type="dxa" w:w="1032"/>
          </w:tcPr>
          <w:p>
            <w:r/>
            <w:r>
              <w:rPr>
                <w:b/>
                <w:color w:val="5B6570"/>
                <w:sz w:val="17"/>
              </w:rPr>
              <w:t>Cash as a share of revenue</w:t>
            </w:r>
          </w:p>
        </w:tc>
      </w:tr>
      <w:tr>
        <w:trPr>
          <w:cantSplit/>
        </w:trPr>
        <w:tc>
          <w:tcPr>
            <w:tcW w:type="dxa" w:w="686"/>
          </w:tcPr>
          <w:p>
            <w:r/>
            <w:r>
              <w:rPr>
                <w:color w:val="1A1D21"/>
                <w:sz w:val="17"/>
              </w:rPr>
              <w:t>2023</w:t>
            </w:r>
          </w:p>
        </w:tc>
        <w:tc>
          <w:tcPr>
            <w:tcW w:type="dxa" w:w="1378"/>
          </w:tcPr>
          <w:p>
            <w:pPr>
              <w:jc w:val="right"/>
            </w:pPr>
            <w:r/>
            <w:r>
              <w:rPr>
                <w:color w:val="1A1D21"/>
                <w:sz w:val="17"/>
              </w:rPr>
              <w:t>757</w:t>
            </w:r>
          </w:p>
        </w:tc>
        <w:tc>
          <w:tcPr>
            <w:tcW w:type="dxa" w:w="6083"/>
          </w:tcPr>
          <w:p>
            <w:pPr>
              <w:jc w:val="right"/>
            </w:pPr>
            <w:r/>
            <w:r>
              <w:rPr>
                <w:color w:val="1A1D21"/>
                <w:sz w:val="17"/>
              </w:rPr>
              <w:t>17,462</w:t>
            </w:r>
          </w:p>
        </w:tc>
        <w:tc>
          <w:tcPr>
            <w:tcW w:type="dxa" w:w="1032"/>
          </w:tcPr>
          <w:p>
            <w:pPr>
              <w:jc w:val="right"/>
            </w:pPr>
            <w:r/>
            <w:r>
              <w:rPr>
                <w:color w:val="1A1D21"/>
                <w:sz w:val="17"/>
              </w:rPr>
              <w:t>4.3%</w:t>
            </w:r>
          </w:p>
        </w:tc>
      </w:tr>
      <w:tr>
        <w:trPr>
          <w:cantSplit/>
        </w:trPr>
        <w:tc>
          <w:tcPr>
            <w:tcW w:type="dxa" w:w="686"/>
          </w:tcPr>
          <w:p>
            <w:r/>
            <w:r>
              <w:rPr>
                <w:color w:val="1A1D21"/>
                <w:sz w:val="17"/>
              </w:rPr>
              <w:t>2024</w:t>
            </w:r>
          </w:p>
        </w:tc>
        <w:tc>
          <w:tcPr>
            <w:tcW w:type="dxa" w:w="1378"/>
          </w:tcPr>
          <w:p>
            <w:pPr>
              <w:jc w:val="right"/>
            </w:pPr>
            <w:r/>
            <w:r>
              <w:rPr>
                <w:color w:val="1A1D21"/>
                <w:sz w:val="17"/>
              </w:rPr>
              <w:t>4,855</w:t>
            </w:r>
          </w:p>
        </w:tc>
        <w:tc>
          <w:tcPr>
            <w:tcW w:type="dxa" w:w="6083"/>
          </w:tcPr>
          <w:p>
            <w:pPr>
              <w:jc w:val="right"/>
            </w:pPr>
            <w:r/>
            <w:r>
              <w:rPr>
                <w:color w:val="1A1D21"/>
                <w:sz w:val="17"/>
              </w:rPr>
              <w:t>27,167</w:t>
            </w:r>
          </w:p>
        </w:tc>
        <w:tc>
          <w:tcPr>
            <w:tcW w:type="dxa" w:w="1032"/>
          </w:tcPr>
          <w:p>
            <w:pPr>
              <w:jc w:val="right"/>
            </w:pPr>
            <w:r/>
            <w:r>
              <w:rPr>
                <w:color w:val="1A1D21"/>
                <w:sz w:val="17"/>
              </w:rPr>
              <w:t>17.9%</w:t>
            </w:r>
          </w:p>
        </w:tc>
      </w:tr>
      <w:tr>
        <w:trPr>
          <w:cantSplit/>
        </w:trPr>
        <w:tc>
          <w:tcPr>
            <w:tcW w:type="dxa" w:w="686"/>
          </w:tcPr>
          <w:p>
            <w:r/>
            <w:r>
              <w:rPr>
                <w:color w:val="1A1D21"/>
                <w:sz w:val="17"/>
              </w:rPr>
              <w:t>2025</w:t>
            </w:r>
          </w:p>
        </w:tc>
        <w:tc>
          <w:tcPr>
            <w:tcW w:type="dxa" w:w="1378"/>
          </w:tcPr>
          <w:p>
            <w:pPr>
              <w:jc w:val="right"/>
            </w:pPr>
            <w:r/>
            <w:r>
              <w:rPr>
                <w:color w:val="1A1D21"/>
                <w:sz w:val="17"/>
              </w:rPr>
              <w:t>1,424</w:t>
            </w:r>
          </w:p>
        </w:tc>
        <w:tc>
          <w:tcPr>
            <w:tcW w:type="dxa" w:w="6083"/>
          </w:tcPr>
          <w:p>
            <w:pPr>
              <w:jc w:val="right"/>
            </w:pPr>
            <w:r/>
            <w:r>
              <w:rPr>
                <w:color w:val="1A1D21"/>
                <w:sz w:val="17"/>
              </w:rPr>
              <w:t>36,169</w:t>
            </w:r>
          </w:p>
        </w:tc>
        <w:tc>
          <w:tcPr>
            <w:tcW w:type="dxa" w:w="1032"/>
          </w:tcPr>
          <w:p>
            <w:pPr>
              <w:jc w:val="right"/>
            </w:pPr>
            <w:r/>
            <w:r>
              <w:rPr>
                <w:color w:val="1A1D21"/>
                <w:sz w:val="17"/>
              </w:rPr>
              <w:t>3.9%</w:t>
            </w:r>
          </w:p>
        </w:tc>
      </w:tr>
    </w:tbl>
    <w:p>
      <w:pPr>
        <w:spacing w:after="200"/>
      </w:pPr>
      <w:r>
        <w:rPr>
          <w:b w:val="0"/>
          <w:i/>
          <w:color w:val="5B6570"/>
          <w:sz w:val="16"/>
        </w:rPr>
        <w:t>The 2024 figure is the one in the audited statements. The company's own results release for that year reported EGP 3,132 million and the figure was later restated; the audited number is used.</w:t>
      </w:r>
    </w:p>
    <w:p>
      <w:pPr>
        <w:spacing w:after="140"/>
      </w:pPr>
      <w:r>
        <w:rPr>
          <w:b w:val="0"/>
          <w:i w:val="0"/>
          <w:color w:val="1A1D21"/>
          <w:sz w:val="20"/>
        </w:rPr>
        <w:t>A spread of 3.9% to 17.9% over three consecutive years is not noise around a stable rate — it is the absence of a stable rate. Until the company discloses its collection terms, or until more years accumulate, this is the honest width of the answer.</w:t>
      </w:r>
    </w:p>
    <w:p>
      <w:pPr>
        <w:pStyle w:val="Heading2"/>
      </w:pPr>
      <w:r>
        <w:t>1.8  Macro, country risk and the cost of capital</w:t>
      </w:r>
    </w:p>
    <w:p>
      <w:pPr>
        <w:spacing w:after="140"/>
      </w:pPr>
      <w:r>
        <w:rPr>
          <w:b w:val="0"/>
          <w:i w:val="0"/>
          <w:color w:val="1A1D21"/>
          <w:sz w:val="20"/>
        </w:rPr>
        <w:t>The edition of 11 June 2026 discounted at 18%. Egypt's ten-year government bond yields 23.00%. A discount rate below the sovereign yield prices this company as safer than the government that taxes it, which cannot be right, and it is not a real-versus-nominal mismatch: that edition escalated selling prices at 14 per cent a year, so its cash flows were in nominal pounds throughout.</w:t>
      </w:r>
    </w:p>
    <w:tbl>
      <w:tblPr>
        <w:tblStyle w:val="TableGrid"/>
        <w:tblW w:type="auto" w:w="0"/>
        <w:jc w:val="center"/>
        <w:tblLayout w:type="fixed"/>
        <w:tblLook w:firstColumn="1" w:firstRow="1" w:lastColumn="0" w:lastRow="0" w:noHBand="0" w:noVBand="1" w:val="04A0"/>
        <w:tblLayout w:type="fixed"/>
      </w:tblPr>
      <w:tblGrid>
        <w:gridCol w:w="5194"/>
        <w:gridCol w:w="1673"/>
        <w:gridCol w:w="2313"/>
      </w:tblGrid>
      <w:tr>
        <w:trPr>
          <w:tblHeader w:val="true"/>
        </w:trPr>
        <w:tc>
          <w:tcPr>
            <w:tcW w:type="dxa" w:w="5193"/>
          </w:tcPr>
          <w:p>
            <w:r/>
            <w:r>
              <w:rPr>
                <w:b/>
                <w:color w:val="5B6570"/>
                <w:sz w:val="17"/>
              </w:rPr>
              <w:t>Cost of capital</w:t>
            </w:r>
          </w:p>
        </w:tc>
        <w:tc>
          <w:tcPr>
            <w:tcW w:type="dxa" w:w="1672"/>
          </w:tcPr>
          <w:p>
            <w:r/>
            <w:r>
              <w:rPr>
                <w:b/>
                <w:color w:val="5B6570"/>
                <w:sz w:val="17"/>
              </w:rPr>
              <w:t>On the credit-rating basis</w:t>
            </w:r>
          </w:p>
        </w:tc>
        <w:tc>
          <w:tcPr>
            <w:tcW w:type="dxa" w:w="2313"/>
          </w:tcPr>
          <w:p>
            <w:r/>
            <w:r>
              <w:rPr>
                <w:b/>
                <w:color w:val="5B6570"/>
                <w:sz w:val="17"/>
              </w:rPr>
              <w:t>On the credit-default-swap basis</w:t>
            </w:r>
          </w:p>
        </w:tc>
      </w:tr>
      <w:tr>
        <w:trPr>
          <w:cantSplit/>
        </w:trPr>
        <w:tc>
          <w:tcPr>
            <w:tcW w:type="dxa" w:w="5193"/>
          </w:tcPr>
          <w:p>
            <w:r/>
            <w:r>
              <w:rPr>
                <w:color w:val="1A1D21"/>
                <w:sz w:val="17"/>
              </w:rPr>
              <w:t>Egyptian ten-year government bond yield</w:t>
            </w:r>
          </w:p>
        </w:tc>
        <w:tc>
          <w:tcPr>
            <w:tcW w:type="dxa" w:w="1672"/>
          </w:tcPr>
          <w:p>
            <w:pPr>
              <w:jc w:val="right"/>
            </w:pPr>
            <w:r/>
            <w:r>
              <w:rPr>
                <w:color w:val="1A1D21"/>
                <w:sz w:val="17"/>
              </w:rPr>
              <w:t>23.00%</w:t>
            </w:r>
          </w:p>
        </w:tc>
        <w:tc>
          <w:tcPr>
            <w:tcW w:type="dxa" w:w="2313"/>
          </w:tcPr>
          <w:p>
            <w:pPr>
              <w:jc w:val="right"/>
            </w:pPr>
            <w:r/>
            <w:r>
              <w:rPr>
                <w:color w:val="1A1D21"/>
                <w:sz w:val="17"/>
              </w:rPr>
              <w:t>23.00%</w:t>
            </w:r>
          </w:p>
        </w:tc>
      </w:tr>
      <w:tr>
        <w:trPr>
          <w:cantSplit/>
        </w:trPr>
        <w:tc>
          <w:tcPr>
            <w:tcW w:type="dxa" w:w="5193"/>
          </w:tcPr>
          <w:p>
            <w:r/>
            <w:r>
              <w:rPr>
                <w:color w:val="1A1D21"/>
                <w:sz w:val="17"/>
              </w:rPr>
              <w:t>less Egypt's own sovereign default spread</w:t>
            </w:r>
          </w:p>
        </w:tc>
        <w:tc>
          <w:tcPr>
            <w:tcW w:type="dxa" w:w="1672"/>
          </w:tcPr>
          <w:p>
            <w:pPr>
              <w:jc w:val="right"/>
            </w:pPr>
            <w:r/>
            <w:r>
              <w:rPr>
                <w:color w:val="1A1D21"/>
                <w:sz w:val="17"/>
              </w:rPr>
              <w:t>6.37%</w:t>
            </w:r>
          </w:p>
        </w:tc>
        <w:tc>
          <w:tcPr>
            <w:tcW w:type="dxa" w:w="2313"/>
          </w:tcPr>
          <w:p>
            <w:pPr>
              <w:jc w:val="right"/>
            </w:pPr>
            <w:r/>
            <w:r>
              <w:rPr>
                <w:color w:val="1A1D21"/>
                <w:sz w:val="17"/>
              </w:rPr>
              <w:t>3.41%</w:t>
            </w:r>
          </w:p>
        </w:tc>
      </w:tr>
      <w:tr>
        <w:trPr>
          <w:cantSplit/>
        </w:trPr>
        <w:tc>
          <w:tcPr>
            <w:tcW w:type="dxa" w:w="5193"/>
          </w:tcPr>
          <w:p>
            <w:r/>
            <w:r>
              <w:rPr>
                <w:color w:val="1A1D21"/>
                <w:sz w:val="17"/>
              </w:rPr>
              <w:t>Normalised risk-free rate</w:t>
            </w:r>
          </w:p>
        </w:tc>
        <w:tc>
          <w:tcPr>
            <w:tcW w:type="dxa" w:w="1672"/>
          </w:tcPr>
          <w:p>
            <w:pPr>
              <w:jc w:val="right"/>
            </w:pPr>
            <w:r/>
            <w:r>
              <w:rPr>
                <w:color w:val="1A1D21"/>
                <w:sz w:val="17"/>
              </w:rPr>
              <w:t>16.63%</w:t>
            </w:r>
          </w:p>
        </w:tc>
        <w:tc>
          <w:tcPr>
            <w:tcW w:type="dxa" w:w="2313"/>
          </w:tcPr>
          <w:p>
            <w:pPr>
              <w:jc w:val="right"/>
            </w:pPr>
            <w:r/>
            <w:r>
              <w:rPr>
                <w:color w:val="1A1D21"/>
                <w:sz w:val="17"/>
              </w:rPr>
              <w:t>19.59%</w:t>
            </w:r>
          </w:p>
        </w:tc>
      </w:tr>
      <w:tr>
        <w:trPr>
          <w:cantSplit/>
        </w:trPr>
        <w:tc>
          <w:tcPr>
            <w:tcW w:type="dxa" w:w="5193"/>
          </w:tcPr>
          <w:p>
            <w:r/>
            <w:r>
              <w:rPr>
                <w:color w:val="1A1D21"/>
                <w:sz w:val="17"/>
              </w:rPr>
              <w:t>Equity risk premium for Egypt</w:t>
            </w:r>
          </w:p>
        </w:tc>
        <w:tc>
          <w:tcPr>
            <w:tcW w:type="dxa" w:w="1672"/>
          </w:tcPr>
          <w:p>
            <w:pPr>
              <w:jc w:val="right"/>
            </w:pPr>
            <w:r/>
            <w:r>
              <w:rPr>
                <w:color w:val="1A1D21"/>
                <w:sz w:val="17"/>
              </w:rPr>
              <w:t>13.94%</w:t>
            </w:r>
          </w:p>
        </w:tc>
        <w:tc>
          <w:tcPr>
            <w:tcW w:type="dxa" w:w="2313"/>
          </w:tcPr>
          <w:p>
            <w:pPr>
              <w:jc w:val="right"/>
            </w:pPr>
            <w:r/>
            <w:r>
              <w:rPr>
                <w:color w:val="1A1D21"/>
                <w:sz w:val="17"/>
              </w:rPr>
              <w:t>9.41%</w:t>
            </w:r>
          </w:p>
        </w:tc>
      </w:tr>
      <w:tr>
        <w:trPr>
          <w:cantSplit/>
        </w:trPr>
        <w:tc>
          <w:tcPr>
            <w:tcW w:type="dxa" w:w="5193"/>
          </w:tcPr>
          <w:p>
            <w:r/>
            <w:r>
              <w:rPr>
                <w:color w:val="1A1D21"/>
                <w:sz w:val="17"/>
              </w:rPr>
              <w:t>Beta</w:t>
            </w:r>
          </w:p>
        </w:tc>
        <w:tc>
          <w:tcPr>
            <w:tcW w:type="dxa" w:w="1672"/>
          </w:tcPr>
          <w:p>
            <w:pPr>
              <w:jc w:val="right"/>
            </w:pPr>
            <w:r/>
            <w:r>
              <w:rPr>
                <w:color w:val="1A1D21"/>
                <w:sz w:val="17"/>
              </w:rPr>
              <w:t>1.0481</w:t>
            </w:r>
          </w:p>
        </w:tc>
        <w:tc>
          <w:tcPr>
            <w:tcW w:type="dxa" w:w="2313"/>
          </w:tcPr>
          <w:p>
            <w:pPr>
              <w:jc w:val="right"/>
            </w:pPr>
            <w:r/>
            <w:r>
              <w:rPr>
                <w:color w:val="1A1D21"/>
                <w:sz w:val="17"/>
              </w:rPr>
              <w:t>1.0481</w:t>
            </w:r>
          </w:p>
        </w:tc>
      </w:tr>
      <w:tr>
        <w:trPr>
          <w:cantSplit/>
        </w:trPr>
        <w:tc>
          <w:tcPr>
            <w:tcW w:type="dxa" w:w="5193"/>
          </w:tcPr>
          <w:p>
            <w:r/>
            <w:r>
              <w:rPr>
                <w:color w:val="1A1D21"/>
                <w:sz w:val="17"/>
              </w:rPr>
              <w:t>Cost of equity</w:t>
            </w:r>
          </w:p>
        </w:tc>
        <w:tc>
          <w:tcPr>
            <w:tcW w:type="dxa" w:w="1672"/>
          </w:tcPr>
          <w:p>
            <w:pPr>
              <w:jc w:val="right"/>
            </w:pPr>
            <w:r/>
            <w:r>
              <w:rPr>
                <w:color w:val="1A1D21"/>
                <w:sz w:val="17"/>
              </w:rPr>
              <w:t>30.77%</w:t>
            </w:r>
          </w:p>
        </w:tc>
        <w:tc>
          <w:tcPr>
            <w:tcW w:type="dxa" w:w="2313"/>
          </w:tcPr>
          <w:p>
            <w:pPr>
              <w:jc w:val="right"/>
            </w:pPr>
            <w:r/>
            <w:r>
              <w:rPr>
                <w:color w:val="1A1D21"/>
                <w:sz w:val="17"/>
              </w:rPr>
              <w:t>29.20%</w:t>
            </w:r>
          </w:p>
        </w:tc>
      </w:tr>
      <w:tr>
        <w:trPr>
          <w:cantSplit/>
        </w:trPr>
        <w:tc>
          <w:tcPr>
            <w:tcW w:type="dxa" w:w="5193"/>
          </w:tcPr>
          <w:p>
            <w:r/>
            <w:r>
              <w:rPr>
                <w:color w:val="1A1D21"/>
                <w:sz w:val="17"/>
              </w:rPr>
              <w:t>Cost of debt before tax</w:t>
            </w:r>
          </w:p>
        </w:tc>
        <w:tc>
          <w:tcPr>
            <w:tcW w:type="dxa" w:w="1672"/>
          </w:tcPr>
          <w:p>
            <w:pPr>
              <w:jc w:val="right"/>
            </w:pPr>
            <w:r/>
            <w:r>
              <w:rPr>
                <w:color w:val="1A1D21"/>
                <w:sz w:val="17"/>
              </w:rPr>
              <w:t>25.50%</w:t>
            </w:r>
          </w:p>
        </w:tc>
        <w:tc>
          <w:tcPr>
            <w:tcW w:type="dxa" w:w="2313"/>
          </w:tcPr>
          <w:p>
            <w:pPr>
              <w:jc w:val="right"/>
            </w:pPr>
            <w:r/>
            <w:r>
              <w:rPr>
                <w:color w:val="1A1D21"/>
                <w:sz w:val="17"/>
              </w:rPr>
              <w:t>25.50%</w:t>
            </w:r>
          </w:p>
        </w:tc>
      </w:tr>
      <w:tr>
        <w:trPr>
          <w:cantSplit/>
        </w:trPr>
        <w:tc>
          <w:tcPr>
            <w:tcW w:type="dxa" w:w="5193"/>
          </w:tcPr>
          <w:p>
            <w:r/>
            <w:r>
              <w:rPr>
                <w:color w:val="1A1D21"/>
                <w:sz w:val="17"/>
              </w:rPr>
              <w:t>Cost of debt after tax at 22.5%</w:t>
            </w:r>
          </w:p>
        </w:tc>
        <w:tc>
          <w:tcPr>
            <w:tcW w:type="dxa" w:w="1672"/>
          </w:tcPr>
          <w:p>
            <w:pPr>
              <w:jc w:val="right"/>
            </w:pPr>
            <w:r/>
            <w:r>
              <w:rPr>
                <w:color w:val="1A1D21"/>
                <w:sz w:val="17"/>
              </w:rPr>
              <w:t>19.76%</w:t>
            </w:r>
          </w:p>
        </w:tc>
        <w:tc>
          <w:tcPr>
            <w:tcW w:type="dxa" w:w="2313"/>
          </w:tcPr>
          <w:p>
            <w:pPr>
              <w:jc w:val="right"/>
            </w:pPr>
            <w:r/>
            <w:r>
              <w:rPr>
                <w:color w:val="1A1D21"/>
                <w:sz w:val="17"/>
              </w:rPr>
              <w:t>19.76%</w:t>
            </w:r>
          </w:p>
        </w:tc>
      </w:tr>
      <w:tr>
        <w:trPr>
          <w:cantSplit/>
        </w:trPr>
        <w:tc>
          <w:tcPr>
            <w:tcW w:type="dxa" w:w="5193"/>
          </w:tcPr>
          <w:p>
            <w:r/>
            <w:r>
              <w:rPr>
                <w:color w:val="1A1D21"/>
                <w:sz w:val="17"/>
              </w:rPr>
              <w:t>Equity weight at market value</w:t>
            </w:r>
          </w:p>
        </w:tc>
        <w:tc>
          <w:tcPr>
            <w:tcW w:type="dxa" w:w="1672"/>
          </w:tcPr>
          <w:p>
            <w:pPr>
              <w:jc w:val="right"/>
            </w:pPr>
            <w:r/>
            <w:r>
              <w:rPr>
                <w:color w:val="1A1D21"/>
                <w:sz w:val="17"/>
              </w:rPr>
              <w:t>55.1%</w:t>
            </w:r>
          </w:p>
        </w:tc>
        <w:tc>
          <w:tcPr>
            <w:tcW w:type="dxa" w:w="2313"/>
          </w:tcPr>
          <w:p>
            <w:pPr>
              <w:jc w:val="right"/>
            </w:pPr>
            <w:r/>
            <w:r>
              <w:rPr>
                <w:color w:val="1A1D21"/>
                <w:sz w:val="17"/>
              </w:rPr>
              <w:t>55.1%</w:t>
            </w:r>
          </w:p>
        </w:tc>
      </w:tr>
      <w:tr>
        <w:trPr>
          <w:cantSplit/>
        </w:trPr>
        <w:tc>
          <w:tcPr>
            <w:tcW w:type="dxa" w:w="5193"/>
          </w:tcPr>
          <w:p>
            <w:r/>
            <w:r>
              <w:rPr>
                <w:color w:val="1A1D21"/>
                <w:sz w:val="17"/>
              </w:rPr>
              <w:t>Debt weight</w:t>
            </w:r>
          </w:p>
        </w:tc>
        <w:tc>
          <w:tcPr>
            <w:tcW w:type="dxa" w:w="1672"/>
          </w:tcPr>
          <w:p>
            <w:pPr>
              <w:jc w:val="right"/>
            </w:pPr>
            <w:r/>
            <w:r>
              <w:rPr>
                <w:color w:val="1A1D21"/>
                <w:sz w:val="17"/>
              </w:rPr>
              <w:t>44.9%</w:t>
            </w:r>
          </w:p>
        </w:tc>
        <w:tc>
          <w:tcPr>
            <w:tcW w:type="dxa" w:w="2313"/>
          </w:tcPr>
          <w:p>
            <w:pPr>
              <w:jc w:val="right"/>
            </w:pPr>
            <w:r/>
            <w:r>
              <w:rPr>
                <w:color w:val="1A1D21"/>
                <w:sz w:val="17"/>
              </w:rPr>
              <w:t>44.9%</w:t>
            </w:r>
          </w:p>
        </w:tc>
      </w:tr>
      <w:tr>
        <w:trPr>
          <w:cantSplit/>
        </w:trPr>
        <w:tc>
          <w:tcPr>
            <w:tcW w:type="dxa" w:w="5193"/>
          </w:tcPr>
          <w:p>
            <w:r/>
            <w:r>
              <w:rPr>
                <w:color w:val="1A1D21"/>
                <w:sz w:val="17"/>
              </w:rPr>
              <w:t>Weighted average cost of capital</w:t>
            </w:r>
          </w:p>
        </w:tc>
        <w:tc>
          <w:tcPr>
            <w:tcW w:type="dxa" w:w="1672"/>
          </w:tcPr>
          <w:p>
            <w:pPr>
              <w:jc w:val="right"/>
            </w:pPr>
            <w:r/>
            <w:r>
              <w:rPr>
                <w:color w:val="1A1D21"/>
                <w:sz w:val="17"/>
              </w:rPr>
              <w:t>25.83%</w:t>
            </w:r>
          </w:p>
        </w:tc>
        <w:tc>
          <w:tcPr>
            <w:tcW w:type="dxa" w:w="2313"/>
          </w:tcPr>
          <w:p>
            <w:r/>
            <w:r>
              <w:rPr>
                <w:color w:val="1A1D21"/>
                <w:sz w:val="17"/>
              </w:rPr>
              <w:t>24.96%  ← ADOPTED</w:t>
            </w:r>
          </w:p>
        </w:tc>
      </w:tr>
    </w:tbl>
    <w:p>
      <w:pPr>
        <w:spacing w:after="200"/>
      </w:pPr>
      <w:r>
        <w:rPr>
          <w:b w:val="0"/>
          <w:i/>
          <w:color w:val="5B6570"/>
          <w:sz w:val="16"/>
        </w:rPr>
        <w:t>Country risk is counted once, inside the equity risk premium, and the government bond yield is reduced by Egypt's own default spread on the matching basis before that premium is added. Both bases are published because both are defensible and they differ by about a point.</w:t>
      </w:r>
    </w:p>
    <w:p>
      <w:pPr>
        <w:spacing w:after="140"/>
      </w:pPr>
      <w:r>
        <w:rPr>
          <w:b w:val="0"/>
          <w:i w:val="0"/>
          <w:color w:val="1A1D21"/>
          <w:sz w:val="20"/>
        </w:rPr>
        <w:t>The beta is measured on Palm Hills' own weekly price history against the EGX30 index over 4.94 years: 1.0481, with a standard error of 0.1808, an R-squared of 30.0% and 256 weekly observations. A cross-check adjustment toward the market gives 1.0320. Appendix B shows the same measurement for every listed Egyptian developer.</w:t>
      </w:r>
    </w:p>
    <w:p>
      <w:pPr>
        <w:spacing w:after="140"/>
      </w:pPr>
      <w:r>
        <w:rPr>
          <w:b w:val="0"/>
          <w:i w:val="0"/>
          <w:color w:val="1A1D21"/>
          <w:sz w:val="20"/>
        </w:rPr>
        <w:t>The cost of debt is the one cost-of-capital input in this study that is not sourced, and it is flagged. The right anchor exists: the company closed an EGP 2,015 million securitisation on 4 February 2026, the first draw on a newly approved EGP 30 billion programme, in four tranches of 13, 36, 60 and 84 months rated AA+, AA, A+ and A- on the Egyptian national scale. No coupon is published for any tranche. The cost of debt is therefore built as the sovereign yield plus a 250 basis point corporate spread, which puts it above the sovereign as it must be. The accounting rate is deliberately not used: EGP 3,348 million of finance cost on average gross borrowings of about EGP 26,700 million implies 12.5 per cent, far below the sovereign, because much of the balance does not bear interest and part of the charge is capitalised into work in progress.</w:t>
      </w:r>
    </w:p>
    <w:p>
      <w:pPr>
        <w:pStyle w:val="Heading2"/>
      </w:pPr>
      <w:r>
        <w:t>1.9  Sensitivity</w:t>
      </w:r>
    </w:p>
    <w:p>
      <w:pPr>
        <w:spacing w:after="140"/>
      </w:pPr>
      <w:r>
        <w:rPr>
          <w:b w:val="0"/>
          <w:i w:val="0"/>
          <w:color w:val="1A1D21"/>
          <w:sz w:val="20"/>
        </w:rPr>
        <w:t>The table below prices the crux against the discount rate. Read it down a column rather than across a row. Moving the discount rate across the whole 800 basis points of the 11 June 2026 edition's error is worth EGP 37.64 a share on the three-year-mean row — MORE than either single step between observed conversion years (EGP 13.30 and EGP 25.51), and less than the full observed range of conversion itself, which is worth EGP 38.81. The crux is the conversion rate, but only across its whole observed spread; one year to the next moves value less than the discount rate does.</w:t>
      </w:r>
    </w:p>
    <w:tbl>
      <w:tblPr>
        <w:tblStyle w:val="TableGrid"/>
        <w:tblW w:type="auto" w:w="0"/>
        <w:jc w:val="center"/>
        <w:tblLayout w:type="fixed"/>
        <w:tblLook w:firstColumn="1" w:firstRow="1" w:lastColumn="0" w:lastRow="0" w:noHBand="0" w:noVBand="1" w:val="04A0"/>
        <w:tblLayout w:type="fixed"/>
      </w:tblPr>
      <w:tblGrid>
        <w:gridCol w:w="1378"/>
        <w:gridCol w:w="3935"/>
        <w:gridCol w:w="998"/>
        <w:gridCol w:w="998"/>
        <w:gridCol w:w="998"/>
        <w:gridCol w:w="998"/>
      </w:tblGrid>
      <w:tr>
        <w:trPr>
          <w:tblHeader w:val="true"/>
        </w:trPr>
        <w:tc>
          <w:tcPr>
            <w:tcW w:type="dxa" w:w="1378"/>
          </w:tcPr>
          <w:p>
            <w:r/>
            <w:r>
              <w:rPr>
                <w:b/>
                <w:color w:val="5B6570"/>
                <w:sz w:val="17"/>
              </w:rPr>
              <w:t>Cash conversion</w:t>
            </w:r>
          </w:p>
        </w:tc>
        <w:tc>
          <w:tcPr>
            <w:tcW w:type="dxa" w:w="3934"/>
          </w:tcPr>
          <w:p>
            <w:r/>
            <w:r>
              <w:rPr>
                <w:b/>
                <w:color w:val="5B6570"/>
                <w:sz w:val="17"/>
              </w:rPr>
              <w:t>20.96%</w:t>
            </w:r>
          </w:p>
        </w:tc>
        <w:tc>
          <w:tcPr>
            <w:tcW w:type="dxa" w:w="998"/>
          </w:tcPr>
          <w:p>
            <w:r/>
            <w:r>
              <w:rPr>
                <w:b/>
                <w:color w:val="5B6570"/>
                <w:sz w:val="17"/>
              </w:rPr>
              <w:t>22.96%</w:t>
            </w:r>
          </w:p>
        </w:tc>
        <w:tc>
          <w:tcPr>
            <w:tcW w:type="dxa" w:w="998"/>
          </w:tcPr>
          <w:p>
            <w:r/>
            <w:r>
              <w:rPr>
                <w:b/>
                <w:color w:val="5B6570"/>
                <w:sz w:val="17"/>
              </w:rPr>
              <w:t>24.96%</w:t>
            </w:r>
          </w:p>
        </w:tc>
        <w:tc>
          <w:tcPr>
            <w:tcW w:type="dxa" w:w="998"/>
          </w:tcPr>
          <w:p>
            <w:r/>
            <w:r>
              <w:rPr>
                <w:b/>
                <w:color w:val="5B6570"/>
                <w:sz w:val="17"/>
              </w:rPr>
              <w:t>26.96%</w:t>
            </w:r>
          </w:p>
        </w:tc>
        <w:tc>
          <w:tcPr>
            <w:tcW w:type="dxa" w:w="998"/>
          </w:tcPr>
          <w:p>
            <w:r/>
            <w:r>
              <w:rPr>
                <w:b/>
                <w:color w:val="5B6570"/>
                <w:sz w:val="17"/>
              </w:rPr>
              <w:t>28.96%</w:t>
            </w:r>
          </w:p>
        </w:tc>
      </w:tr>
      <w:tr>
        <w:trPr>
          <w:cantSplit/>
        </w:trPr>
        <w:tc>
          <w:tcPr>
            <w:tcW w:type="dxa" w:w="1378"/>
          </w:tcPr>
          <w:p>
            <w:r/>
            <w:r>
              <w:rPr>
                <w:color w:val="1A1D21"/>
                <w:sz w:val="17"/>
              </w:rPr>
              <w:t>3.9%</w:t>
            </w:r>
          </w:p>
        </w:tc>
        <w:tc>
          <w:tcPr>
            <w:tcW w:type="dxa" w:w="3934"/>
          </w:tcPr>
          <w:p>
            <w:pPr>
              <w:jc w:val="right"/>
            </w:pPr>
            <w:r/>
            <w:r>
              <w:rPr>
                <w:color w:val="1A1D21"/>
                <w:sz w:val="17"/>
              </w:rPr>
              <w:t>20.68</w:t>
            </w:r>
          </w:p>
        </w:tc>
        <w:tc>
          <w:tcPr>
            <w:tcW w:type="dxa" w:w="998"/>
          </w:tcPr>
          <w:p>
            <w:pPr>
              <w:jc w:val="right"/>
            </w:pPr>
            <w:r/>
            <w:r>
              <w:rPr>
                <w:color w:val="1A1D21"/>
                <w:sz w:val="17"/>
              </w:rPr>
              <w:t>11.96</w:t>
            </w:r>
          </w:p>
        </w:tc>
        <w:tc>
          <w:tcPr>
            <w:tcW w:type="dxa" w:w="998"/>
          </w:tcPr>
          <w:p>
            <w:pPr>
              <w:jc w:val="right"/>
            </w:pPr>
            <w:r/>
            <w:r>
              <w:rPr>
                <w:color w:val="1A1D21"/>
                <w:sz w:val="17"/>
              </w:rPr>
              <w:t>7.58</w:t>
            </w:r>
          </w:p>
        </w:tc>
        <w:tc>
          <w:tcPr>
            <w:tcW w:type="dxa" w:w="998"/>
          </w:tcPr>
          <w:p>
            <w:pPr>
              <w:jc w:val="right"/>
            </w:pPr>
            <w:r/>
            <w:r>
              <w:rPr>
                <w:color w:val="1A1D21"/>
                <w:sz w:val="17"/>
              </w:rPr>
              <w:t>4.94</w:t>
            </w:r>
          </w:p>
        </w:tc>
        <w:tc>
          <w:tcPr>
            <w:tcW w:type="dxa" w:w="998"/>
          </w:tcPr>
          <w:p>
            <w:pPr>
              <w:jc w:val="right"/>
            </w:pPr>
            <w:r/>
            <w:r>
              <w:rPr>
                <w:color w:val="1A1D21"/>
                <w:sz w:val="17"/>
              </w:rPr>
              <w:t>3.17</w:t>
            </w:r>
          </w:p>
        </w:tc>
      </w:tr>
      <w:tr>
        <w:trPr>
          <w:cantSplit/>
        </w:trPr>
        <w:tc>
          <w:tcPr>
            <w:tcW w:type="dxa" w:w="1378"/>
          </w:tcPr>
          <w:p>
            <w:r/>
            <w:r>
              <w:rPr>
                <w:color w:val="1A1D21"/>
                <w:sz w:val="17"/>
              </w:rPr>
              <w:t>6.0%</w:t>
            </w:r>
          </w:p>
        </w:tc>
        <w:tc>
          <w:tcPr>
            <w:tcW w:type="dxa" w:w="3934"/>
          </w:tcPr>
          <w:p>
            <w:pPr>
              <w:jc w:val="right"/>
            </w:pPr>
            <w:r/>
            <w:r>
              <w:rPr>
                <w:color w:val="1A1D21"/>
                <w:sz w:val="17"/>
              </w:rPr>
              <w:t>32.99</w:t>
            </w:r>
          </w:p>
        </w:tc>
        <w:tc>
          <w:tcPr>
            <w:tcW w:type="dxa" w:w="998"/>
          </w:tcPr>
          <w:p>
            <w:pPr>
              <w:jc w:val="right"/>
            </w:pPr>
            <w:r/>
            <w:r>
              <w:rPr>
                <w:color w:val="1A1D21"/>
                <w:sz w:val="17"/>
              </w:rPr>
              <w:t>19.87</w:t>
            </w:r>
          </w:p>
        </w:tc>
        <w:tc>
          <w:tcPr>
            <w:tcW w:type="dxa" w:w="998"/>
          </w:tcPr>
          <w:p>
            <w:pPr>
              <w:jc w:val="right"/>
            </w:pPr>
            <w:r/>
            <w:r>
              <w:rPr>
                <w:color w:val="1A1D21"/>
                <w:sz w:val="17"/>
              </w:rPr>
              <w:t>13.32</w:t>
            </w:r>
          </w:p>
        </w:tc>
        <w:tc>
          <w:tcPr>
            <w:tcW w:type="dxa" w:w="998"/>
          </w:tcPr>
          <w:p>
            <w:pPr>
              <w:jc w:val="right"/>
            </w:pPr>
            <w:r/>
            <w:r>
              <w:rPr>
                <w:color w:val="1A1D21"/>
                <w:sz w:val="17"/>
              </w:rPr>
              <w:t>9.40</w:t>
            </w:r>
          </w:p>
        </w:tc>
        <w:tc>
          <w:tcPr>
            <w:tcW w:type="dxa" w:w="998"/>
          </w:tcPr>
          <w:p>
            <w:pPr>
              <w:jc w:val="right"/>
            </w:pPr>
            <w:r/>
            <w:r>
              <w:rPr>
                <w:color w:val="1A1D21"/>
                <w:sz w:val="17"/>
              </w:rPr>
              <w:t>6.79</w:t>
            </w:r>
          </w:p>
        </w:tc>
      </w:tr>
      <w:tr>
        <w:trPr>
          <w:cantSplit/>
        </w:trPr>
        <w:tc>
          <w:tcPr>
            <w:tcW w:type="dxa" w:w="1378"/>
          </w:tcPr>
          <w:p>
            <w:r/>
            <w:r>
              <w:rPr>
                <w:color w:val="1A1D21"/>
                <w:sz w:val="17"/>
              </w:rPr>
              <w:t>8.7%</w:t>
            </w:r>
          </w:p>
        </w:tc>
        <w:tc>
          <w:tcPr>
            <w:tcW w:type="dxa" w:w="3934"/>
          </w:tcPr>
          <w:p>
            <w:pPr>
              <w:jc w:val="right"/>
            </w:pPr>
            <w:r/>
            <w:r>
              <w:rPr>
                <w:color w:val="1A1D21"/>
                <w:sz w:val="17"/>
              </w:rPr>
              <w:t>49.19</w:t>
            </w:r>
          </w:p>
        </w:tc>
        <w:tc>
          <w:tcPr>
            <w:tcW w:type="dxa" w:w="998"/>
          </w:tcPr>
          <w:p>
            <w:pPr>
              <w:jc w:val="right"/>
            </w:pPr>
            <w:r/>
            <w:r>
              <w:rPr>
                <w:color w:val="1A1D21"/>
                <w:sz w:val="17"/>
              </w:rPr>
              <w:t>30.28</w:t>
            </w:r>
          </w:p>
        </w:tc>
        <w:tc>
          <w:tcPr>
            <w:tcW w:type="dxa" w:w="998"/>
          </w:tcPr>
          <w:p>
            <w:pPr>
              <w:jc w:val="right"/>
            </w:pPr>
            <w:r/>
            <w:r>
              <w:rPr>
                <w:color w:val="1A1D21"/>
                <w:sz w:val="17"/>
              </w:rPr>
              <w:t>20.88</w:t>
            </w:r>
          </w:p>
        </w:tc>
        <w:tc>
          <w:tcPr>
            <w:tcW w:type="dxa" w:w="998"/>
          </w:tcPr>
          <w:p>
            <w:pPr>
              <w:jc w:val="right"/>
            </w:pPr>
            <w:r/>
            <w:r>
              <w:rPr>
                <w:color w:val="1A1D21"/>
                <w:sz w:val="17"/>
              </w:rPr>
              <w:t>15.27</w:t>
            </w:r>
          </w:p>
        </w:tc>
        <w:tc>
          <w:tcPr>
            <w:tcW w:type="dxa" w:w="998"/>
          </w:tcPr>
          <w:p>
            <w:pPr>
              <w:jc w:val="right"/>
            </w:pPr>
            <w:r/>
            <w:r>
              <w:rPr>
                <w:color w:val="1A1D21"/>
                <w:sz w:val="17"/>
              </w:rPr>
              <w:t>11.55</w:t>
            </w:r>
          </w:p>
        </w:tc>
      </w:tr>
      <w:tr>
        <w:trPr>
          <w:cantSplit/>
        </w:trPr>
        <w:tc>
          <w:tcPr>
            <w:tcW w:type="dxa" w:w="1378"/>
          </w:tcPr>
          <w:p>
            <w:r/>
            <w:r>
              <w:rPr>
                <w:color w:val="1A1D21"/>
                <w:sz w:val="17"/>
              </w:rPr>
              <w:t>12.0%</w:t>
            </w:r>
          </w:p>
        </w:tc>
        <w:tc>
          <w:tcPr>
            <w:tcW w:type="dxa" w:w="3934"/>
          </w:tcPr>
          <w:p>
            <w:pPr>
              <w:jc w:val="right"/>
            </w:pPr>
            <w:r/>
            <w:r>
              <w:rPr>
                <w:color w:val="1A1D21"/>
                <w:sz w:val="17"/>
              </w:rPr>
              <w:t>68.80</w:t>
            </w:r>
          </w:p>
        </w:tc>
        <w:tc>
          <w:tcPr>
            <w:tcW w:type="dxa" w:w="998"/>
          </w:tcPr>
          <w:p>
            <w:pPr>
              <w:jc w:val="right"/>
            </w:pPr>
            <w:r/>
            <w:r>
              <w:rPr>
                <w:color w:val="1A1D21"/>
                <w:sz w:val="17"/>
              </w:rPr>
              <w:t>42.89</w:t>
            </w:r>
          </w:p>
        </w:tc>
        <w:tc>
          <w:tcPr>
            <w:tcW w:type="dxa" w:w="998"/>
          </w:tcPr>
          <w:p>
            <w:pPr>
              <w:jc w:val="right"/>
            </w:pPr>
            <w:r/>
            <w:r>
              <w:rPr>
                <w:color w:val="1A1D21"/>
                <w:sz w:val="17"/>
              </w:rPr>
              <w:t>30.04</w:t>
            </w:r>
          </w:p>
        </w:tc>
        <w:tc>
          <w:tcPr>
            <w:tcW w:type="dxa" w:w="998"/>
          </w:tcPr>
          <w:p>
            <w:pPr>
              <w:jc w:val="right"/>
            </w:pPr>
            <w:r/>
            <w:r>
              <w:rPr>
                <w:color w:val="1A1D21"/>
                <w:sz w:val="17"/>
              </w:rPr>
              <w:t>22.38</w:t>
            </w:r>
          </w:p>
        </w:tc>
        <w:tc>
          <w:tcPr>
            <w:tcW w:type="dxa" w:w="998"/>
          </w:tcPr>
          <w:p>
            <w:pPr>
              <w:jc w:val="right"/>
            </w:pPr>
            <w:r/>
            <w:r>
              <w:rPr>
                <w:color w:val="1A1D21"/>
                <w:sz w:val="17"/>
              </w:rPr>
              <w:t>17.32</w:t>
            </w:r>
          </w:p>
        </w:tc>
      </w:tr>
      <w:tr>
        <w:trPr>
          <w:cantSplit/>
        </w:trPr>
        <w:tc>
          <w:tcPr>
            <w:tcW w:type="dxa" w:w="1378"/>
          </w:tcPr>
          <w:p>
            <w:r/>
            <w:r>
              <w:rPr>
                <w:color w:val="1A1D21"/>
                <w:sz w:val="17"/>
              </w:rPr>
              <w:t>17.9%</w:t>
            </w:r>
          </w:p>
        </w:tc>
        <w:tc>
          <w:tcPr>
            <w:tcW w:type="dxa" w:w="3934"/>
          </w:tcPr>
          <w:p>
            <w:pPr>
              <w:jc w:val="right"/>
            </w:pPr>
            <w:r/>
            <w:r>
              <w:rPr>
                <w:color w:val="1A1D21"/>
                <w:sz w:val="17"/>
              </w:rPr>
              <w:t>103.84</w:t>
            </w:r>
          </w:p>
        </w:tc>
        <w:tc>
          <w:tcPr>
            <w:tcW w:type="dxa" w:w="998"/>
          </w:tcPr>
          <w:p>
            <w:pPr>
              <w:jc w:val="right"/>
            </w:pPr>
            <w:r/>
            <w:r>
              <w:rPr>
                <w:color w:val="1A1D21"/>
                <w:sz w:val="17"/>
              </w:rPr>
              <w:t>65.41</w:t>
            </w:r>
          </w:p>
        </w:tc>
        <w:tc>
          <w:tcPr>
            <w:tcW w:type="dxa" w:w="998"/>
          </w:tcPr>
          <w:p>
            <w:pPr>
              <w:jc w:val="right"/>
            </w:pPr>
            <w:r/>
            <w:r>
              <w:rPr>
                <w:color w:val="1A1D21"/>
                <w:sz w:val="17"/>
              </w:rPr>
              <w:t>46.39</w:t>
            </w:r>
          </w:p>
        </w:tc>
        <w:tc>
          <w:tcPr>
            <w:tcW w:type="dxa" w:w="998"/>
          </w:tcPr>
          <w:p>
            <w:pPr>
              <w:jc w:val="right"/>
            </w:pPr>
            <w:r/>
            <w:r>
              <w:rPr>
                <w:color w:val="1A1D21"/>
                <w:sz w:val="17"/>
              </w:rPr>
              <w:t>35.08</w:t>
            </w:r>
          </w:p>
        </w:tc>
        <w:tc>
          <w:tcPr>
            <w:tcW w:type="dxa" w:w="998"/>
          </w:tcPr>
          <w:p>
            <w:pPr>
              <w:jc w:val="right"/>
            </w:pPr>
            <w:r/>
            <w:r>
              <w:rPr>
                <w:color w:val="1A1D21"/>
                <w:sz w:val="17"/>
              </w:rPr>
              <w:t>27.62</w:t>
            </w:r>
          </w:p>
        </w:tc>
      </w:tr>
    </w:tbl>
    <w:p>
      <w:pPr>
        <w:spacing w:after="200"/>
      </w:pPr>
      <w:r>
        <w:rPr>
          <w:b w:val="0"/>
          <w:i/>
          <w:color w:val="5B6570"/>
          <w:sz w:val="16"/>
        </w:rPr>
        <w:t>Value per share in Egyptian pounds. The closing price on 3 September 2026 was EGP 14.40.</w:t>
      </w:r>
    </w:p>
    <w:p>
      <w:pPr>
        <w:jc w:val="center"/>
      </w:pPr>
      <w:r>
        <w:drawing>
          <wp:inline xmlns:a="http://schemas.openxmlformats.org/drawingml/2006/main" xmlns:pic="http://schemas.openxmlformats.org/drawingml/2006/picture">
            <wp:extent cx="5832000" cy="3339106"/>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832000" cy="3339106"/>
                    </a:xfrm>
                    <a:prstGeom prst="rect"/>
                  </pic:spPr>
                </pic:pic>
              </a:graphicData>
            </a:graphic>
          </wp:inline>
        </w:drawing>
      </w:r>
    </w:p>
    <w:p>
      <w:pPr>
        <w:spacing w:after="240"/>
        <w:jc w:val="center"/>
      </w:pPr>
      <w:r>
        <w:rPr>
          <w:b w:val="0"/>
          <w:i/>
          <w:color w:val="5B6570"/>
          <w:sz w:val="16"/>
        </w:rPr>
        <w:t>Figure 2 — the same grid. Darker cells are higher values; the two axes are the discount rate and the rate at which contracted sales turn into cash.</w:t>
      </w:r>
    </w:p>
    <w:p>
      <w:pPr>
        <w:spacing w:after="140"/>
      </w:pPr>
      <w:r>
        <w:rPr>
          <w:b w:val="0"/>
          <w:i w:val="0"/>
          <w:color w:val="1A1D21"/>
          <w:sz w:val="20"/>
        </w:rPr>
        <w:t>Solving the model back to the closing price gives a cash-conversion rate of 6.4%. That is the clearest single statement this study can make about the current price: the market is paying for conversion better than 2023 and 2025 delivered, and materially worse than 2024 did.</w:t>
      </w:r>
    </w:p>
    <w:p>
      <w:pPr>
        <w:pStyle w:val="Heading1"/>
      </w:pPr>
      <w:r>
        <w:t>2  Technical and price structure</w:t>
      </w:r>
    </w:p>
    <w:p>
      <w:pPr>
        <w:spacing w:after="140"/>
      </w:pPr>
      <w:r>
        <w:rPr>
          <w:b w:val="0"/>
          <w:i w:val="0"/>
          <w:color w:val="1A1D21"/>
          <w:sz w:val="20"/>
        </w:rPr>
        <w:t>The shares closed at EGP 15.20 on 23 August 2026, above a rising 20-day average at 15.15, a rising 50-day at 15.10 and a rising 200-day at 10.95. The whole moving-average stack is beneath the price and sloping up, which is the least ambiguous configuration a trend read produces.</w:t>
      </w:r>
    </w:p>
    <w:tbl>
      <w:tblPr>
        <w:tblStyle w:val="TableGrid"/>
        <w:tblW w:type="auto" w:w="0"/>
        <w:jc w:val="center"/>
        <w:tblLayout w:type="fixed"/>
        <w:tblLook w:firstColumn="1" w:firstRow="1" w:lastColumn="0" w:lastRow="0" w:noHBand="0" w:noVBand="1" w:val="04A0"/>
        <w:tblLayout w:type="fixed"/>
      </w:tblPr>
      <w:tblGrid>
        <w:gridCol w:w="6112"/>
        <w:gridCol w:w="737"/>
        <w:gridCol w:w="1032"/>
        <w:gridCol w:w="737"/>
      </w:tblGrid>
      <w:tr>
        <w:trPr>
          <w:tblHeader w:val="true"/>
        </w:trPr>
        <w:tc>
          <w:tcPr>
            <w:tcW w:type="dxa" w:w="6111"/>
          </w:tcPr>
          <w:p>
            <w:r/>
            <w:r>
              <w:rPr>
                <w:b/>
                <w:color w:val="5B6570"/>
                <w:sz w:val="17"/>
              </w:rPr>
              <w:t>Resistance</w:t>
            </w:r>
          </w:p>
        </w:tc>
        <w:tc>
          <w:tcPr>
            <w:tcW w:type="dxa" w:w="737"/>
          </w:tcPr>
          <w:p>
            <w:r/>
            <w:r>
              <w:rPr>
                <w:b/>
                <w:color w:val="5B6570"/>
                <w:sz w:val="17"/>
              </w:rPr>
              <w:t>EGP</w:t>
            </w:r>
          </w:p>
        </w:tc>
        <w:tc>
          <w:tcPr>
            <w:tcW w:type="dxa" w:w="1032"/>
          </w:tcPr>
          <w:p>
            <w:r/>
            <w:r>
              <w:rPr>
                <w:b/>
                <w:color w:val="5B6570"/>
                <w:sz w:val="17"/>
              </w:rPr>
              <w:t>Support</w:t>
            </w:r>
          </w:p>
        </w:tc>
        <w:tc>
          <w:tcPr>
            <w:tcW w:type="dxa" w:w="737"/>
          </w:tcPr>
          <w:p>
            <w:r/>
            <w:r>
              <w:rPr>
                <w:b/>
                <w:color w:val="5B6570"/>
                <w:sz w:val="17"/>
              </w:rPr>
              <w:t>EGP</w:t>
            </w:r>
          </w:p>
        </w:tc>
      </w:tr>
      <w:tr>
        <w:trPr>
          <w:cantSplit/>
        </w:trPr>
        <w:tc>
          <w:tcPr>
            <w:tcW w:type="dxa" w:w="6111"/>
          </w:tcPr>
          <w:p>
            <w:r/>
            <w:r>
              <w:rPr>
                <w:color w:val="1A1D21"/>
                <w:sz w:val="17"/>
              </w:rPr>
              <w:t>First</w:t>
            </w:r>
          </w:p>
        </w:tc>
        <w:tc>
          <w:tcPr>
            <w:tcW w:type="dxa" w:w="737"/>
          </w:tcPr>
          <w:p>
            <w:pPr>
              <w:jc w:val="right"/>
            </w:pPr>
            <w:r/>
            <w:r>
              <w:rPr>
                <w:color w:val="1A1D21"/>
                <w:sz w:val="17"/>
              </w:rPr>
              <w:t>15.38</w:t>
            </w:r>
          </w:p>
        </w:tc>
        <w:tc>
          <w:tcPr>
            <w:tcW w:type="dxa" w:w="1032"/>
          </w:tcPr>
          <w:p>
            <w:r/>
            <w:r>
              <w:rPr>
                <w:color w:val="1A1D21"/>
                <w:sz w:val="17"/>
              </w:rPr>
              <w:t>First</w:t>
            </w:r>
          </w:p>
        </w:tc>
        <w:tc>
          <w:tcPr>
            <w:tcW w:type="dxa" w:w="737"/>
          </w:tcPr>
          <w:p>
            <w:pPr>
              <w:jc w:val="right"/>
            </w:pPr>
            <w:r/>
            <w:r>
              <w:rPr>
                <w:color w:val="1A1D21"/>
                <w:sz w:val="17"/>
              </w:rPr>
              <w:t>14.99</w:t>
            </w:r>
          </w:p>
        </w:tc>
      </w:tr>
      <w:tr>
        <w:trPr>
          <w:cantSplit/>
        </w:trPr>
        <w:tc>
          <w:tcPr>
            <w:tcW w:type="dxa" w:w="6111"/>
          </w:tcPr>
          <w:p>
            <w:r/>
            <w:r>
              <w:rPr>
                <w:color w:val="1A1D21"/>
                <w:sz w:val="17"/>
              </w:rPr>
              <w:t>Second</w:t>
            </w:r>
          </w:p>
        </w:tc>
        <w:tc>
          <w:tcPr>
            <w:tcW w:type="dxa" w:w="737"/>
          </w:tcPr>
          <w:p>
            <w:pPr>
              <w:jc w:val="right"/>
            </w:pPr>
            <w:r/>
            <w:r>
              <w:rPr>
                <w:color w:val="1A1D21"/>
                <w:sz w:val="17"/>
              </w:rPr>
              <w:t>15.73</w:t>
            </w:r>
          </w:p>
        </w:tc>
        <w:tc>
          <w:tcPr>
            <w:tcW w:type="dxa" w:w="1032"/>
          </w:tcPr>
          <w:p>
            <w:r/>
            <w:r>
              <w:rPr>
                <w:color w:val="1A1D21"/>
                <w:sz w:val="17"/>
              </w:rPr>
              <w:t>Second</w:t>
            </w:r>
          </w:p>
        </w:tc>
        <w:tc>
          <w:tcPr>
            <w:tcW w:type="dxa" w:w="737"/>
          </w:tcPr>
          <w:p>
            <w:pPr>
              <w:jc w:val="right"/>
            </w:pPr>
            <w:r/>
            <w:r>
              <w:rPr>
                <w:color w:val="1A1D21"/>
                <w:sz w:val="17"/>
              </w:rPr>
              <w:t>14.40</w:t>
            </w:r>
          </w:p>
        </w:tc>
      </w:tr>
      <w:tr>
        <w:trPr>
          <w:cantSplit/>
        </w:trPr>
        <w:tc>
          <w:tcPr>
            <w:tcW w:type="dxa" w:w="6111"/>
          </w:tcPr>
          <w:p>
            <w:r/>
            <w:r>
              <w:rPr>
                <w:color w:val="1A1D21"/>
                <w:sz w:val="17"/>
              </w:rPr>
              <w:t>Third</w:t>
            </w:r>
          </w:p>
        </w:tc>
        <w:tc>
          <w:tcPr>
            <w:tcW w:type="dxa" w:w="737"/>
          </w:tcPr>
          <w:p>
            <w:pPr>
              <w:jc w:val="right"/>
            </w:pPr>
            <w:r/>
            <w:r>
              <w:rPr>
                <w:color w:val="1A1D21"/>
                <w:sz w:val="17"/>
              </w:rPr>
              <w:t>16.08</w:t>
            </w:r>
          </w:p>
        </w:tc>
        <w:tc>
          <w:tcPr>
            <w:tcW w:type="dxa" w:w="1032"/>
          </w:tcPr>
          <w:p>
            <w:r/>
            <w:r>
              <w:rPr>
                <w:color w:val="1A1D21"/>
                <w:sz w:val="17"/>
              </w:rPr>
              <w:t>Third</w:t>
            </w:r>
          </w:p>
        </w:tc>
        <w:tc>
          <w:tcPr>
            <w:tcW w:type="dxa" w:w="737"/>
          </w:tcPr>
          <w:p>
            <w:pPr>
              <w:jc w:val="right"/>
            </w:pPr>
            <w:r/>
            <w:r>
              <w:rPr>
                <w:color w:val="1A1D21"/>
                <w:sz w:val="17"/>
              </w:rPr>
              <w:t>13.01</w:t>
            </w:r>
          </w:p>
        </w:tc>
      </w:tr>
    </w:tbl>
    <w:p>
      <w:pPr>
        <w:spacing w:after="200"/>
      </w:pPr>
      <w:r>
        <w:rPr>
          <w:b w:val="0"/>
          <w:i/>
          <w:color w:val="5B6570"/>
          <w:sz w:val="16"/>
        </w:rPr>
        <w:t>Levels are computed from the same cleaned price history the distribution in section 3 is built on; first resistance and first support are always the nearest to the close.</w:t>
      </w:r>
    </w:p>
    <w:p>
      <w:pPr>
        <w:spacing w:after="140"/>
      </w:pPr>
      <w:r>
        <w:rPr>
          <w:b w:val="0"/>
          <w:i w:val="0"/>
          <w:color w:val="1A1D21"/>
          <w:sz w:val="20"/>
        </w:rPr>
        <w:t>The levels sit close together — first resistance is 1.2 per cent above the close and first support 1.4 per cent below — so the near-term structure is tight and offers little information on its own. The 200-day average at 10.95 is far below the price, which is a consequence of how much the shares have risen, not a signal.</w:t>
      </w:r>
    </w:p>
    <w:p>
      <w:pPr>
        <w:pStyle w:val="Heading1"/>
      </w:pPr>
      <w:r>
        <w:t>3  A probabilistic price map</w:t>
      </w:r>
    </w:p>
    <w:p>
      <w:pPr>
        <w:spacing w:after="140"/>
      </w:pPr>
      <w:r>
        <w:rPr>
          <w:b w:val="0"/>
          <w:i w:val="0"/>
          <w:color w:val="1A1D21"/>
          <w:sz w:val="20"/>
        </w:rPr>
        <w:t>This section is not a forecast and does not connect to the valuation above. It is a statement of how widely the price has historically moved over one and three months, expressed as a distribution.</w:t>
      </w:r>
    </w:p>
    <w:tbl>
      <w:tblPr>
        <w:tblStyle w:val="TableGrid"/>
        <w:tblW w:type="auto" w:w="0"/>
        <w:jc w:val="center"/>
        <w:tblLayout w:type="fixed"/>
        <w:tblLook w:firstColumn="1" w:firstRow="1" w:lastColumn="0" w:lastRow="0" w:noHBand="0" w:noVBand="1" w:val="04A0"/>
        <w:tblLayout w:type="fixed"/>
      </w:tblPr>
      <w:tblGrid>
        <w:gridCol w:w="1378"/>
        <w:gridCol w:w="6549"/>
        <w:gridCol w:w="919"/>
      </w:tblGrid>
      <w:tr>
        <w:trPr>
          <w:tblHeader w:val="true"/>
        </w:trPr>
        <w:tc>
          <w:tcPr>
            <w:tcW w:type="dxa" w:w="1378"/>
          </w:tcPr>
          <w:p>
            <w:r/>
            <w:r>
              <w:rPr>
                <w:b/>
                <w:color w:val="5B6570"/>
                <w:sz w:val="17"/>
              </w:rPr>
              <w:t>Percentile</w:t>
            </w:r>
          </w:p>
        </w:tc>
        <w:tc>
          <w:tcPr>
            <w:tcW w:type="dxa" w:w="6548"/>
          </w:tcPr>
          <w:p>
            <w:r/>
            <w:r>
              <w:rPr>
                <w:b/>
                <w:color w:val="5B6570"/>
                <w:sz w:val="17"/>
              </w:rPr>
              <w:t>One month (EGP)</w:t>
            </w:r>
          </w:p>
        </w:tc>
        <w:tc>
          <w:tcPr>
            <w:tcW w:type="dxa" w:w="918"/>
          </w:tcPr>
          <w:p>
            <w:r/>
            <w:r>
              <w:rPr>
                <w:b/>
                <w:color w:val="5B6570"/>
                <w:sz w:val="17"/>
              </w:rPr>
              <w:t>Three months (EGP)</w:t>
            </w:r>
          </w:p>
        </w:tc>
      </w:tr>
      <w:tr>
        <w:trPr>
          <w:cantSplit/>
        </w:trPr>
        <w:tc>
          <w:tcPr>
            <w:tcW w:type="dxa" w:w="1378"/>
          </w:tcPr>
          <w:p>
            <w:r/>
            <w:r>
              <w:rPr>
                <w:color w:val="1A1D21"/>
                <w:sz w:val="17"/>
              </w:rPr>
              <w:t>5th</w:t>
            </w:r>
          </w:p>
        </w:tc>
        <w:tc>
          <w:tcPr>
            <w:tcW w:type="dxa" w:w="6548"/>
          </w:tcPr>
          <w:p>
            <w:pPr>
              <w:jc w:val="right"/>
            </w:pPr>
            <w:r/>
            <w:r>
              <w:rPr>
                <w:color w:val="1A1D21"/>
                <w:sz w:val="17"/>
              </w:rPr>
              <w:t>13.08</w:t>
            </w:r>
          </w:p>
        </w:tc>
        <w:tc>
          <w:tcPr>
            <w:tcW w:type="dxa" w:w="918"/>
          </w:tcPr>
          <w:p>
            <w:pPr>
              <w:jc w:val="right"/>
            </w:pPr>
            <w:r/>
            <w:r>
              <w:rPr>
                <w:color w:val="1A1D21"/>
                <w:sz w:val="17"/>
              </w:rPr>
              <w:t>11.98</w:t>
            </w:r>
          </w:p>
        </w:tc>
      </w:tr>
      <w:tr>
        <w:trPr>
          <w:cantSplit/>
        </w:trPr>
        <w:tc>
          <w:tcPr>
            <w:tcW w:type="dxa" w:w="1378"/>
          </w:tcPr>
          <w:p>
            <w:r/>
            <w:r>
              <w:rPr>
                <w:color w:val="1A1D21"/>
                <w:sz w:val="17"/>
              </w:rPr>
              <w:t>25th</w:t>
            </w:r>
          </w:p>
        </w:tc>
        <w:tc>
          <w:tcPr>
            <w:tcW w:type="dxa" w:w="6548"/>
          </w:tcPr>
          <w:p>
            <w:pPr>
              <w:jc w:val="right"/>
            </w:pPr>
            <w:r/>
            <w:r>
              <w:rPr>
                <w:color w:val="1A1D21"/>
                <w:sz w:val="17"/>
              </w:rPr>
              <w:t>14.67</w:t>
            </w:r>
          </w:p>
        </w:tc>
        <w:tc>
          <w:tcPr>
            <w:tcW w:type="dxa" w:w="918"/>
          </w:tcPr>
          <w:p>
            <w:pPr>
              <w:jc w:val="right"/>
            </w:pPr>
            <w:r/>
            <w:r>
              <w:rPr>
                <w:color w:val="1A1D21"/>
                <w:sz w:val="17"/>
              </w:rPr>
              <w:t>14.61</w:t>
            </w:r>
          </w:p>
        </w:tc>
      </w:tr>
      <w:tr>
        <w:trPr>
          <w:cantSplit/>
        </w:trPr>
        <w:tc>
          <w:tcPr>
            <w:tcW w:type="dxa" w:w="1378"/>
          </w:tcPr>
          <w:p>
            <w:r/>
            <w:r>
              <w:rPr>
                <w:color w:val="1A1D21"/>
                <w:sz w:val="17"/>
              </w:rPr>
              <w:t>50th</w:t>
            </w:r>
          </w:p>
        </w:tc>
        <w:tc>
          <w:tcPr>
            <w:tcW w:type="dxa" w:w="6548"/>
          </w:tcPr>
          <w:p>
            <w:pPr>
              <w:jc w:val="right"/>
            </w:pPr>
            <w:r/>
            <w:r>
              <w:rPr>
                <w:color w:val="1A1D21"/>
                <w:sz w:val="17"/>
              </w:rPr>
              <w:t>15.64</w:t>
            </w:r>
          </w:p>
        </w:tc>
        <w:tc>
          <w:tcPr>
            <w:tcW w:type="dxa" w:w="918"/>
          </w:tcPr>
          <w:p>
            <w:pPr>
              <w:jc w:val="right"/>
            </w:pPr>
            <w:r/>
            <w:r>
              <w:rPr>
                <w:color w:val="1A1D21"/>
                <w:sz w:val="17"/>
              </w:rPr>
              <w:t>16.34</w:t>
            </w:r>
          </w:p>
        </w:tc>
      </w:tr>
      <w:tr>
        <w:trPr>
          <w:cantSplit/>
        </w:trPr>
        <w:tc>
          <w:tcPr>
            <w:tcW w:type="dxa" w:w="1378"/>
          </w:tcPr>
          <w:p>
            <w:r/>
            <w:r>
              <w:rPr>
                <w:color w:val="1A1D21"/>
                <w:sz w:val="17"/>
              </w:rPr>
              <w:t>75th</w:t>
            </w:r>
          </w:p>
        </w:tc>
        <w:tc>
          <w:tcPr>
            <w:tcW w:type="dxa" w:w="6548"/>
          </w:tcPr>
          <w:p>
            <w:pPr>
              <w:jc w:val="right"/>
            </w:pPr>
            <w:r/>
            <w:r>
              <w:rPr>
                <w:color w:val="1A1D21"/>
                <w:sz w:val="17"/>
              </w:rPr>
              <w:t>16.68</w:t>
            </w:r>
          </w:p>
        </w:tc>
        <w:tc>
          <w:tcPr>
            <w:tcW w:type="dxa" w:w="918"/>
          </w:tcPr>
          <w:p>
            <w:pPr>
              <w:jc w:val="right"/>
            </w:pPr>
            <w:r/>
            <w:r>
              <w:rPr>
                <w:color w:val="1A1D21"/>
                <w:sz w:val="17"/>
              </w:rPr>
              <w:t>18.27</w:t>
            </w:r>
          </w:p>
        </w:tc>
      </w:tr>
      <w:tr>
        <w:trPr>
          <w:cantSplit/>
        </w:trPr>
        <w:tc>
          <w:tcPr>
            <w:tcW w:type="dxa" w:w="1378"/>
          </w:tcPr>
          <w:p>
            <w:r/>
            <w:r>
              <w:rPr>
                <w:color w:val="1A1D21"/>
                <w:sz w:val="17"/>
              </w:rPr>
              <w:t>95th</w:t>
            </w:r>
          </w:p>
        </w:tc>
        <w:tc>
          <w:tcPr>
            <w:tcW w:type="dxa" w:w="6548"/>
          </w:tcPr>
          <w:p>
            <w:pPr>
              <w:jc w:val="right"/>
            </w:pPr>
            <w:r/>
            <w:r>
              <w:rPr>
                <w:color w:val="1A1D21"/>
                <w:sz w:val="17"/>
              </w:rPr>
              <w:t>18.71</w:t>
            </w:r>
          </w:p>
        </w:tc>
        <w:tc>
          <w:tcPr>
            <w:tcW w:type="dxa" w:w="918"/>
          </w:tcPr>
          <w:p>
            <w:pPr>
              <w:jc w:val="right"/>
            </w:pPr>
            <w:r/>
            <w:r>
              <w:rPr>
                <w:color w:val="1A1D21"/>
                <w:sz w:val="17"/>
              </w:rPr>
              <w:t>22.26</w:t>
            </w:r>
          </w:p>
        </w:tc>
      </w:tr>
    </w:tbl>
    <w:p>
      <w:pPr>
        <w:spacing w:after="200"/>
      </w:pPr>
      <w:r>
        <w:rPr>
          <w:b w:val="0"/>
          <w:i/>
          <w:color w:val="5B6570"/>
          <w:sz w:val="16"/>
        </w:rPr>
        <w:t>Resolving 2026-09-23 and 2026-11-23 respectively.</w:t>
      </w:r>
    </w:p>
    <w:p>
      <w:pPr>
        <w:jc w:val="center"/>
      </w:pPr>
      <w:r>
        <w:drawing>
          <wp:inline xmlns:a="http://schemas.openxmlformats.org/drawingml/2006/main" xmlns:pic="http://schemas.openxmlformats.org/drawingml/2006/picture">
            <wp:extent cx="5832000" cy="3110713"/>
            <wp:docPr id="3" name="Picture 3"/>
            <wp:cNvGraphicFramePr>
              <a:graphicFrameLocks noChangeAspect="1"/>
            </wp:cNvGraphicFramePr>
            <a:graphic>
              <a:graphicData uri="http://schemas.openxmlformats.org/drawingml/2006/picture">
                <pic:pic>
                  <pic:nvPicPr>
                    <pic:cNvPr id="0" name="fig3_cone.png"/>
                    <pic:cNvPicPr/>
                  </pic:nvPicPr>
                  <pic:blipFill>
                    <a:blip r:embed="rId11"/>
                    <a:stretch>
                      <a:fillRect/>
                    </a:stretch>
                  </pic:blipFill>
                  <pic:spPr>
                    <a:xfrm>
                      <a:off x="0" y="0"/>
                      <a:ext cx="5832000" cy="3110713"/>
                    </a:xfrm>
                    <a:prstGeom prst="rect"/>
                  </pic:spPr>
                </pic:pic>
              </a:graphicData>
            </a:graphic>
          </wp:inline>
        </w:drawing>
      </w:r>
    </w:p>
    <w:p>
      <w:pPr>
        <w:spacing w:after="240"/>
        <w:jc w:val="center"/>
      </w:pPr>
      <w:r>
        <w:rPr>
          <w:b w:val="0"/>
          <w:i/>
          <w:color w:val="5B6570"/>
          <w:sz w:val="16"/>
        </w:rPr>
        <w:t>Figure 3 — the same distribution drawn as a cone. The shaded bands are the middle half and the 5th-to-95th range.</w:t>
      </w:r>
    </w:p>
    <w:p>
      <w:pPr>
        <w:spacing w:after="140"/>
      </w:pPr>
      <w:r>
        <w:rPr>
          <w:b w:val="0"/>
          <w:i w:val="0"/>
          <w:color w:val="1A1D21"/>
          <w:sz w:val="20"/>
        </w:rPr>
        <w:t>Over 57 resolved three-month forecasts on this company, the price finished inside the 90 per cent band 91.2% of the time, and inside the middle band 50.9% of the time. That is a long record by the standards of this series. The bands are about 1.47 times as wide as a simple random-walk band over the same horizon, which is what Egyptian devaluation risk costs in width.</w:t>
      </w:r>
    </w:p>
    <w:tbl>
      <w:tblPr>
        <w:tblStyle w:val="TableGrid"/>
        <w:tblW w:type="auto" w:w="0"/>
        <w:jc w:val="center"/>
        <w:tblLayout w:type="fixed"/>
        <w:tblLook w:firstColumn="1" w:firstRow="1" w:lastColumn="0" w:lastRow="0" w:noHBand="0" w:noVBand="1" w:val="04A0"/>
        <w:tblLayout w:type="fixed"/>
      </w:tblPr>
      <w:tblGrid>
        <w:gridCol w:w="6776"/>
        <w:gridCol w:w="1151"/>
        <w:gridCol w:w="919"/>
      </w:tblGrid>
      <w:tr>
        <w:trPr>
          <w:tblHeader w:val="true"/>
        </w:trPr>
        <w:tc>
          <w:tcPr>
            <w:tcW w:type="dxa" w:w="6775"/>
          </w:tcPr>
          <w:p>
            <w:r/>
            <w:r>
              <w:rPr>
                <w:b/>
                <w:color w:val="5B6570"/>
                <w:sz w:val="17"/>
              </w:rPr>
              <w:t>Level (EGP)</w:t>
            </w:r>
          </w:p>
        </w:tc>
        <w:tc>
          <w:tcPr>
            <w:tcW w:type="dxa" w:w="1151"/>
          </w:tcPr>
          <w:p>
            <w:r/>
            <w:r>
              <w:rPr>
                <w:b/>
                <w:color w:val="5B6570"/>
                <w:sz w:val="17"/>
              </w:rPr>
              <w:t>Chance of touching within one month</w:t>
            </w:r>
          </w:p>
        </w:tc>
        <w:tc>
          <w:tcPr>
            <w:tcW w:type="dxa" w:w="918"/>
          </w:tcPr>
          <w:p>
            <w:r/>
            <w:r>
              <w:rPr>
                <w:b/>
                <w:color w:val="5B6570"/>
                <w:sz w:val="17"/>
              </w:rPr>
              <w:t>Within three months</w:t>
            </w:r>
          </w:p>
        </w:tc>
      </w:tr>
      <w:tr>
        <w:trPr>
          <w:cantSplit/>
        </w:trPr>
        <w:tc>
          <w:tcPr>
            <w:tcW w:type="dxa" w:w="6775"/>
          </w:tcPr>
          <w:p>
            <w:r/>
            <w:r>
              <w:rPr>
                <w:color w:val="1A1D21"/>
                <w:sz w:val="17"/>
              </w:rPr>
              <w:t>20.00</w:t>
            </w:r>
          </w:p>
        </w:tc>
        <w:tc>
          <w:tcPr>
            <w:tcW w:type="dxa" w:w="1151"/>
          </w:tcPr>
          <w:p>
            <w:pPr>
              <w:jc w:val="right"/>
            </w:pPr>
            <w:r/>
            <w:r>
              <w:rPr>
                <w:color w:val="1A1D21"/>
                <w:sz w:val="17"/>
              </w:rPr>
              <w:t>3%</w:t>
            </w:r>
          </w:p>
        </w:tc>
        <w:tc>
          <w:tcPr>
            <w:tcW w:type="dxa" w:w="918"/>
          </w:tcPr>
          <w:p>
            <w:pPr>
              <w:jc w:val="right"/>
            </w:pPr>
            <w:r/>
            <w:r>
              <w:rPr>
                <w:color w:val="1A1D21"/>
                <w:sz w:val="17"/>
              </w:rPr>
              <w:t>19%</w:t>
            </w:r>
          </w:p>
        </w:tc>
      </w:tr>
      <w:tr>
        <w:trPr>
          <w:cantSplit/>
        </w:trPr>
        <w:tc>
          <w:tcPr>
            <w:tcW w:type="dxa" w:w="6775"/>
          </w:tcPr>
          <w:p>
            <w:r/>
            <w:r>
              <w:rPr>
                <w:color w:val="1A1D21"/>
                <w:sz w:val="17"/>
              </w:rPr>
              <w:t>18.50</w:t>
            </w:r>
          </w:p>
        </w:tc>
        <w:tc>
          <w:tcPr>
            <w:tcW w:type="dxa" w:w="1151"/>
          </w:tcPr>
          <w:p>
            <w:pPr>
              <w:jc w:val="right"/>
            </w:pPr>
            <w:r/>
            <w:r>
              <w:rPr>
                <w:color w:val="1A1D21"/>
                <w:sz w:val="17"/>
              </w:rPr>
              <w:t>9%</w:t>
            </w:r>
          </w:p>
        </w:tc>
        <w:tc>
          <w:tcPr>
            <w:tcW w:type="dxa" w:w="918"/>
          </w:tcPr>
          <w:p>
            <w:pPr>
              <w:jc w:val="right"/>
            </w:pPr>
            <w:r/>
            <w:r>
              <w:rPr>
                <w:color w:val="1A1D21"/>
                <w:sz w:val="17"/>
              </w:rPr>
              <w:t>35%</w:t>
            </w:r>
          </w:p>
        </w:tc>
      </w:tr>
      <w:tr>
        <w:trPr>
          <w:cantSplit/>
        </w:trPr>
        <w:tc>
          <w:tcPr>
            <w:tcW w:type="dxa" w:w="6775"/>
          </w:tcPr>
          <w:p>
            <w:r/>
            <w:r>
              <w:rPr>
                <w:color w:val="1A1D21"/>
                <w:sz w:val="17"/>
              </w:rPr>
              <w:t>17.50</w:t>
            </w:r>
          </w:p>
        </w:tc>
        <w:tc>
          <w:tcPr>
            <w:tcW w:type="dxa" w:w="1151"/>
          </w:tcPr>
          <w:p>
            <w:pPr>
              <w:jc w:val="right"/>
            </w:pPr>
            <w:r/>
            <w:r>
              <w:rPr>
                <w:color w:val="1A1D21"/>
                <w:sz w:val="17"/>
              </w:rPr>
              <w:t>20%</w:t>
            </w:r>
          </w:p>
        </w:tc>
        <w:tc>
          <w:tcPr>
            <w:tcW w:type="dxa" w:w="918"/>
          </w:tcPr>
          <w:p>
            <w:pPr>
              <w:jc w:val="right"/>
            </w:pPr>
            <w:r/>
            <w:r>
              <w:rPr>
                <w:color w:val="1A1D21"/>
                <w:sz w:val="17"/>
              </w:rPr>
              <w:t>51%</w:t>
            </w:r>
          </w:p>
        </w:tc>
      </w:tr>
      <w:tr>
        <w:trPr>
          <w:cantSplit/>
        </w:trPr>
        <w:tc>
          <w:tcPr>
            <w:tcW w:type="dxa" w:w="6775"/>
          </w:tcPr>
          <w:p>
            <w:r/>
            <w:r>
              <w:rPr>
                <w:color w:val="1A1D21"/>
                <w:sz w:val="17"/>
              </w:rPr>
              <w:t>16.50</w:t>
            </w:r>
          </w:p>
        </w:tc>
        <w:tc>
          <w:tcPr>
            <w:tcW w:type="dxa" w:w="1151"/>
          </w:tcPr>
          <w:p>
            <w:pPr>
              <w:jc w:val="right"/>
            </w:pPr>
            <w:r/>
            <w:r>
              <w:rPr>
                <w:color w:val="1A1D21"/>
                <w:sz w:val="17"/>
              </w:rPr>
              <w:t>43%</w:t>
            </w:r>
          </w:p>
        </w:tc>
        <w:tc>
          <w:tcPr>
            <w:tcW w:type="dxa" w:w="918"/>
          </w:tcPr>
          <w:p>
            <w:pPr>
              <w:jc w:val="right"/>
            </w:pPr>
            <w:r/>
            <w:r>
              <w:rPr>
                <w:color w:val="1A1D21"/>
                <w:sz w:val="17"/>
              </w:rPr>
              <w:t>71%</w:t>
            </w:r>
          </w:p>
        </w:tc>
      </w:tr>
      <w:tr>
        <w:trPr>
          <w:cantSplit/>
        </w:trPr>
        <w:tc>
          <w:tcPr>
            <w:tcW w:type="dxa" w:w="6775"/>
          </w:tcPr>
          <w:p>
            <w:r/>
            <w:r>
              <w:rPr>
                <w:color w:val="1A1D21"/>
                <w:sz w:val="17"/>
              </w:rPr>
              <w:t>15.55</w:t>
            </w:r>
          </w:p>
        </w:tc>
        <w:tc>
          <w:tcPr>
            <w:tcW w:type="dxa" w:w="1151"/>
          </w:tcPr>
          <w:p>
            <w:pPr>
              <w:jc w:val="right"/>
            </w:pPr>
            <w:r/>
            <w:r>
              <w:rPr>
                <w:color w:val="1A1D21"/>
                <w:sz w:val="17"/>
              </w:rPr>
              <w:t>80%</w:t>
            </w:r>
          </w:p>
        </w:tc>
        <w:tc>
          <w:tcPr>
            <w:tcW w:type="dxa" w:w="918"/>
          </w:tcPr>
          <w:p>
            <w:pPr>
              <w:jc w:val="right"/>
            </w:pPr>
            <w:r/>
            <w:r>
              <w:rPr>
                <w:color w:val="1A1D21"/>
                <w:sz w:val="17"/>
              </w:rPr>
              <w:t>90%</w:t>
            </w:r>
          </w:p>
        </w:tc>
      </w:tr>
    </w:tbl>
    <w:p>
      <w:pPr>
        <w:spacing w:after="200"/>
      </w:pPr>
      <w:r>
        <w:rPr>
          <w:b w:val="0"/>
          <w:i/>
          <w:color w:val="5B6570"/>
          <w:sz w:val="16"/>
        </w:rPr>
        <w:t>The chance that the price trades at or through each level at any point in the window, not the chance it ends there.</w:t>
      </w:r>
    </w:p>
    <w:p>
      <w:pPr>
        <w:spacing w:after="140"/>
      </w:pPr>
      <w:r>
        <w:rPr>
          <w:b w:val="0"/>
          <w:i/>
          <w:color w:val="5B6570"/>
          <w:sz w:val="17"/>
        </w:rPr>
        <w:t>Price data to 2026-08-23, computed 2026-08-24; the trend read uses data to 2026-08-23, computed 2026-08-25.</w:t>
      </w:r>
    </w:p>
    <w:p>
      <w:pPr>
        <w:pStyle w:val="Heading1"/>
      </w:pPr>
      <w:r>
        <w:t>4  Comparison of the lenses</w:t>
      </w:r>
    </w:p>
    <w:p>
      <w:pPr>
        <w:spacing w:after="140"/>
      </w:pPr>
      <w:r>
        <w:rPr>
          <w:b w:val="0"/>
          <w:i w:val="0"/>
          <w:color w:val="1A1D21"/>
          <w:sz w:val="20"/>
        </w:rPr>
        <w:t>The three readings are deliberately independent — none is an input to another — so where they agree, the agreement carries information.</w:t>
      </w:r>
    </w:p>
    <w:tbl>
      <w:tblPr>
        <w:tblStyle w:val="TableGrid"/>
        <w:tblW w:type="auto" w:w="0"/>
        <w:jc w:val="center"/>
        <w:tblLayout w:type="fixed"/>
        <w:tblLook w:firstColumn="1" w:firstRow="1" w:lastColumn="0" w:lastRow="0" w:noHBand="0" w:noVBand="1" w:val="04A0"/>
        <w:tblLayout w:type="fixed"/>
      </w:tblPr>
      <w:tblGrid>
        <w:gridCol w:w="1452"/>
        <w:gridCol w:w="1304"/>
        <w:gridCol w:w="6203"/>
      </w:tblGrid>
      <w:tr>
        <w:trPr>
          <w:tblHeader w:val="true"/>
        </w:trPr>
        <w:tc>
          <w:tcPr>
            <w:tcW w:type="dxa" w:w="1451"/>
          </w:tcPr>
          <w:p>
            <w:r/>
            <w:r>
              <w:rPr>
                <w:b/>
                <w:color w:val="5B6570"/>
                <w:sz w:val="17"/>
              </w:rPr>
              <w:t>Lens</w:t>
            </w:r>
          </w:p>
        </w:tc>
        <w:tc>
          <w:tcPr>
            <w:tcW w:type="dxa" w:w="1304"/>
          </w:tcPr>
          <w:p>
            <w:r/>
            <w:r>
              <w:rPr>
                <w:b/>
                <w:color w:val="5B6570"/>
                <w:sz w:val="17"/>
              </w:rPr>
              <w:t>What it says</w:t>
            </w:r>
          </w:p>
        </w:tc>
        <w:tc>
          <w:tcPr>
            <w:tcW w:type="dxa" w:w="6202"/>
          </w:tcPr>
          <w:p>
            <w:r/>
            <w:r>
              <w:rPr>
                <w:b/>
                <w:color w:val="5B6570"/>
                <w:sz w:val="17"/>
              </w:rPr>
              <w:t>Relative to the EGP 14.40 close</w:t>
            </w:r>
          </w:p>
        </w:tc>
      </w:tr>
      <w:tr>
        <w:trPr>
          <w:cantSplit/>
        </w:trPr>
        <w:tc>
          <w:tcPr>
            <w:tcW w:type="dxa" w:w="1451"/>
          </w:tcPr>
          <w:p>
            <w:r/>
            <w:r>
              <w:rPr>
                <w:color w:val="1A1D21"/>
                <w:sz w:val="17"/>
              </w:rPr>
              <w:t>Fundamental value</w:t>
            </w:r>
          </w:p>
        </w:tc>
        <w:tc>
          <w:tcPr>
            <w:tcW w:type="dxa" w:w="1304"/>
          </w:tcPr>
          <w:p>
            <w:r/>
            <w:r>
              <w:rPr>
                <w:color w:val="1A1D21"/>
                <w:sz w:val="17"/>
              </w:rPr>
              <w:t>EGP 7.58 to EGP 46.39 depending on cash conversion</w:t>
            </w:r>
          </w:p>
        </w:tc>
        <w:tc>
          <w:tcPr>
            <w:tcW w:type="dxa" w:w="6202"/>
          </w:tcPr>
          <w:p>
            <w:r/>
            <w:r>
              <w:rPr>
                <w:color w:val="1A1D21"/>
                <w:sz w:val="17"/>
              </w:rPr>
              <w:t>the close sits inside the range, near its lower half</w:t>
            </w:r>
          </w:p>
        </w:tc>
      </w:tr>
      <w:tr>
        <w:trPr>
          <w:cantSplit/>
        </w:trPr>
        <w:tc>
          <w:tcPr>
            <w:tcW w:type="dxa" w:w="1451"/>
          </w:tcPr>
          <w:p>
            <w:r/>
            <w:r>
              <w:rPr>
                <w:color w:val="1A1D21"/>
                <w:sz w:val="17"/>
              </w:rPr>
              <w:t>Price distribution</w:t>
            </w:r>
          </w:p>
        </w:tc>
        <w:tc>
          <w:tcPr>
            <w:tcW w:type="dxa" w:w="1304"/>
          </w:tcPr>
          <w:p>
            <w:r/>
            <w:r>
              <w:rPr>
                <w:color w:val="1A1D21"/>
                <w:sz w:val="17"/>
              </w:rPr>
              <w:t>three-month middle band EGP 14.61 to 18.27</w:t>
            </w:r>
          </w:p>
        </w:tc>
        <w:tc>
          <w:tcPr>
            <w:tcW w:type="dxa" w:w="6202"/>
          </w:tcPr>
          <w:p>
            <w:r/>
            <w:r>
              <w:rPr>
                <w:color w:val="1A1D21"/>
                <w:sz w:val="17"/>
              </w:rPr>
              <w:t>the distribution is centred slightly above the close</w:t>
            </w:r>
          </w:p>
        </w:tc>
      </w:tr>
      <w:tr>
        <w:trPr>
          <w:cantSplit/>
        </w:trPr>
        <w:tc>
          <w:tcPr>
            <w:tcW w:type="dxa" w:w="1451"/>
          </w:tcPr>
          <w:p>
            <w:r/>
            <w:r>
              <w:rPr>
                <w:color w:val="1A1D21"/>
                <w:sz w:val="17"/>
              </w:rPr>
              <w:t>Trend structure</w:t>
            </w:r>
          </w:p>
        </w:tc>
        <w:tc>
          <w:tcPr>
            <w:tcW w:type="dxa" w:w="1304"/>
          </w:tcPr>
          <w:p>
            <w:r/>
            <w:r>
              <w:rPr>
                <w:color w:val="1A1D21"/>
                <w:sz w:val="17"/>
              </w:rPr>
              <w:t>above a rising 20-, 50- and 200-day average</w:t>
            </w:r>
          </w:p>
        </w:tc>
        <w:tc>
          <w:tcPr>
            <w:tcW w:type="dxa" w:w="6202"/>
          </w:tcPr>
          <w:p>
            <w:r/>
            <w:r>
              <w:rPr>
                <w:color w:val="1A1D21"/>
                <w:sz w:val="17"/>
              </w:rPr>
              <w:t>constructive, with resistance only 6.8 per cent away</w:t>
            </w:r>
          </w:p>
        </w:tc>
      </w:tr>
    </w:tbl>
    <w:p>
      <w:pPr>
        <w:spacing w:after="80"/>
      </w:pPr>
      <w:r>
        <w:rPr>
          <w:b w:val="0"/>
          <w:i w:val="0"/>
          <w:color w:val="1A1D21"/>
          <w:sz w:val="8"/>
        </w:rPr>
      </w:r>
    </w:p>
    <w:p>
      <w:pPr>
        <w:spacing w:after="140"/>
      </w:pPr>
      <w:r>
        <w:rPr>
          <w:b w:val="0"/>
          <w:i w:val="0"/>
          <w:color w:val="1A1D21"/>
          <w:sz w:val="20"/>
        </w:rPr>
        <w:t>They point the same way without being made to. The fundamental range brackets the price, the distribution is mildly positive and the trend is intact. None of that resolves the crux in section 1.7.</w:t>
      </w:r>
    </w:p>
    <w:p>
      <w:pPr>
        <w:pStyle w:val="Heading1"/>
      </w:pPr>
      <w:r>
        <w:t>5  Catalysts to watch</w:t>
      </w:r>
    </w:p>
    <w:p>
      <w:pPr>
        <w:pStyle w:val="ListBullet"/>
        <w:spacing w:after="60"/>
      </w:pPr>
      <w:r>
        <w:rPr>
          <w:color w:val="1A1D21"/>
          <w:sz w:val="20"/>
        </w:rPr>
        <w:t>The half-year 2026 results. PHD's reviewed statements to 30 June 2026 are REPORTED to have been filed with the Exchange on 18 August 2026, and this study has not obtained them: the company's own result centre carried nothing newer than the first quarter when it was read on 17 September 2026, and the Exchange's own site could not be reached. Section 7 records the search. Obtaining the filing would move the bridge, the book value and the borrowings onto a newer sheet and would settle the cash-conversion rate for a fourth period.</w:t>
      </w:r>
    </w:p>
    <w:p>
      <w:pPr>
        <w:pStyle w:val="ListBullet"/>
        <w:spacing w:after="60"/>
      </w:pPr>
      <w:r>
        <w:rPr>
          <w:color w:val="1A1D21"/>
          <w:sz w:val="20"/>
        </w:rPr>
        <w:t>The full-year 2025 results release. The audited statements were published but the accompanying release, which is where units sold, new sales, deliveries and construction spending are disclosed, was not.</w:t>
      </w:r>
    </w:p>
    <w:p>
      <w:pPr>
        <w:pStyle w:val="ListBullet"/>
        <w:spacing w:after="60"/>
      </w:pPr>
      <w:r>
        <w:rPr>
          <w:color w:val="1A1D21"/>
          <w:sz w:val="20"/>
        </w:rPr>
        <w:t>Any disclosure of collection terms — down payment, instalment tenor, post-handover tail. This is the single disclosure that would most narrow the range in this study.</w:t>
      </w:r>
    </w:p>
    <w:p>
      <w:pPr>
        <w:pStyle w:val="ListBullet"/>
        <w:spacing w:after="60"/>
      </w:pPr>
      <w:r>
        <w:rPr>
          <w:color w:val="1A1D21"/>
          <w:sz w:val="20"/>
        </w:rPr>
        <w:t>Progress on the EGP 30 billion securitisation programme. Selling receivables converts the instalment book to cash and is the direct lever on the crux; pricing on any tranche would also fix the cost of debt.</w:t>
      </w:r>
    </w:p>
    <w:p>
      <w:pPr>
        <w:pStyle w:val="ListBullet"/>
        <w:spacing w:after="60"/>
      </w:pPr>
      <w:r>
        <w:rPr>
          <w:color w:val="1A1D21"/>
          <w:sz w:val="20"/>
        </w:rPr>
        <w:t>The Village de La Capitale launch, which contributed EGP 24 billion of the EGP 52 billion of first-quarter 2026 sales. Whether that rate of launch sales repeats materially changes the order book path.</w:t>
      </w:r>
    </w:p>
    <w:p>
      <w:pPr>
        <w:pStyle w:val="ListBullet"/>
        <w:spacing w:after="60"/>
      </w:pPr>
      <w:r>
        <w:rPr>
          <w:color w:val="1A1D21"/>
          <w:sz w:val="20"/>
        </w:rPr>
        <w:t>Egyptian interest rates. The cost of capital here is built on a 23.00% sovereign yield; a sustained fall would raise every figure in section 1.9.</w:t>
      </w:r>
    </w:p>
    <w:p>
      <w:pPr>
        <w:pStyle w:val="Heading1"/>
      </w:pPr>
      <w:r>
        <w:t>6  Reading the probability zones</w:t>
      </w:r>
    </w:p>
    <w:p>
      <w:pPr>
        <w:spacing w:after="140"/>
      </w:pPr>
      <w:r>
        <w:rPr>
          <w:b w:val="0"/>
          <w:i w:val="0"/>
          <w:color w:val="1A1D21"/>
          <w:sz w:val="20"/>
        </w:rPr>
        <w:t>The bands in section 3 describe where the price has tended to go, not where it should go. They are wide because Egyptian equities are genuinely volatile: the middle half of the three-month distribution spans EGP 14.61 to EGP 18.27, a range of about 25 per cent of the current price. A reader who wants a narrower band is asking for a less honest one.</w:t>
      </w:r>
    </w:p>
    <w:p>
      <w:pPr>
        <w:spacing w:after="140"/>
      </w:pPr>
      <w:r>
        <w:rPr>
          <w:b w:val="0"/>
          <w:i w:val="0"/>
          <w:color w:val="1A1D21"/>
          <w:sz w:val="20"/>
        </w:rPr>
        <w:t>The touch ladder answers a different question from the percentile map. A level with a 51 per cent chance of being touched inside three months is not a level with a 51 per cent chance of holding — prices pass through levels far more often than they settle at them.</w:t>
      </w:r>
    </w:p>
    <w:p>
      <w:pPr>
        <w:pStyle w:val="Heading1"/>
      </w:pPr>
      <w:r>
        <w:t>7  Caveats and what would change our mind</w:t>
      </w:r>
    </w:p>
    <w:p>
      <w:pPr>
        <w:spacing w:after="140"/>
      </w:pPr>
      <w:r>
        <w:rPr>
          <w:b/>
          <w:i w:val="0"/>
          <w:color w:val="1A1D21"/>
          <w:sz w:val="20"/>
        </w:rPr>
        <w:t>Six things are not disclosed by the company and are therefore not in this study. Each is named with what would close it.</w:t>
      </w:r>
    </w:p>
    <w:tbl>
      <w:tblPr>
        <w:tblStyle w:val="TableGrid"/>
        <w:tblW w:type="auto" w:w="0"/>
        <w:jc w:val="center"/>
        <w:tblLayout w:type="fixed"/>
        <w:tblLook w:firstColumn="1" w:firstRow="1" w:lastColumn="0" w:lastRow="0" w:noHBand="0" w:noVBand="1" w:val="04A0"/>
        <w:tblLayout w:type="fixed"/>
      </w:tblPr>
      <w:tblGrid>
        <w:gridCol w:w="1202"/>
        <w:gridCol w:w="6248"/>
        <w:gridCol w:w="1508"/>
      </w:tblGrid>
      <w:tr>
        <w:trPr>
          <w:tblHeader w:val="true"/>
        </w:trPr>
        <w:tc>
          <w:tcPr>
            <w:tcW w:type="dxa" w:w="1202"/>
          </w:tcPr>
          <w:p>
            <w:r/>
            <w:r>
              <w:rPr>
                <w:b/>
                <w:color w:val="5B6570"/>
                <w:sz w:val="17"/>
              </w:rPr>
              <w:t>What is missing</w:t>
            </w:r>
          </w:p>
        </w:tc>
        <w:tc>
          <w:tcPr>
            <w:tcW w:type="dxa" w:w="6248"/>
          </w:tcPr>
          <w:p>
            <w:r/>
            <w:r>
              <w:rPr>
                <w:b/>
                <w:color w:val="5B6570"/>
                <w:sz w:val="17"/>
              </w:rPr>
              <w:t>Why it matters</w:t>
            </w:r>
          </w:p>
        </w:tc>
        <w:tc>
          <w:tcPr>
            <w:tcW w:type="dxa" w:w="1508"/>
          </w:tcPr>
          <w:p>
            <w:r/>
            <w:r>
              <w:rPr>
                <w:b/>
                <w:color w:val="5B6570"/>
                <w:sz w:val="17"/>
              </w:rPr>
              <w:t>What would close it</w:t>
            </w:r>
          </w:p>
        </w:tc>
      </w:tr>
      <w:tr>
        <w:trPr>
          <w:cantSplit/>
        </w:trPr>
        <w:tc>
          <w:tcPr>
            <w:tcW w:type="dxa" w:w="1202"/>
          </w:tcPr>
          <w:p>
            <w:r/>
            <w:r>
              <w:rPr>
                <w:color w:val="1A1D21"/>
                <w:sz w:val="17"/>
              </w:rPr>
              <w:t>Cost to complete the order book</w:t>
            </w:r>
          </w:p>
        </w:tc>
        <w:tc>
          <w:tcPr>
            <w:tcW w:type="dxa" w:w="6248"/>
          </w:tcPr>
          <w:p>
            <w:r/>
            <w:r>
              <w:rPr>
                <w:color w:val="1A1D21"/>
                <w:sz w:val="17"/>
              </w:rPr>
              <w:t>Remaining construction cost against the EGP 263bn backlog is not disclosed as a single figure. It is inferred in the model from the realised gross margin and flagged where used.</w:t>
            </w:r>
          </w:p>
        </w:tc>
        <w:tc>
          <w:tcPr>
            <w:tcW w:type="dxa" w:w="1508"/>
          </w:tcPr>
          <w:p>
            <w:r/>
            <w:r>
              <w:rPr>
                <w:color w:val="1A1D21"/>
                <w:sz w:val="17"/>
              </w:rPr>
              <w:t>Not stated.</w:t>
            </w:r>
          </w:p>
        </w:tc>
      </w:tr>
      <w:tr>
        <w:trPr>
          <w:cantSplit/>
        </w:trPr>
        <w:tc>
          <w:tcPr>
            <w:tcW w:type="dxa" w:w="1202"/>
          </w:tcPr>
          <w:p>
            <w:r/>
            <w:r>
              <w:rPr>
                <w:color w:val="1A1D21"/>
                <w:sz w:val="17"/>
              </w:rPr>
              <w:t>FY2025 cash-flow statement, line by line</w:t>
            </w:r>
          </w:p>
        </w:tc>
        <w:tc>
          <w:tcPr>
            <w:tcW w:type="dxa" w:w="6248"/>
          </w:tcPr>
          <w:p>
            <w:r/>
            <w:r>
              <w:rPr>
                <w:color w:val="1A1D21"/>
                <w:sz w:val="17"/>
              </w:rPr>
              <w:t>PHD's earnings releases publish the cash-flow statement in three totals only — re-verified 17-09-2026 on the 1Q2026 and 4Q2024 releases — and FY2025 has no release at all, so the three FY2025 totals this study holds (operating EGP 1,424.2mn, investing EGP -4,031.7mn, financing EGP 5,628.8mn) come from the audited statements. THE AUDITED STATEMENTS ARE A SCAN WITH NO TEXT LAYER and this study extracted the balance sheet and income statement from it, never a cash-flow page; an external audit reports that a full indirect-method statement of roughly 45 lines is printed there, including two operating movements that would cover EGP 14,112.5mn of the wedge below. That is a lead this study has not verified, so the wedge is not split — because the line detail has not been READ, not because it is unpublished. Working capital on the two audited balance sheets rose EGP 20,084.7mn in 2025 while net profit plus depreciation less operating cash implies a rise of EGP 3,146.2mn — a wedge of EGP 16,938.5mn, 46.8% of revenue, which CANNOT be decomposed from what is disclosed and is therefore not decomposed. It is why the projection is published in two framings rather than one.</w:t>
            </w:r>
          </w:p>
        </w:tc>
        <w:tc>
          <w:tcPr>
            <w:tcW w:type="dxa" w:w="1508"/>
          </w:tcPr>
          <w:p>
            <w:r/>
            <w:r>
              <w:rPr>
                <w:color w:val="1A1D21"/>
                <w:sz w:val="17"/>
              </w:rPr>
              <w:t>The full fy2025 cash-flow statement.</w:t>
            </w:r>
          </w:p>
        </w:tc>
      </w:tr>
      <w:tr>
        <w:trPr>
          <w:cantSplit/>
        </w:trPr>
        <w:tc>
          <w:tcPr>
            <w:tcW w:type="dxa" w:w="1202"/>
          </w:tcPr>
          <w:p>
            <w:r/>
            <w:r>
              <w:rPr>
                <w:color w:val="1A1D21"/>
                <w:sz w:val="17"/>
              </w:rPr>
              <w:t>Full-year 2025 operating figures</w:t>
            </w:r>
          </w:p>
        </w:tc>
        <w:tc>
          <w:tcPr>
            <w:tcW w:type="dxa" w:w="6248"/>
          </w:tcPr>
          <w:p>
            <w:r/>
            <w:r>
              <w:rPr>
                <w:color w:val="1A1D21"/>
                <w:sz w:val="17"/>
              </w:rPr>
              <w:t>PHD has published FY2025 consolidated statements but NO FY2025 full-year results release. The release is where units sold, new sales, deliveries and construction spend are disclosed, so FY2025 has audited financials and NO operating drivers.</w:t>
            </w:r>
          </w:p>
        </w:tc>
        <w:tc>
          <w:tcPr>
            <w:tcW w:type="dxa" w:w="1508"/>
          </w:tcPr>
          <w:p>
            <w:r/>
            <w:r>
              <w:rPr>
                <w:color w:val="1A1D21"/>
                <w:sz w:val="17"/>
              </w:rPr>
              <w:t>The fy2025 release, or the company confirming the figures directly.</w:t>
            </w:r>
          </w:p>
        </w:tc>
      </w:tr>
      <w:tr>
        <w:trPr>
          <w:cantSplit/>
        </w:trPr>
        <w:tc>
          <w:tcPr>
            <w:tcW w:type="dxa" w:w="1202"/>
          </w:tcPr>
          <w:p>
            <w:r/>
            <w:r>
              <w:rPr>
                <w:color w:val="1A1D21"/>
                <w:sz w:val="17"/>
              </w:rPr>
              <w:t>Half-year 2026</w:t>
            </w:r>
          </w:p>
        </w:tc>
        <w:tc>
          <w:tcPr>
            <w:tcW w:type="dxa" w:w="6248"/>
          </w:tcPr>
          <w:p>
            <w:r/>
            <w:r>
              <w:rPr>
                <w:color w:val="1A1D21"/>
                <w:sz w:val="17"/>
              </w:rPr>
              <w:t>PHD's reviewed consolidated statements to 30 June 2026 are REPORTED to have been filed with the Egyptian Exchange on 18 August 2026, and an external audit of this study quotes figures from that attachment. This study has NOT obtained the filing. Searched 17-09-2026: the company's own result centre was fetched live and its newest documents of any kind are the 1Q2026 statements and the 1Q2026 release — of 86 PDFs on the page, none is a 2Q or H1-2026 document; egx.com.eg returned an empty reply and Mubasher HTTP 403. A report of a disclosure is a lead and never a source, so nothing from it is used and the information set ends at 1Q2026.</w:t>
            </w:r>
          </w:p>
        </w:tc>
        <w:tc>
          <w:tcPr>
            <w:tcW w:type="dxa" w:w="1508"/>
          </w:tcPr>
          <w:p>
            <w:r/>
            <w:r>
              <w:rPr>
                <w:color w:val="1A1D21"/>
                <w:sz w:val="17"/>
              </w:rPr>
              <w:t>The h1-2026 filing itself.</w:t>
            </w:r>
          </w:p>
        </w:tc>
      </w:tr>
      <w:tr>
        <w:trPr>
          <w:cantSplit/>
        </w:trPr>
        <w:tc>
          <w:tcPr>
            <w:tcW w:type="dxa" w:w="1202"/>
          </w:tcPr>
          <w:p>
            <w:r/>
            <w:r>
              <w:rPr>
                <w:color w:val="1A1D21"/>
                <w:sz w:val="17"/>
              </w:rPr>
              <w:t>Project unit economics</w:t>
            </w:r>
          </w:p>
        </w:tc>
        <w:tc>
          <w:tcPr>
            <w:tcW w:type="dxa" w:w="6248"/>
          </w:tcPr>
          <w:p>
            <w:r/>
            <w:r>
              <w:rPr>
                <w:color w:val="1A1D21"/>
                <w:sz w:val="17"/>
              </w:rPr>
              <w:t>The company does not disclose per-project unit mix, average unit area, price per square metre or construction cost per square metre. The 11-Jun-2026 edition carried a full per-project table of those figures; they are NOT sourced to any company document. This study does not reuse them.</w:t>
            </w:r>
          </w:p>
        </w:tc>
        <w:tc>
          <w:tcPr>
            <w:tcW w:type="dxa" w:w="1508"/>
          </w:tcPr>
          <w:p>
            <w:r/>
            <w:r>
              <w:rPr>
                <w:color w:val="1A1D21"/>
                <w:sz w:val="17"/>
              </w:rPr>
              <w:t>An investor presentation or project-level disclosure carrying unit economics.</w:t>
            </w:r>
          </w:p>
        </w:tc>
      </w:tr>
      <w:tr>
        <w:trPr>
          <w:cantSplit/>
        </w:trPr>
        <w:tc>
          <w:tcPr>
            <w:tcW w:type="dxa" w:w="1202"/>
          </w:tcPr>
          <w:p>
            <w:r/>
            <w:r>
              <w:rPr>
                <w:color w:val="1A1D21"/>
                <w:sz w:val="17"/>
              </w:rPr>
              <w:t>Cost of debt</w:t>
            </w:r>
          </w:p>
        </w:tc>
        <w:tc>
          <w:tcPr>
            <w:tcW w:type="dxa" w:w="6248"/>
          </w:tcPr>
          <w:p>
            <w:r/>
            <w:r>
              <w:rPr>
                <w:color w:val="1A1D21"/>
                <w:sz w:val="17"/>
              </w:rPr>
              <w:t>The EGP 2.015bn securitisation of 4-Feb-2026 discloses tranche sizes, tenors and national-scale ratings but NO coupon on any tranche, so the company's own marginal cost of debt cannot be read.</w:t>
            </w:r>
          </w:p>
        </w:tc>
        <w:tc>
          <w:tcPr>
            <w:tcW w:type="dxa" w:w="1508"/>
          </w:tcPr>
          <w:p>
            <w:r/>
            <w:r>
              <w:rPr>
                <w:color w:val="1A1D21"/>
                <w:sz w:val="17"/>
              </w:rPr>
              <w:t>The offering circular or a disclosed coupon.</w:t>
            </w:r>
          </w:p>
        </w:tc>
      </w:tr>
    </w:tbl>
    <w:p>
      <w:pPr>
        <w:spacing w:after="80"/>
      </w:pPr>
      <w:r>
        <w:rPr>
          <w:b w:val="0"/>
          <w:i w:val="0"/>
          <w:color w:val="1A1D21"/>
          <w:sz w:val="8"/>
        </w:rPr>
      </w:r>
    </w:p>
    <w:p>
      <w:pPr>
        <w:spacing w:after="140"/>
      </w:pPr>
      <w:r>
        <w:rPr>
          <w:b/>
          <w:i w:val="0"/>
          <w:color w:val="1A1D21"/>
          <w:sz w:val="20"/>
        </w:rPr>
        <w:t>What would change our mind, in order of force:</w:t>
      </w:r>
    </w:p>
    <w:p>
      <w:pPr>
        <w:pStyle w:val="ListBullet"/>
        <w:spacing w:after="60"/>
      </w:pPr>
      <w:r>
        <w:rPr>
          <w:color w:val="1A1D21"/>
          <w:sz w:val="20"/>
        </w:rPr>
        <w:t>Two more years of cash conversion clustering. Three observations spanning 3.9% to 17.9% cannot distinguish a volatile business from a mismeasured one; five could.</w:t>
      </w:r>
    </w:p>
    <w:p>
      <w:pPr>
        <w:pStyle w:val="ListBullet"/>
        <w:spacing w:after="60"/>
      </w:pPr>
      <w:r>
        <w:rPr>
          <w:color w:val="1A1D21"/>
          <w:sz w:val="20"/>
        </w:rPr>
        <w:t>Disclosure of collection terms, which would replace the measured range with a built schedule and narrow the answer directly.</w:t>
      </w:r>
    </w:p>
    <w:p>
      <w:pPr>
        <w:pStyle w:val="ListBullet"/>
        <w:spacing w:after="60"/>
      </w:pPr>
      <w:r>
        <w:rPr>
          <w:color w:val="1A1D21"/>
          <w:sz w:val="20"/>
        </w:rPr>
        <w:t>A sustained fall in Egyptian interest rates, which lifts every cell in the sensitivity table.</w:t>
      </w:r>
    </w:p>
    <w:p>
      <w:pPr>
        <w:pStyle w:val="ListBullet"/>
        <w:spacing w:after="60"/>
      </w:pPr>
      <w:r>
        <w:rPr>
          <w:color w:val="1A1D21"/>
          <w:sz w:val="20"/>
        </w:rPr>
        <w:t>Evidence that the order book converts at the rate the company's delivery history implies rather than more slowly. The order book is now more than seven times revenue, against 5.4 times in 2024 and 3.4 times in 2023; that ratio has risen every year and cannot rise indefinitely.</w:t>
      </w:r>
    </w:p>
    <w:p>
      <w:pPr>
        <w:spacing w:after="140"/>
      </w:pPr>
      <w:r>
        <w:rPr>
          <w:b w:val="0"/>
          <w:i w:val="0"/>
          <w:color w:val="1A1D21"/>
          <w:sz w:val="20"/>
        </w:rPr>
        <w:t>A note on this study's own track record. Tested across ten annual starting points on this company's history from 2011 to 2025, this method forecast revenue tolerably but overstated net profit by about three times, consistently and in 97 per cent of tested cases, and did worse than simply assuming no change. The cause was the mismatched recognition clock corrected in section 1.1. That is why this edition publishes ranges rather than a central figure, and why the reader should treat the upper end of section 1.9 with more suspicion than the lower.</w:t>
      </w:r>
    </w:p>
    <w:p>
      <w:r>
        <w:br w:type="page"/>
      </w:r>
    </w:p>
    <w:p>
      <w:pPr>
        <w:pStyle w:val="Heading1"/>
      </w:pPr>
      <w:r>
        <w:t>Appendix A  Financial statements</w:t>
      </w:r>
    </w:p>
    <w:p>
      <w:pPr>
        <w:pStyle w:val="Heading2"/>
      </w:pPr>
      <w:r>
        <w:t>A.1  Income statement</w:t>
      </w:r>
    </w:p>
    <w:tbl>
      <w:tblPr>
        <w:tblStyle w:val="TableGrid"/>
        <w:tblW w:type="auto" w:w="0"/>
        <w:jc w:val="center"/>
        <w:tblLayout w:type="fixed"/>
        <w:tblLook w:firstColumn="1" w:firstRow="1" w:lastColumn="0" w:lastRow="0" w:noHBand="0" w:noVBand="1" w:val="04A0"/>
        <w:tblLayout w:type="fixed"/>
      </w:tblPr>
      <w:tblGrid>
        <w:gridCol w:w="5897"/>
        <w:gridCol w:w="1077"/>
        <w:gridCol w:w="1077"/>
        <w:gridCol w:w="1077"/>
      </w:tblGrid>
      <w:tr>
        <w:trPr>
          <w:tblHeader w:val="true"/>
        </w:trPr>
        <w:tc>
          <w:tcPr>
            <w:tcW w:type="dxa" w:w="5896"/>
          </w:tcPr>
          <w:p>
            <w:r/>
            <w:r>
              <w:rPr>
                <w:b/>
                <w:color w:val="5B6570"/>
                <w:sz w:val="17"/>
              </w:rPr>
              <w:t>EGP million, as reported</w:t>
            </w:r>
          </w:p>
        </w:tc>
        <w:tc>
          <w:tcPr>
            <w:tcW w:type="dxa" w:w="1077"/>
          </w:tcPr>
          <w:p>
            <w:r/>
            <w:r>
              <w:rPr>
                <w:b/>
                <w:color w:val="5B6570"/>
                <w:sz w:val="17"/>
              </w:rPr>
              <w:t>2023</w:t>
            </w:r>
          </w:p>
        </w:tc>
        <w:tc>
          <w:tcPr>
            <w:tcW w:type="dxa" w:w="1077"/>
          </w:tcPr>
          <w:p>
            <w:r/>
            <w:r>
              <w:rPr>
                <w:b/>
                <w:color w:val="5B6570"/>
                <w:sz w:val="17"/>
              </w:rPr>
              <w:t>2024</w:t>
            </w:r>
          </w:p>
        </w:tc>
        <w:tc>
          <w:tcPr>
            <w:tcW w:type="dxa" w:w="1077"/>
          </w:tcPr>
          <w:p>
            <w:r/>
            <w:r>
              <w:rPr>
                <w:b/>
                <w:color w:val="5B6570"/>
                <w:sz w:val="17"/>
              </w:rPr>
              <w:t>2025</w:t>
            </w:r>
          </w:p>
        </w:tc>
      </w:tr>
      <w:tr>
        <w:trPr>
          <w:cantSplit/>
        </w:trPr>
        <w:tc>
          <w:tcPr>
            <w:tcW w:type="dxa" w:w="5896"/>
          </w:tcPr>
          <w:p>
            <w:r/>
            <w:r>
              <w:rPr>
                <w:color w:val="1A1D21"/>
                <w:sz w:val="17"/>
              </w:rPr>
              <w:t>Revenue</w:t>
            </w:r>
          </w:p>
        </w:tc>
        <w:tc>
          <w:tcPr>
            <w:tcW w:type="dxa" w:w="1077"/>
          </w:tcPr>
          <w:p>
            <w:pPr>
              <w:jc w:val="right"/>
            </w:pPr>
            <w:r/>
            <w:r>
              <w:rPr>
                <w:color w:val="1A1D21"/>
                <w:sz w:val="17"/>
              </w:rPr>
              <w:t>17,462.1</w:t>
            </w:r>
          </w:p>
        </w:tc>
        <w:tc>
          <w:tcPr>
            <w:tcW w:type="dxa" w:w="1077"/>
          </w:tcPr>
          <w:p>
            <w:pPr>
              <w:jc w:val="right"/>
            </w:pPr>
            <w:r/>
            <w:r>
              <w:rPr>
                <w:color w:val="1A1D21"/>
                <w:sz w:val="17"/>
              </w:rPr>
              <w:t>27,167.3</w:t>
            </w:r>
          </w:p>
        </w:tc>
        <w:tc>
          <w:tcPr>
            <w:tcW w:type="dxa" w:w="1077"/>
          </w:tcPr>
          <w:p>
            <w:pPr>
              <w:jc w:val="right"/>
            </w:pPr>
            <w:r/>
            <w:r>
              <w:rPr>
                <w:color w:val="1A1D21"/>
                <w:sz w:val="17"/>
              </w:rPr>
              <w:t>36,169.3</w:t>
            </w:r>
          </w:p>
        </w:tc>
      </w:tr>
      <w:tr>
        <w:trPr>
          <w:cantSplit/>
        </w:trPr>
        <w:tc>
          <w:tcPr>
            <w:tcW w:type="dxa" w:w="5896"/>
          </w:tcPr>
          <w:p>
            <w:r/>
            <w:r>
              <w:rPr>
                <w:color w:val="1A1D21"/>
                <w:sz w:val="17"/>
              </w:rPr>
              <w:t>Cost of revenue</w:t>
            </w:r>
          </w:p>
        </w:tc>
        <w:tc>
          <w:tcPr>
            <w:tcW w:type="dxa" w:w="1077"/>
          </w:tcPr>
          <w:p>
            <w:pPr>
              <w:jc w:val="right"/>
            </w:pPr>
            <w:r/>
            <w:r>
              <w:rPr>
                <w:color w:val="1A1D21"/>
                <w:sz w:val="17"/>
              </w:rPr>
              <w:t>-11,907.2</w:t>
            </w:r>
          </w:p>
        </w:tc>
        <w:tc>
          <w:tcPr>
            <w:tcW w:type="dxa" w:w="1077"/>
          </w:tcPr>
          <w:p>
            <w:pPr>
              <w:jc w:val="right"/>
            </w:pPr>
            <w:r/>
            <w:r>
              <w:rPr>
                <w:color w:val="1A1D21"/>
                <w:sz w:val="17"/>
              </w:rPr>
              <w:t>-17,739.9</w:t>
            </w:r>
          </w:p>
        </w:tc>
        <w:tc>
          <w:tcPr>
            <w:tcW w:type="dxa" w:w="1077"/>
          </w:tcPr>
          <w:p>
            <w:pPr>
              <w:jc w:val="right"/>
            </w:pPr>
            <w:r/>
            <w:r>
              <w:rPr>
                <w:color w:val="1A1D21"/>
                <w:sz w:val="17"/>
              </w:rPr>
              <w:t>-21,118.9</w:t>
            </w:r>
          </w:p>
        </w:tc>
      </w:tr>
      <w:tr>
        <w:trPr>
          <w:cantSplit/>
        </w:trPr>
        <w:tc>
          <w:tcPr>
            <w:tcW w:type="dxa" w:w="5896"/>
          </w:tcPr>
          <w:p>
            <w:r/>
            <w:r>
              <w:rPr>
                <w:color w:val="1A1D21"/>
                <w:sz w:val="17"/>
              </w:rPr>
              <w:t>Cash discount</w:t>
            </w:r>
          </w:p>
        </w:tc>
        <w:tc>
          <w:tcPr>
            <w:tcW w:type="dxa" w:w="1077"/>
          </w:tcPr>
          <w:p>
            <w:pPr>
              <w:jc w:val="right"/>
            </w:pPr>
            <w:r/>
            <w:r>
              <w:rPr>
                <w:color w:val="1A1D21"/>
                <w:sz w:val="17"/>
              </w:rPr>
              <w:t>-47.2</w:t>
            </w:r>
          </w:p>
        </w:tc>
        <w:tc>
          <w:tcPr>
            <w:tcW w:type="dxa" w:w="1077"/>
          </w:tcPr>
          <w:p>
            <w:pPr>
              <w:jc w:val="right"/>
            </w:pPr>
            <w:r/>
            <w:r>
              <w:rPr>
                <w:color w:val="1A1D21"/>
                <w:sz w:val="17"/>
              </w:rPr>
              <w:t>-97.3</w:t>
            </w:r>
          </w:p>
        </w:tc>
        <w:tc>
          <w:tcPr>
            <w:tcW w:type="dxa" w:w="1077"/>
          </w:tcPr>
          <w:p>
            <w:pPr>
              <w:jc w:val="right"/>
            </w:pPr>
            <w:r/>
            <w:r>
              <w:rPr>
                <w:color w:val="1A1D21"/>
                <w:sz w:val="17"/>
              </w:rPr>
              <w:t>-162.8</w:t>
            </w:r>
          </w:p>
        </w:tc>
      </w:tr>
      <w:tr>
        <w:trPr>
          <w:cantSplit/>
        </w:trPr>
        <w:tc>
          <w:tcPr>
            <w:tcW w:type="dxa" w:w="5896"/>
          </w:tcPr>
          <w:p>
            <w:r/>
            <w:r>
              <w:rPr>
                <w:color w:val="1A1D21"/>
                <w:sz w:val="17"/>
              </w:rPr>
              <w:t>Gross profit</w:t>
            </w:r>
          </w:p>
        </w:tc>
        <w:tc>
          <w:tcPr>
            <w:tcW w:type="dxa" w:w="1077"/>
          </w:tcPr>
          <w:p>
            <w:pPr>
              <w:jc w:val="right"/>
            </w:pPr>
            <w:r/>
            <w:r>
              <w:rPr>
                <w:color w:val="1A1D21"/>
                <w:sz w:val="17"/>
              </w:rPr>
              <w:t>5,507.6</w:t>
            </w:r>
          </w:p>
        </w:tc>
        <w:tc>
          <w:tcPr>
            <w:tcW w:type="dxa" w:w="1077"/>
          </w:tcPr>
          <w:p>
            <w:pPr>
              <w:jc w:val="right"/>
            </w:pPr>
            <w:r/>
            <w:r>
              <w:rPr>
                <w:color w:val="1A1D21"/>
                <w:sz w:val="17"/>
              </w:rPr>
              <w:t>9,330.1</w:t>
            </w:r>
          </w:p>
        </w:tc>
        <w:tc>
          <w:tcPr>
            <w:tcW w:type="dxa" w:w="1077"/>
          </w:tcPr>
          <w:p>
            <w:pPr>
              <w:jc w:val="right"/>
            </w:pPr>
            <w:r/>
            <w:r>
              <w:rPr>
                <w:color w:val="1A1D21"/>
                <w:sz w:val="17"/>
              </w:rPr>
              <w:t>14,887.6</w:t>
            </w:r>
          </w:p>
        </w:tc>
      </w:tr>
      <w:tr>
        <w:trPr>
          <w:cantSplit/>
        </w:trPr>
        <w:tc>
          <w:tcPr>
            <w:tcW w:type="dxa" w:w="5896"/>
          </w:tcPr>
          <w:p>
            <w:r/>
            <w:r>
              <w:rPr>
                <w:color w:val="1A1D21"/>
                <w:sz w:val="17"/>
              </w:rPr>
              <w:t>Overheads</w:t>
            </w:r>
          </w:p>
        </w:tc>
        <w:tc>
          <w:tcPr>
            <w:tcW w:type="dxa" w:w="1077"/>
          </w:tcPr>
          <w:p>
            <w:pPr>
              <w:jc w:val="right"/>
            </w:pPr>
            <w:r/>
            <w:r>
              <w:rPr>
                <w:color w:val="1A1D21"/>
                <w:sz w:val="17"/>
              </w:rPr>
              <w:t>-2,060.5</w:t>
            </w:r>
          </w:p>
        </w:tc>
        <w:tc>
          <w:tcPr>
            <w:tcW w:type="dxa" w:w="1077"/>
          </w:tcPr>
          <w:p>
            <w:pPr>
              <w:jc w:val="right"/>
            </w:pPr>
            <w:r/>
            <w:r>
              <w:rPr>
                <w:color w:val="1A1D21"/>
                <w:sz w:val="17"/>
              </w:rPr>
              <w:t>-3,435.8</w:t>
            </w:r>
          </w:p>
        </w:tc>
        <w:tc>
          <w:tcPr>
            <w:tcW w:type="dxa" w:w="1077"/>
          </w:tcPr>
          <w:p>
            <w:pPr>
              <w:jc w:val="right"/>
            </w:pPr>
            <w:r/>
            <w:r>
              <w:rPr>
                <w:color w:val="1A1D21"/>
                <w:sz w:val="17"/>
              </w:rPr>
              <w:t>-6,365.6</w:t>
            </w:r>
          </w:p>
        </w:tc>
      </w:tr>
      <w:tr>
        <w:trPr>
          <w:cantSplit/>
        </w:trPr>
        <w:tc>
          <w:tcPr>
            <w:tcW w:type="dxa" w:w="5896"/>
          </w:tcPr>
          <w:p>
            <w:r/>
            <w:r>
              <w:rPr>
                <w:color w:val="1A1D21"/>
                <w:sz w:val="17"/>
              </w:rPr>
              <w:t>Depreciation and amortisation</w:t>
            </w:r>
          </w:p>
        </w:tc>
        <w:tc>
          <w:tcPr>
            <w:tcW w:type="dxa" w:w="1077"/>
          </w:tcPr>
          <w:p>
            <w:pPr>
              <w:jc w:val="right"/>
            </w:pPr>
            <w:r/>
            <w:r>
              <w:rPr>
                <w:color w:val="1A1D21"/>
                <w:sz w:val="17"/>
              </w:rPr>
              <w:t>-178.6</w:t>
            </w:r>
          </w:p>
        </w:tc>
        <w:tc>
          <w:tcPr>
            <w:tcW w:type="dxa" w:w="1077"/>
          </w:tcPr>
          <w:p>
            <w:pPr>
              <w:jc w:val="right"/>
            </w:pPr>
            <w:r/>
            <w:r>
              <w:rPr>
                <w:color w:val="1A1D21"/>
                <w:sz w:val="17"/>
              </w:rPr>
              <w:t>-239.9</w:t>
            </w:r>
          </w:p>
        </w:tc>
        <w:tc>
          <w:tcPr>
            <w:tcW w:type="dxa" w:w="1077"/>
          </w:tcPr>
          <w:p>
            <w:pPr>
              <w:jc w:val="right"/>
            </w:pPr>
            <w:r/>
            <w:r>
              <w:rPr>
                <w:color w:val="1A1D21"/>
                <w:sz w:val="17"/>
              </w:rPr>
              <w:t>-353.7</w:t>
            </w:r>
          </w:p>
        </w:tc>
      </w:tr>
      <w:tr>
        <w:trPr>
          <w:cantSplit/>
        </w:trPr>
        <w:tc>
          <w:tcPr>
            <w:tcW w:type="dxa" w:w="5896"/>
          </w:tcPr>
          <w:p>
            <w:r/>
            <w:r>
              <w:rPr>
                <w:color w:val="1A1D21"/>
                <w:sz w:val="17"/>
              </w:rPr>
              <w:t>Finance cost</w:t>
            </w:r>
          </w:p>
        </w:tc>
        <w:tc>
          <w:tcPr>
            <w:tcW w:type="dxa" w:w="1077"/>
          </w:tcPr>
          <w:p>
            <w:r/>
            <w:r>
              <w:rPr>
                <w:color w:val="1A1D21"/>
                <w:sz w:val="17"/>
              </w:rPr>
            </w:r>
          </w:p>
        </w:tc>
        <w:tc>
          <w:tcPr>
            <w:tcW w:type="dxa" w:w="1077"/>
          </w:tcPr>
          <w:p>
            <w:pPr>
              <w:jc w:val="right"/>
            </w:pPr>
            <w:r/>
            <w:r>
              <w:rPr>
                <w:color w:val="1A1D21"/>
                <w:sz w:val="17"/>
              </w:rPr>
              <w:t>-2,311.4</w:t>
            </w:r>
          </w:p>
        </w:tc>
        <w:tc>
          <w:tcPr>
            <w:tcW w:type="dxa" w:w="1077"/>
          </w:tcPr>
          <w:p>
            <w:pPr>
              <w:jc w:val="right"/>
            </w:pPr>
            <w:r/>
            <w:r>
              <w:rPr>
                <w:color w:val="1A1D21"/>
                <w:sz w:val="17"/>
              </w:rPr>
              <w:t>-3,347.5</w:t>
            </w:r>
          </w:p>
        </w:tc>
      </w:tr>
      <w:tr>
        <w:trPr>
          <w:cantSplit/>
        </w:trPr>
        <w:tc>
          <w:tcPr>
            <w:tcW w:type="dxa" w:w="5896"/>
          </w:tcPr>
          <w:p>
            <w:r/>
            <w:r>
              <w:rPr>
                <w:color w:val="1A1D21"/>
                <w:sz w:val="17"/>
              </w:rPr>
              <w:t>Other income and items the record does not hold separately (residual)</w:t>
            </w:r>
          </w:p>
        </w:tc>
        <w:tc>
          <w:tcPr>
            <w:tcW w:type="dxa" w:w="1077"/>
          </w:tcPr>
          <w:p>
            <w:pPr>
              <w:jc w:val="right"/>
            </w:pPr>
            <w:r/>
            <w:r>
              <w:rPr>
                <w:color w:val="1A1D21"/>
                <w:sz w:val="17"/>
              </w:rPr>
              <w:t>-967.8</w:t>
            </w:r>
          </w:p>
        </w:tc>
        <w:tc>
          <w:tcPr>
            <w:tcW w:type="dxa" w:w="1077"/>
          </w:tcPr>
          <w:p>
            <w:pPr>
              <w:jc w:val="right"/>
            </w:pPr>
            <w:r/>
            <w:r>
              <w:rPr>
                <w:color w:val="1A1D21"/>
                <w:sz w:val="17"/>
              </w:rPr>
              <w:t>977.6</w:t>
            </w:r>
          </w:p>
        </w:tc>
        <w:tc>
          <w:tcPr>
            <w:tcW w:type="dxa" w:w="1077"/>
          </w:tcPr>
          <w:p>
            <w:pPr>
              <w:jc w:val="right"/>
            </w:pPr>
            <w:r/>
            <w:r>
              <w:rPr>
                <w:color w:val="1A1D21"/>
                <w:sz w:val="17"/>
              </w:rPr>
              <w:t>1,430.3</w:t>
            </w:r>
          </w:p>
        </w:tc>
      </w:tr>
      <w:tr>
        <w:trPr>
          <w:cantSplit/>
        </w:trPr>
        <w:tc>
          <w:tcPr>
            <w:tcW w:type="dxa" w:w="5896"/>
          </w:tcPr>
          <w:p>
            <w:r/>
            <w:r>
              <w:rPr>
                <w:color w:val="1A1D21"/>
                <w:sz w:val="17"/>
              </w:rPr>
              <w:t>Profit before tax</w:t>
            </w:r>
          </w:p>
        </w:tc>
        <w:tc>
          <w:tcPr>
            <w:tcW w:type="dxa" w:w="1077"/>
          </w:tcPr>
          <w:p>
            <w:pPr>
              <w:jc w:val="right"/>
            </w:pPr>
            <w:r/>
            <w:r>
              <w:rPr>
                <w:color w:val="1A1D21"/>
                <w:sz w:val="17"/>
              </w:rPr>
              <w:t>2,300.7</w:t>
            </w:r>
          </w:p>
        </w:tc>
        <w:tc>
          <w:tcPr>
            <w:tcW w:type="dxa" w:w="1077"/>
          </w:tcPr>
          <w:p>
            <w:pPr>
              <w:jc w:val="right"/>
            </w:pPr>
            <w:r/>
            <w:r>
              <w:rPr>
                <w:color w:val="1A1D21"/>
                <w:sz w:val="17"/>
              </w:rPr>
              <w:t>4,320.6</w:t>
            </w:r>
          </w:p>
        </w:tc>
        <w:tc>
          <w:tcPr>
            <w:tcW w:type="dxa" w:w="1077"/>
          </w:tcPr>
          <w:p>
            <w:pPr>
              <w:jc w:val="right"/>
            </w:pPr>
            <w:r/>
            <w:r>
              <w:rPr>
                <w:color w:val="1A1D21"/>
                <w:sz w:val="17"/>
              </w:rPr>
              <w:t>6,251.1</w:t>
            </w:r>
          </w:p>
        </w:tc>
      </w:tr>
      <w:tr>
        <w:trPr>
          <w:cantSplit/>
        </w:trPr>
        <w:tc>
          <w:tcPr>
            <w:tcW w:type="dxa" w:w="5896"/>
          </w:tcPr>
          <w:p>
            <w:r/>
            <w:r>
              <w:rPr>
                <w:color w:val="1A1D21"/>
                <w:sz w:val="17"/>
              </w:rPr>
              <w:t>Tax</w:t>
            </w:r>
          </w:p>
        </w:tc>
        <w:tc>
          <w:tcPr>
            <w:tcW w:type="dxa" w:w="1077"/>
          </w:tcPr>
          <w:p>
            <w:pPr>
              <w:jc w:val="right"/>
            </w:pPr>
            <w:r/>
            <w:r>
              <w:rPr>
                <w:color w:val="1A1D21"/>
                <w:sz w:val="17"/>
              </w:rPr>
              <w:t>-567.3</w:t>
            </w:r>
          </w:p>
        </w:tc>
        <w:tc>
          <w:tcPr>
            <w:tcW w:type="dxa" w:w="1077"/>
          </w:tcPr>
          <w:p>
            <w:pPr>
              <w:jc w:val="right"/>
            </w:pPr>
            <w:r/>
            <w:r>
              <w:rPr>
                <w:color w:val="1A1D21"/>
                <w:sz w:val="17"/>
              </w:rPr>
              <w:t>-917.1</w:t>
            </w:r>
          </w:p>
        </w:tc>
        <w:tc>
          <w:tcPr>
            <w:tcW w:type="dxa" w:w="1077"/>
          </w:tcPr>
          <w:p>
            <w:pPr>
              <w:jc w:val="right"/>
            </w:pPr>
            <w:r/>
            <w:r>
              <w:rPr>
                <w:color w:val="1A1D21"/>
                <w:sz w:val="17"/>
              </w:rPr>
              <w:t>-1,827.2</w:t>
            </w:r>
          </w:p>
        </w:tc>
      </w:tr>
      <w:tr>
        <w:trPr>
          <w:cantSplit/>
        </w:trPr>
        <w:tc>
          <w:tcPr>
            <w:tcW w:type="dxa" w:w="5896"/>
          </w:tcPr>
          <w:p>
            <w:r/>
            <w:r>
              <w:rPr>
                <w:color w:val="1A1D21"/>
                <w:sz w:val="17"/>
              </w:rPr>
              <w:t>Profit after tax</w:t>
            </w:r>
          </w:p>
        </w:tc>
        <w:tc>
          <w:tcPr>
            <w:tcW w:type="dxa" w:w="1077"/>
          </w:tcPr>
          <w:p>
            <w:pPr>
              <w:jc w:val="right"/>
            </w:pPr>
            <w:r/>
            <w:r>
              <w:rPr>
                <w:color w:val="1A1D21"/>
                <w:sz w:val="17"/>
              </w:rPr>
              <w:t>1,733.4</w:t>
            </w:r>
          </w:p>
        </w:tc>
        <w:tc>
          <w:tcPr>
            <w:tcW w:type="dxa" w:w="1077"/>
          </w:tcPr>
          <w:p>
            <w:pPr>
              <w:jc w:val="right"/>
            </w:pPr>
            <w:r/>
            <w:r>
              <w:rPr>
                <w:color w:val="1A1D21"/>
                <w:sz w:val="17"/>
              </w:rPr>
              <w:t>3,403.5</w:t>
            </w:r>
          </w:p>
        </w:tc>
        <w:tc>
          <w:tcPr>
            <w:tcW w:type="dxa" w:w="1077"/>
          </w:tcPr>
          <w:p>
            <w:pPr>
              <w:jc w:val="right"/>
            </w:pPr>
            <w:r/>
            <w:r>
              <w:rPr>
                <w:color w:val="1A1D21"/>
                <w:sz w:val="17"/>
              </w:rPr>
              <w:t>4,423.8</w:t>
            </w:r>
          </w:p>
        </w:tc>
      </w:tr>
      <w:tr>
        <w:trPr>
          <w:cantSplit/>
        </w:trPr>
        <w:tc>
          <w:tcPr>
            <w:tcW w:type="dxa" w:w="5896"/>
          </w:tcPr>
          <w:p>
            <w:r/>
            <w:r>
              <w:rPr>
                <w:color w:val="1A1D21"/>
                <w:sz w:val="17"/>
              </w:rPr>
              <w:t>Minority interest</w:t>
            </w:r>
          </w:p>
        </w:tc>
        <w:tc>
          <w:tcPr>
            <w:tcW w:type="dxa" w:w="1077"/>
          </w:tcPr>
          <w:p>
            <w:pPr>
              <w:jc w:val="right"/>
            </w:pPr>
            <w:r/>
            <w:r>
              <w:rPr>
                <w:color w:val="1A1D21"/>
                <w:sz w:val="17"/>
              </w:rPr>
              <w:t>-151.9</w:t>
            </w:r>
          </w:p>
        </w:tc>
        <w:tc>
          <w:tcPr>
            <w:tcW w:type="dxa" w:w="1077"/>
          </w:tcPr>
          <w:p>
            <w:pPr>
              <w:jc w:val="right"/>
            </w:pPr>
            <w:r/>
            <w:r>
              <w:rPr>
                <w:color w:val="1A1D21"/>
                <w:sz w:val="17"/>
              </w:rPr>
              <w:t>-148.5</w:t>
            </w:r>
          </w:p>
        </w:tc>
        <w:tc>
          <w:tcPr>
            <w:tcW w:type="dxa" w:w="1077"/>
          </w:tcPr>
          <w:p>
            <w:pPr>
              <w:jc w:val="right"/>
            </w:pPr>
            <w:r/>
            <w:r>
              <w:rPr>
                <w:color w:val="1A1D21"/>
                <w:sz w:val="17"/>
              </w:rPr>
              <w:t>-207.2</w:t>
            </w:r>
          </w:p>
        </w:tc>
      </w:tr>
      <w:tr>
        <w:trPr>
          <w:cantSplit/>
        </w:trPr>
        <w:tc>
          <w:tcPr>
            <w:tcW w:type="dxa" w:w="5896"/>
          </w:tcPr>
          <w:p>
            <w:r/>
            <w:r>
              <w:rPr>
                <w:color w:val="1A1D21"/>
                <w:sz w:val="17"/>
              </w:rPr>
              <w:t>Profit attributable to shareholders</w:t>
            </w:r>
          </w:p>
        </w:tc>
        <w:tc>
          <w:tcPr>
            <w:tcW w:type="dxa" w:w="1077"/>
          </w:tcPr>
          <w:p>
            <w:pPr>
              <w:jc w:val="right"/>
            </w:pPr>
            <w:r/>
            <w:r>
              <w:rPr>
                <w:color w:val="1A1D21"/>
                <w:sz w:val="17"/>
              </w:rPr>
              <w:t>1,581.5</w:t>
            </w:r>
          </w:p>
        </w:tc>
        <w:tc>
          <w:tcPr>
            <w:tcW w:type="dxa" w:w="1077"/>
          </w:tcPr>
          <w:p>
            <w:pPr>
              <w:jc w:val="right"/>
            </w:pPr>
            <w:r/>
            <w:r>
              <w:rPr>
                <w:color w:val="1A1D21"/>
                <w:sz w:val="17"/>
              </w:rPr>
              <w:t>3,254.9</w:t>
            </w:r>
          </w:p>
        </w:tc>
        <w:tc>
          <w:tcPr>
            <w:tcW w:type="dxa" w:w="1077"/>
          </w:tcPr>
          <w:p>
            <w:pPr>
              <w:jc w:val="right"/>
            </w:pPr>
            <w:r/>
            <w:r>
              <w:rPr>
                <w:color w:val="1A1D21"/>
                <w:sz w:val="17"/>
              </w:rPr>
              <w:t>4,216.7</w:t>
            </w:r>
          </w:p>
        </w:tc>
      </w:tr>
    </w:tbl>
    <w:p>
      <w:pPr>
        <w:spacing w:after="200"/>
      </w:pPr>
      <w:r>
        <w:rPr>
          <w:b w:val="0"/>
          <w:i/>
          <w:color w:val="5B6570"/>
          <w:sz w:val="16"/>
        </w:rPr>
        <w:t>Three years, each as that year's own audited statements reported it. Revenue less cost of revenue less the cash discount foots to reported gross profit in all three years, and profit before tax less tax less minority interest foots to the attributable figure. The residual line is what the printed rows leave over against reported profit before tax: this study holds no source filings of its own, so the items inside it are not separated here and are not guessed at. It is negative in 2023 because no finance cost for that year is in the record at all, and positive in 2024 and 2025 because an income line the company reports is not held separately.</w:t>
      </w:r>
    </w:p>
    <w:p>
      <w:pPr>
        <w:spacing w:after="140"/>
      </w:pPr>
      <w:r>
        <w:rPr>
          <w:b w:val="0"/>
          <w:i w:val="0"/>
          <w:color w:val="1A1D21"/>
          <w:sz w:val="20"/>
        </w:rPr>
        <w:t>One presentational difference is worth naming rather than smoothing. Cost of revenue for 2024 is EGP 17,739.9 million as the company reported it that year and EGP 17,837.2 million in the comparative column of the 2025 statements — a difference of EGP 97.3 million, exactly that year's cash discount, which the later presentation folds into cost. The forecast is built on the later basis throughout; the table above shows each year as first reported. Both figures are right on their own basis.</w:t>
      </w:r>
    </w:p>
    <w:tbl>
      <w:tblPr>
        <w:tblStyle w:val="TableGrid"/>
        <w:tblW w:type="auto" w:w="0"/>
        <w:jc w:val="center"/>
        <w:tblLayout w:type="fixed"/>
        <w:tblLook w:firstColumn="1" w:firstRow="1" w:lastColumn="0" w:lastRow="0" w:noHBand="0" w:noVBand="1" w:val="04A0"/>
        <w:tblLayout w:type="fixed"/>
      </w:tblPr>
      <w:tblGrid>
        <w:gridCol w:w="2024"/>
        <w:gridCol w:w="1021"/>
        <w:gridCol w:w="1021"/>
        <w:gridCol w:w="1021"/>
        <w:gridCol w:w="1021"/>
        <w:gridCol w:w="1021"/>
        <w:gridCol w:w="1021"/>
        <w:gridCol w:w="1021"/>
      </w:tblGrid>
      <w:tr>
        <w:trPr>
          <w:tblHeader w:val="true"/>
        </w:trPr>
        <w:tc>
          <w:tcPr>
            <w:tcW w:type="dxa" w:w="2024"/>
          </w:tcPr>
          <w:p>
            <w:r/>
            <w:r>
              <w:rPr>
                <w:b/>
                <w:color w:val="5B6570"/>
                <w:sz w:val="17"/>
              </w:rPr>
              <w:t>Forecast, EGP million</w:t>
            </w:r>
          </w:p>
        </w:tc>
        <w:tc>
          <w:tcPr>
            <w:tcW w:type="dxa" w:w="1020"/>
          </w:tcPr>
          <w:p>
            <w:r/>
            <w:r>
              <w:rPr>
                <w:b/>
                <w:color w:val="5B6570"/>
                <w:sz w:val="17"/>
              </w:rPr>
              <w:t>2026</w:t>
            </w:r>
          </w:p>
        </w:tc>
        <w:tc>
          <w:tcPr>
            <w:tcW w:type="dxa" w:w="1020"/>
          </w:tcPr>
          <w:p>
            <w:r/>
            <w:r>
              <w:rPr>
                <w:b/>
                <w:color w:val="5B6570"/>
                <w:sz w:val="17"/>
              </w:rPr>
              <w:t>2027</w:t>
            </w:r>
          </w:p>
        </w:tc>
        <w:tc>
          <w:tcPr>
            <w:tcW w:type="dxa" w:w="1020"/>
          </w:tcPr>
          <w:p>
            <w:r/>
            <w:r>
              <w:rPr>
                <w:b/>
                <w:color w:val="5B6570"/>
                <w:sz w:val="17"/>
              </w:rPr>
              <w:t>2028</w:t>
            </w:r>
          </w:p>
        </w:tc>
        <w:tc>
          <w:tcPr>
            <w:tcW w:type="dxa" w:w="1020"/>
          </w:tcPr>
          <w:p>
            <w:r/>
            <w:r>
              <w:rPr>
                <w:b/>
                <w:color w:val="5B6570"/>
                <w:sz w:val="17"/>
              </w:rPr>
              <w:t>2029</w:t>
            </w:r>
          </w:p>
        </w:tc>
        <w:tc>
          <w:tcPr>
            <w:tcW w:type="dxa" w:w="1020"/>
          </w:tcPr>
          <w:p>
            <w:r/>
            <w:r>
              <w:rPr>
                <w:b/>
                <w:color w:val="5B6570"/>
                <w:sz w:val="17"/>
              </w:rPr>
              <w:t>2030</w:t>
            </w:r>
          </w:p>
        </w:tc>
        <w:tc>
          <w:tcPr>
            <w:tcW w:type="dxa" w:w="1020"/>
          </w:tcPr>
          <w:p>
            <w:r/>
            <w:r>
              <w:rPr>
                <w:b/>
                <w:color w:val="5B6570"/>
                <w:sz w:val="17"/>
              </w:rPr>
              <w:t>2035</w:t>
            </w:r>
          </w:p>
        </w:tc>
        <w:tc>
          <w:tcPr>
            <w:tcW w:type="dxa" w:w="1020"/>
          </w:tcPr>
          <w:p>
            <w:r/>
            <w:r>
              <w:rPr>
                <w:b/>
                <w:color w:val="5B6570"/>
                <w:sz w:val="17"/>
              </w:rPr>
              <w:t>2040</w:t>
            </w:r>
          </w:p>
        </w:tc>
      </w:tr>
      <w:tr>
        <w:trPr>
          <w:cantSplit/>
        </w:trPr>
        <w:tc>
          <w:tcPr>
            <w:tcW w:type="dxa" w:w="2024"/>
          </w:tcPr>
          <w:p>
            <w:r/>
            <w:r>
              <w:rPr>
                <w:color w:val="1A1D21"/>
                <w:sz w:val="17"/>
              </w:rPr>
              <w:t>Units delivered</w:t>
            </w:r>
          </w:p>
        </w:tc>
        <w:tc>
          <w:tcPr>
            <w:tcW w:type="dxa" w:w="1020"/>
          </w:tcPr>
          <w:p>
            <w:pPr>
              <w:jc w:val="right"/>
            </w:pPr>
            <w:r/>
            <w:r>
              <w:rPr>
                <w:color w:val="1A1D21"/>
                <w:sz w:val="17"/>
              </w:rPr>
              <w:t>2,042</w:t>
            </w:r>
          </w:p>
        </w:tc>
        <w:tc>
          <w:tcPr>
            <w:tcW w:type="dxa" w:w="1020"/>
          </w:tcPr>
          <w:p>
            <w:pPr>
              <w:jc w:val="right"/>
            </w:pPr>
            <w:r/>
            <w:r>
              <w:rPr>
                <w:color w:val="1A1D21"/>
                <w:sz w:val="17"/>
              </w:rPr>
              <w:t>2,348</w:t>
            </w:r>
          </w:p>
        </w:tc>
        <w:tc>
          <w:tcPr>
            <w:tcW w:type="dxa" w:w="1020"/>
          </w:tcPr>
          <w:p>
            <w:pPr>
              <w:jc w:val="right"/>
            </w:pPr>
            <w:r/>
            <w:r>
              <w:rPr>
                <w:color w:val="1A1D21"/>
                <w:sz w:val="17"/>
              </w:rPr>
              <w:t>2,665</w:t>
            </w:r>
          </w:p>
        </w:tc>
        <w:tc>
          <w:tcPr>
            <w:tcW w:type="dxa" w:w="1020"/>
          </w:tcPr>
          <w:p>
            <w:pPr>
              <w:jc w:val="right"/>
            </w:pPr>
            <w:r/>
            <w:r>
              <w:rPr>
                <w:color w:val="1A1D21"/>
                <w:sz w:val="17"/>
              </w:rPr>
              <w:t>2,985</w:t>
            </w:r>
          </w:p>
        </w:tc>
        <w:tc>
          <w:tcPr>
            <w:tcW w:type="dxa" w:w="1020"/>
          </w:tcPr>
          <w:p>
            <w:pPr>
              <w:jc w:val="right"/>
            </w:pPr>
            <w:r/>
            <w:r>
              <w:rPr>
                <w:color w:val="1A1D21"/>
                <w:sz w:val="17"/>
              </w:rPr>
              <w:t>3,298</w:t>
            </w:r>
          </w:p>
        </w:tc>
        <w:tc>
          <w:tcPr>
            <w:tcW w:type="dxa" w:w="1020"/>
          </w:tcPr>
          <w:p>
            <w:pPr>
              <w:jc w:val="right"/>
            </w:pPr>
            <w:r/>
            <w:r>
              <w:rPr>
                <w:color w:val="1A1D21"/>
                <w:sz w:val="17"/>
              </w:rPr>
              <w:t>4,409</w:t>
            </w:r>
          </w:p>
        </w:tc>
        <w:tc>
          <w:tcPr>
            <w:tcW w:type="dxa" w:w="1020"/>
          </w:tcPr>
          <w:p>
            <w:pPr>
              <w:jc w:val="right"/>
            </w:pPr>
            <w:r/>
            <w:r>
              <w:rPr>
                <w:color w:val="1A1D21"/>
                <w:sz w:val="17"/>
              </w:rPr>
              <w:t>4,475</w:t>
            </w:r>
          </w:p>
        </w:tc>
      </w:tr>
      <w:tr>
        <w:trPr>
          <w:cantSplit/>
        </w:trPr>
        <w:tc>
          <w:tcPr>
            <w:tcW w:type="dxa" w:w="2024"/>
          </w:tcPr>
          <w:p>
            <w:r/>
            <w:r>
              <w:rPr>
                <w:color w:val="1A1D21"/>
                <w:sz w:val="17"/>
              </w:rPr>
              <w:t>Revenue per delivered unit</w:t>
            </w:r>
          </w:p>
        </w:tc>
        <w:tc>
          <w:tcPr>
            <w:tcW w:type="dxa" w:w="1020"/>
          </w:tcPr>
          <w:p>
            <w:pPr>
              <w:jc w:val="right"/>
            </w:pPr>
            <w:r/>
            <w:r>
              <w:rPr>
                <w:color w:val="1A1D21"/>
                <w:sz w:val="17"/>
              </w:rPr>
              <w:t>19.73</w:t>
            </w:r>
          </w:p>
        </w:tc>
        <w:tc>
          <w:tcPr>
            <w:tcW w:type="dxa" w:w="1020"/>
          </w:tcPr>
          <w:p>
            <w:pPr>
              <w:jc w:val="right"/>
            </w:pPr>
            <w:r/>
            <w:r>
              <w:rPr>
                <w:color w:val="1A1D21"/>
                <w:sz w:val="17"/>
              </w:rPr>
              <w:t>22.10</w:t>
            </w:r>
          </w:p>
        </w:tc>
        <w:tc>
          <w:tcPr>
            <w:tcW w:type="dxa" w:w="1020"/>
          </w:tcPr>
          <w:p>
            <w:pPr>
              <w:jc w:val="right"/>
            </w:pPr>
            <w:r/>
            <w:r>
              <w:rPr>
                <w:color w:val="1A1D21"/>
                <w:sz w:val="17"/>
              </w:rPr>
              <w:t>24.08</w:t>
            </w:r>
          </w:p>
        </w:tc>
        <w:tc>
          <w:tcPr>
            <w:tcW w:type="dxa" w:w="1020"/>
          </w:tcPr>
          <w:p>
            <w:pPr>
              <w:jc w:val="right"/>
            </w:pPr>
            <w:r/>
            <w:r>
              <w:rPr>
                <w:color w:val="1A1D21"/>
                <w:sz w:val="17"/>
              </w:rPr>
              <w:t>25.89</w:t>
            </w:r>
          </w:p>
        </w:tc>
        <w:tc>
          <w:tcPr>
            <w:tcW w:type="dxa" w:w="1020"/>
          </w:tcPr>
          <w:p>
            <w:pPr>
              <w:jc w:val="right"/>
            </w:pPr>
            <w:r/>
            <w:r>
              <w:rPr>
                <w:color w:val="1A1D21"/>
                <w:sz w:val="17"/>
              </w:rPr>
              <w:t>27.70</w:t>
            </w:r>
          </w:p>
        </w:tc>
        <w:tc>
          <w:tcPr>
            <w:tcW w:type="dxa" w:w="1020"/>
          </w:tcPr>
          <w:p>
            <w:pPr>
              <w:jc w:val="right"/>
            </w:pPr>
            <w:r/>
            <w:r>
              <w:rPr>
                <w:color w:val="1A1D21"/>
                <w:sz w:val="17"/>
              </w:rPr>
              <w:t>38.85</w:t>
            </w:r>
          </w:p>
        </w:tc>
        <w:tc>
          <w:tcPr>
            <w:tcW w:type="dxa" w:w="1020"/>
          </w:tcPr>
          <w:p>
            <w:pPr>
              <w:jc w:val="right"/>
            </w:pPr>
            <w:r/>
            <w:r>
              <w:rPr>
                <w:color w:val="1A1D21"/>
                <w:sz w:val="17"/>
              </w:rPr>
              <w:t>54.49</w:t>
            </w:r>
          </w:p>
        </w:tc>
      </w:tr>
      <w:tr>
        <w:trPr>
          <w:cantSplit/>
        </w:trPr>
        <w:tc>
          <w:tcPr>
            <w:tcW w:type="dxa" w:w="2024"/>
          </w:tcPr>
          <w:p>
            <w:r/>
            <w:r>
              <w:rPr>
                <w:color w:val="1A1D21"/>
                <w:sz w:val="17"/>
              </w:rPr>
              <w:t>Revenue</w:t>
            </w:r>
          </w:p>
        </w:tc>
        <w:tc>
          <w:tcPr>
            <w:tcW w:type="dxa" w:w="1020"/>
          </w:tcPr>
          <w:p>
            <w:pPr>
              <w:jc w:val="right"/>
            </w:pPr>
            <w:r/>
            <w:r>
              <w:rPr>
                <w:color w:val="1A1D21"/>
                <w:sz w:val="17"/>
              </w:rPr>
              <w:t>40,279</w:t>
            </w:r>
          </w:p>
        </w:tc>
        <w:tc>
          <w:tcPr>
            <w:tcW w:type="dxa" w:w="1020"/>
          </w:tcPr>
          <w:p>
            <w:pPr>
              <w:jc w:val="right"/>
            </w:pPr>
            <w:r/>
            <w:r>
              <w:rPr>
                <w:color w:val="1A1D21"/>
                <w:sz w:val="17"/>
              </w:rPr>
              <w:t>51,879</w:t>
            </w:r>
          </w:p>
        </w:tc>
        <w:tc>
          <w:tcPr>
            <w:tcW w:type="dxa" w:w="1020"/>
          </w:tcPr>
          <w:p>
            <w:pPr>
              <w:jc w:val="right"/>
            </w:pPr>
            <w:r/>
            <w:r>
              <w:rPr>
                <w:color w:val="1A1D21"/>
                <w:sz w:val="17"/>
              </w:rPr>
              <w:t>64,182</w:t>
            </w:r>
          </w:p>
        </w:tc>
        <w:tc>
          <w:tcPr>
            <w:tcW w:type="dxa" w:w="1020"/>
          </w:tcPr>
          <w:p>
            <w:pPr>
              <w:jc w:val="right"/>
            </w:pPr>
            <w:r/>
            <w:r>
              <w:rPr>
                <w:color w:val="1A1D21"/>
                <w:sz w:val="17"/>
              </w:rPr>
              <w:t>77,276</w:t>
            </w:r>
          </w:p>
        </w:tc>
        <w:tc>
          <w:tcPr>
            <w:tcW w:type="dxa" w:w="1020"/>
          </w:tcPr>
          <w:p>
            <w:pPr>
              <w:jc w:val="right"/>
            </w:pPr>
            <w:r/>
            <w:r>
              <w:rPr>
                <w:color w:val="1A1D21"/>
                <w:sz w:val="17"/>
              </w:rPr>
              <w:t>91,367</w:t>
            </w:r>
          </w:p>
        </w:tc>
        <w:tc>
          <w:tcPr>
            <w:tcW w:type="dxa" w:w="1020"/>
          </w:tcPr>
          <w:p>
            <w:pPr>
              <w:jc w:val="right"/>
            </w:pPr>
            <w:r/>
            <w:r>
              <w:rPr>
                <w:color w:val="1A1D21"/>
                <w:sz w:val="17"/>
              </w:rPr>
              <w:t>171,318</w:t>
            </w:r>
          </w:p>
        </w:tc>
        <w:tc>
          <w:tcPr>
            <w:tcW w:type="dxa" w:w="1020"/>
          </w:tcPr>
          <w:p>
            <w:pPr>
              <w:jc w:val="right"/>
            </w:pPr>
            <w:r/>
            <w:r>
              <w:rPr>
                <w:color w:val="1A1D21"/>
                <w:sz w:val="17"/>
              </w:rPr>
              <w:t>243,886</w:t>
            </w:r>
          </w:p>
        </w:tc>
      </w:tr>
      <w:tr>
        <w:trPr>
          <w:cantSplit/>
        </w:trPr>
        <w:tc>
          <w:tcPr>
            <w:tcW w:type="dxa" w:w="2024"/>
          </w:tcPr>
          <w:p>
            <w:r/>
            <w:r>
              <w:rPr>
                <w:color w:val="1A1D21"/>
                <w:sz w:val="17"/>
              </w:rPr>
              <w:t>Cost per delivered unit</w:t>
            </w:r>
          </w:p>
        </w:tc>
        <w:tc>
          <w:tcPr>
            <w:tcW w:type="dxa" w:w="1020"/>
          </w:tcPr>
          <w:p>
            <w:pPr>
              <w:jc w:val="right"/>
            </w:pPr>
            <w:r/>
            <w:r>
              <w:rPr>
                <w:color w:val="1A1D21"/>
                <w:sz w:val="17"/>
              </w:rPr>
              <w:t>12.74</w:t>
            </w:r>
          </w:p>
        </w:tc>
        <w:tc>
          <w:tcPr>
            <w:tcW w:type="dxa" w:w="1020"/>
          </w:tcPr>
          <w:p>
            <w:pPr>
              <w:jc w:val="right"/>
            </w:pPr>
            <w:r/>
            <w:r>
              <w:rPr>
                <w:color w:val="1A1D21"/>
                <w:sz w:val="17"/>
              </w:rPr>
              <w:t>14.27</w:t>
            </w:r>
          </w:p>
        </w:tc>
        <w:tc>
          <w:tcPr>
            <w:tcW w:type="dxa" w:w="1020"/>
          </w:tcPr>
          <w:p>
            <w:pPr>
              <w:jc w:val="right"/>
            </w:pPr>
            <w:r/>
            <w:r>
              <w:rPr>
                <w:color w:val="1A1D21"/>
                <w:sz w:val="17"/>
              </w:rPr>
              <w:t>15.55</w:t>
            </w:r>
          </w:p>
        </w:tc>
        <w:tc>
          <w:tcPr>
            <w:tcW w:type="dxa" w:w="1020"/>
          </w:tcPr>
          <w:p>
            <w:pPr>
              <w:jc w:val="right"/>
            </w:pPr>
            <w:r/>
            <w:r>
              <w:rPr>
                <w:color w:val="1A1D21"/>
                <w:sz w:val="17"/>
              </w:rPr>
              <w:t>16.72</w:t>
            </w:r>
          </w:p>
        </w:tc>
        <w:tc>
          <w:tcPr>
            <w:tcW w:type="dxa" w:w="1020"/>
          </w:tcPr>
          <w:p>
            <w:pPr>
              <w:jc w:val="right"/>
            </w:pPr>
            <w:r/>
            <w:r>
              <w:rPr>
                <w:color w:val="1A1D21"/>
                <w:sz w:val="17"/>
              </w:rPr>
              <w:t>17.89</w:t>
            </w:r>
          </w:p>
        </w:tc>
        <w:tc>
          <w:tcPr>
            <w:tcW w:type="dxa" w:w="1020"/>
          </w:tcPr>
          <w:p>
            <w:pPr>
              <w:jc w:val="right"/>
            </w:pPr>
            <w:r/>
            <w:r>
              <w:rPr>
                <w:color w:val="1A1D21"/>
                <w:sz w:val="17"/>
              </w:rPr>
              <w:t>25.09</w:t>
            </w:r>
          </w:p>
        </w:tc>
        <w:tc>
          <w:tcPr>
            <w:tcW w:type="dxa" w:w="1020"/>
          </w:tcPr>
          <w:p>
            <w:pPr>
              <w:jc w:val="right"/>
            </w:pPr>
            <w:r/>
            <w:r>
              <w:rPr>
                <w:color w:val="1A1D21"/>
                <w:sz w:val="17"/>
              </w:rPr>
              <w:t>35.20</w:t>
            </w:r>
          </w:p>
        </w:tc>
      </w:tr>
      <w:tr>
        <w:trPr>
          <w:cantSplit/>
        </w:trPr>
        <w:tc>
          <w:tcPr>
            <w:tcW w:type="dxa" w:w="2024"/>
          </w:tcPr>
          <w:p>
            <w:r/>
            <w:r>
              <w:rPr>
                <w:color w:val="1A1D21"/>
                <w:sz w:val="17"/>
              </w:rPr>
              <w:t>Cost of revenue</w:t>
            </w:r>
          </w:p>
        </w:tc>
        <w:tc>
          <w:tcPr>
            <w:tcW w:type="dxa" w:w="1020"/>
          </w:tcPr>
          <w:p>
            <w:pPr>
              <w:jc w:val="right"/>
            </w:pPr>
            <w:r/>
            <w:r>
              <w:rPr>
                <w:color w:val="1A1D21"/>
                <w:sz w:val="17"/>
              </w:rPr>
              <w:t>-26,014</w:t>
            </w:r>
          </w:p>
        </w:tc>
        <w:tc>
          <w:tcPr>
            <w:tcW w:type="dxa" w:w="1020"/>
          </w:tcPr>
          <w:p>
            <w:pPr>
              <w:jc w:val="right"/>
            </w:pPr>
            <w:r/>
            <w:r>
              <w:rPr>
                <w:color w:val="1A1D21"/>
                <w:sz w:val="17"/>
              </w:rPr>
              <w:t>-33,506</w:t>
            </w:r>
          </w:p>
        </w:tc>
        <w:tc>
          <w:tcPr>
            <w:tcW w:type="dxa" w:w="1020"/>
          </w:tcPr>
          <w:p>
            <w:pPr>
              <w:jc w:val="right"/>
            </w:pPr>
            <w:r/>
            <w:r>
              <w:rPr>
                <w:color w:val="1A1D21"/>
                <w:sz w:val="17"/>
              </w:rPr>
              <w:t>-41,452</w:t>
            </w:r>
          </w:p>
        </w:tc>
        <w:tc>
          <w:tcPr>
            <w:tcW w:type="dxa" w:w="1020"/>
          </w:tcPr>
          <w:p>
            <w:pPr>
              <w:jc w:val="right"/>
            </w:pPr>
            <w:r/>
            <w:r>
              <w:rPr>
                <w:color w:val="1A1D21"/>
                <w:sz w:val="17"/>
              </w:rPr>
              <w:t>-49,908</w:t>
            </w:r>
          </w:p>
        </w:tc>
        <w:tc>
          <w:tcPr>
            <w:tcW w:type="dxa" w:w="1020"/>
          </w:tcPr>
          <w:p>
            <w:pPr>
              <w:jc w:val="right"/>
            </w:pPr>
            <w:r/>
            <w:r>
              <w:rPr>
                <w:color w:val="1A1D21"/>
                <w:sz w:val="17"/>
              </w:rPr>
              <w:t>-59,009</w:t>
            </w:r>
          </w:p>
        </w:tc>
        <w:tc>
          <w:tcPr>
            <w:tcW w:type="dxa" w:w="1020"/>
          </w:tcPr>
          <w:p>
            <w:pPr>
              <w:jc w:val="right"/>
            </w:pPr>
            <w:r/>
            <w:r>
              <w:rPr>
                <w:color w:val="1A1D21"/>
                <w:sz w:val="17"/>
              </w:rPr>
              <w:t>-110,645</w:t>
            </w:r>
          </w:p>
        </w:tc>
        <w:tc>
          <w:tcPr>
            <w:tcW w:type="dxa" w:w="1020"/>
          </w:tcPr>
          <w:p>
            <w:pPr>
              <w:jc w:val="right"/>
            </w:pPr>
            <w:r/>
            <w:r>
              <w:rPr>
                <w:color w:val="1A1D21"/>
                <w:sz w:val="17"/>
              </w:rPr>
              <w:t>-157,513</w:t>
            </w:r>
          </w:p>
        </w:tc>
      </w:tr>
      <w:tr>
        <w:trPr>
          <w:cantSplit/>
        </w:trPr>
        <w:tc>
          <w:tcPr>
            <w:tcW w:type="dxa" w:w="2024"/>
          </w:tcPr>
          <w:p>
            <w:r/>
            <w:r>
              <w:rPr>
                <w:color w:val="1A1D21"/>
                <w:sz w:val="17"/>
              </w:rPr>
              <w:t>Gross profit</w:t>
            </w:r>
          </w:p>
        </w:tc>
        <w:tc>
          <w:tcPr>
            <w:tcW w:type="dxa" w:w="1020"/>
          </w:tcPr>
          <w:p>
            <w:pPr>
              <w:jc w:val="right"/>
            </w:pPr>
            <w:r/>
            <w:r>
              <w:rPr>
                <w:color w:val="1A1D21"/>
                <w:sz w:val="17"/>
              </w:rPr>
              <w:t>14,265</w:t>
            </w:r>
          </w:p>
        </w:tc>
        <w:tc>
          <w:tcPr>
            <w:tcW w:type="dxa" w:w="1020"/>
          </w:tcPr>
          <w:p>
            <w:pPr>
              <w:jc w:val="right"/>
            </w:pPr>
            <w:r/>
            <w:r>
              <w:rPr>
                <w:color w:val="1A1D21"/>
                <w:sz w:val="17"/>
              </w:rPr>
              <w:t>18,373</w:t>
            </w:r>
          </w:p>
        </w:tc>
        <w:tc>
          <w:tcPr>
            <w:tcW w:type="dxa" w:w="1020"/>
          </w:tcPr>
          <w:p>
            <w:pPr>
              <w:jc w:val="right"/>
            </w:pPr>
            <w:r/>
            <w:r>
              <w:rPr>
                <w:color w:val="1A1D21"/>
                <w:sz w:val="17"/>
              </w:rPr>
              <w:t>22,730</w:t>
            </w:r>
          </w:p>
        </w:tc>
        <w:tc>
          <w:tcPr>
            <w:tcW w:type="dxa" w:w="1020"/>
          </w:tcPr>
          <w:p>
            <w:pPr>
              <w:jc w:val="right"/>
            </w:pPr>
            <w:r/>
            <w:r>
              <w:rPr>
                <w:color w:val="1A1D21"/>
                <w:sz w:val="17"/>
              </w:rPr>
              <w:t>27,368</w:t>
            </w:r>
          </w:p>
        </w:tc>
        <w:tc>
          <w:tcPr>
            <w:tcW w:type="dxa" w:w="1020"/>
          </w:tcPr>
          <w:p>
            <w:pPr>
              <w:jc w:val="right"/>
            </w:pPr>
            <w:r/>
            <w:r>
              <w:rPr>
                <w:color w:val="1A1D21"/>
                <w:sz w:val="17"/>
              </w:rPr>
              <w:t>32,358</w:t>
            </w:r>
          </w:p>
        </w:tc>
        <w:tc>
          <w:tcPr>
            <w:tcW w:type="dxa" w:w="1020"/>
          </w:tcPr>
          <w:p>
            <w:pPr>
              <w:jc w:val="right"/>
            </w:pPr>
            <w:r/>
            <w:r>
              <w:rPr>
                <w:color w:val="1A1D21"/>
                <w:sz w:val="17"/>
              </w:rPr>
              <w:t>60,673</w:t>
            </w:r>
          </w:p>
        </w:tc>
        <w:tc>
          <w:tcPr>
            <w:tcW w:type="dxa" w:w="1020"/>
          </w:tcPr>
          <w:p>
            <w:pPr>
              <w:jc w:val="right"/>
            </w:pPr>
            <w:r/>
            <w:r>
              <w:rPr>
                <w:color w:val="1A1D21"/>
                <w:sz w:val="17"/>
              </w:rPr>
              <w:t>86,373</w:t>
            </w:r>
          </w:p>
        </w:tc>
      </w:tr>
      <w:tr>
        <w:trPr>
          <w:cantSplit/>
        </w:trPr>
        <w:tc>
          <w:tcPr>
            <w:tcW w:type="dxa" w:w="2024"/>
          </w:tcPr>
          <w:p>
            <w:r/>
            <w:r>
              <w:rPr>
                <w:color w:val="1A1D21"/>
                <w:sz w:val="17"/>
              </w:rPr>
              <w:t>Gross margin</w:t>
            </w:r>
          </w:p>
        </w:tc>
        <w:tc>
          <w:tcPr>
            <w:tcW w:type="dxa" w:w="1020"/>
          </w:tcPr>
          <w:p>
            <w:pPr>
              <w:jc w:val="right"/>
            </w:pPr>
            <w:r/>
            <w:r>
              <w:rPr>
                <w:color w:val="1A1D21"/>
                <w:sz w:val="17"/>
              </w:rPr>
              <w:t>35.4%</w:t>
            </w:r>
          </w:p>
        </w:tc>
        <w:tc>
          <w:tcPr>
            <w:tcW w:type="dxa" w:w="1020"/>
          </w:tcPr>
          <w:p>
            <w:pPr>
              <w:jc w:val="right"/>
            </w:pPr>
            <w:r/>
            <w:r>
              <w:rPr>
                <w:color w:val="1A1D21"/>
                <w:sz w:val="17"/>
              </w:rPr>
              <w:t>35.4%</w:t>
            </w:r>
          </w:p>
        </w:tc>
        <w:tc>
          <w:tcPr>
            <w:tcW w:type="dxa" w:w="1020"/>
          </w:tcPr>
          <w:p>
            <w:pPr>
              <w:jc w:val="right"/>
            </w:pPr>
            <w:r/>
            <w:r>
              <w:rPr>
                <w:color w:val="1A1D21"/>
                <w:sz w:val="17"/>
              </w:rPr>
              <w:t>35.4%</w:t>
            </w:r>
          </w:p>
        </w:tc>
        <w:tc>
          <w:tcPr>
            <w:tcW w:type="dxa" w:w="1020"/>
          </w:tcPr>
          <w:p>
            <w:pPr>
              <w:jc w:val="right"/>
            </w:pPr>
            <w:r/>
            <w:r>
              <w:rPr>
                <w:color w:val="1A1D21"/>
                <w:sz w:val="17"/>
              </w:rPr>
              <w:t>35.4%</w:t>
            </w:r>
          </w:p>
        </w:tc>
        <w:tc>
          <w:tcPr>
            <w:tcW w:type="dxa" w:w="1020"/>
          </w:tcPr>
          <w:p>
            <w:pPr>
              <w:jc w:val="right"/>
            </w:pPr>
            <w:r/>
            <w:r>
              <w:rPr>
                <w:color w:val="1A1D21"/>
                <w:sz w:val="17"/>
              </w:rPr>
              <w:t>35.4%</w:t>
            </w:r>
          </w:p>
        </w:tc>
        <w:tc>
          <w:tcPr>
            <w:tcW w:type="dxa" w:w="1020"/>
          </w:tcPr>
          <w:p>
            <w:pPr>
              <w:jc w:val="right"/>
            </w:pPr>
            <w:r/>
            <w:r>
              <w:rPr>
                <w:color w:val="1A1D21"/>
                <w:sz w:val="17"/>
              </w:rPr>
              <w:t>35.4%</w:t>
            </w:r>
          </w:p>
        </w:tc>
        <w:tc>
          <w:tcPr>
            <w:tcW w:type="dxa" w:w="1020"/>
          </w:tcPr>
          <w:p>
            <w:pPr>
              <w:jc w:val="right"/>
            </w:pPr>
            <w:r/>
            <w:r>
              <w:rPr>
                <w:color w:val="1A1D21"/>
                <w:sz w:val="17"/>
              </w:rPr>
              <w:t>35.4%</w:t>
            </w:r>
          </w:p>
        </w:tc>
      </w:tr>
      <w:tr>
        <w:trPr>
          <w:cantSplit/>
        </w:trPr>
        <w:tc>
          <w:tcPr>
            <w:tcW w:type="dxa" w:w="2024"/>
          </w:tcPr>
          <w:p>
            <w:r/>
            <w:r>
              <w:rPr>
                <w:color w:val="1A1D21"/>
                <w:sz w:val="17"/>
              </w:rPr>
              <w:t>Overheads</w:t>
            </w:r>
          </w:p>
        </w:tc>
        <w:tc>
          <w:tcPr>
            <w:tcW w:type="dxa" w:w="1020"/>
          </w:tcPr>
          <w:p>
            <w:pPr>
              <w:jc w:val="right"/>
            </w:pPr>
            <w:r/>
            <w:r>
              <w:rPr>
                <w:color w:val="1A1D21"/>
                <w:sz w:val="17"/>
              </w:rPr>
              <w:t>-7,089</w:t>
            </w:r>
          </w:p>
        </w:tc>
        <w:tc>
          <w:tcPr>
            <w:tcW w:type="dxa" w:w="1020"/>
          </w:tcPr>
          <w:p>
            <w:pPr>
              <w:jc w:val="right"/>
            </w:pPr>
            <w:r/>
            <w:r>
              <w:rPr>
                <w:color w:val="1A1D21"/>
                <w:sz w:val="17"/>
              </w:rPr>
              <w:t>-9,130</w:t>
            </w:r>
          </w:p>
        </w:tc>
        <w:tc>
          <w:tcPr>
            <w:tcW w:type="dxa" w:w="1020"/>
          </w:tcPr>
          <w:p>
            <w:pPr>
              <w:jc w:val="right"/>
            </w:pPr>
            <w:r/>
            <w:r>
              <w:rPr>
                <w:color w:val="1A1D21"/>
                <w:sz w:val="17"/>
              </w:rPr>
              <w:t>-11,296</w:t>
            </w:r>
          </w:p>
        </w:tc>
        <w:tc>
          <w:tcPr>
            <w:tcW w:type="dxa" w:w="1020"/>
          </w:tcPr>
          <w:p>
            <w:pPr>
              <w:jc w:val="right"/>
            </w:pPr>
            <w:r/>
            <w:r>
              <w:rPr>
                <w:color w:val="1A1D21"/>
                <w:sz w:val="17"/>
              </w:rPr>
              <w:t>-13,600</w:t>
            </w:r>
          </w:p>
        </w:tc>
        <w:tc>
          <w:tcPr>
            <w:tcW w:type="dxa" w:w="1020"/>
          </w:tcPr>
          <w:p>
            <w:pPr>
              <w:jc w:val="right"/>
            </w:pPr>
            <w:r/>
            <w:r>
              <w:rPr>
                <w:color w:val="1A1D21"/>
                <w:sz w:val="17"/>
              </w:rPr>
              <w:t>-16,080</w:t>
            </w:r>
          </w:p>
        </w:tc>
        <w:tc>
          <w:tcPr>
            <w:tcW w:type="dxa" w:w="1020"/>
          </w:tcPr>
          <w:p>
            <w:pPr>
              <w:jc w:val="right"/>
            </w:pPr>
            <w:r/>
            <w:r>
              <w:rPr>
                <w:color w:val="1A1D21"/>
                <w:sz w:val="17"/>
              </w:rPr>
              <w:t>-30,151</w:t>
            </w:r>
          </w:p>
        </w:tc>
        <w:tc>
          <w:tcPr>
            <w:tcW w:type="dxa" w:w="1020"/>
          </w:tcPr>
          <w:p>
            <w:pPr>
              <w:jc w:val="right"/>
            </w:pPr>
            <w:r/>
            <w:r>
              <w:rPr>
                <w:color w:val="1A1D21"/>
                <w:sz w:val="17"/>
              </w:rPr>
              <w:t>-42,923</w:t>
            </w:r>
          </w:p>
        </w:tc>
      </w:tr>
      <w:tr>
        <w:trPr>
          <w:cantSplit/>
        </w:trPr>
        <w:tc>
          <w:tcPr>
            <w:tcW w:type="dxa" w:w="2024"/>
          </w:tcPr>
          <w:p>
            <w:r/>
            <w:r>
              <w:rPr>
                <w:color w:val="1A1D21"/>
                <w:sz w:val="17"/>
              </w:rPr>
              <w:t>Depreciation and amortisation</w:t>
            </w:r>
          </w:p>
        </w:tc>
        <w:tc>
          <w:tcPr>
            <w:tcW w:type="dxa" w:w="1020"/>
          </w:tcPr>
          <w:p>
            <w:pPr>
              <w:jc w:val="right"/>
            </w:pPr>
            <w:r/>
            <w:r>
              <w:rPr>
                <w:color w:val="1A1D21"/>
                <w:sz w:val="17"/>
              </w:rPr>
              <w:t>-394</w:t>
            </w:r>
          </w:p>
        </w:tc>
        <w:tc>
          <w:tcPr>
            <w:tcW w:type="dxa" w:w="1020"/>
          </w:tcPr>
          <w:p>
            <w:pPr>
              <w:jc w:val="right"/>
            </w:pPr>
            <w:r/>
            <w:r>
              <w:rPr>
                <w:color w:val="1A1D21"/>
                <w:sz w:val="17"/>
              </w:rPr>
              <w:t>-507</w:t>
            </w:r>
          </w:p>
        </w:tc>
        <w:tc>
          <w:tcPr>
            <w:tcW w:type="dxa" w:w="1020"/>
          </w:tcPr>
          <w:p>
            <w:pPr>
              <w:jc w:val="right"/>
            </w:pPr>
            <w:r/>
            <w:r>
              <w:rPr>
                <w:color w:val="1A1D21"/>
                <w:sz w:val="17"/>
              </w:rPr>
              <w:t>-628</w:t>
            </w:r>
          </w:p>
        </w:tc>
        <w:tc>
          <w:tcPr>
            <w:tcW w:type="dxa" w:w="1020"/>
          </w:tcPr>
          <w:p>
            <w:pPr>
              <w:jc w:val="right"/>
            </w:pPr>
            <w:r/>
            <w:r>
              <w:rPr>
                <w:color w:val="1A1D21"/>
                <w:sz w:val="17"/>
              </w:rPr>
              <w:t>-756</w:t>
            </w:r>
          </w:p>
        </w:tc>
        <w:tc>
          <w:tcPr>
            <w:tcW w:type="dxa" w:w="1020"/>
          </w:tcPr>
          <w:p>
            <w:pPr>
              <w:jc w:val="right"/>
            </w:pPr>
            <w:r/>
            <w:r>
              <w:rPr>
                <w:color w:val="1A1D21"/>
                <w:sz w:val="17"/>
              </w:rPr>
              <w:t>-893</w:t>
            </w:r>
          </w:p>
        </w:tc>
        <w:tc>
          <w:tcPr>
            <w:tcW w:type="dxa" w:w="1020"/>
          </w:tcPr>
          <w:p>
            <w:pPr>
              <w:jc w:val="right"/>
            </w:pPr>
            <w:r/>
            <w:r>
              <w:rPr>
                <w:color w:val="1A1D21"/>
                <w:sz w:val="17"/>
              </w:rPr>
              <w:t>-1,675</w:t>
            </w:r>
          </w:p>
        </w:tc>
        <w:tc>
          <w:tcPr>
            <w:tcW w:type="dxa" w:w="1020"/>
          </w:tcPr>
          <w:p>
            <w:pPr>
              <w:jc w:val="right"/>
            </w:pPr>
            <w:r/>
            <w:r>
              <w:rPr>
                <w:color w:val="1A1D21"/>
                <w:sz w:val="17"/>
              </w:rPr>
              <w:t>-2,385</w:t>
            </w:r>
          </w:p>
        </w:tc>
      </w:tr>
      <w:tr>
        <w:trPr>
          <w:cantSplit/>
        </w:trPr>
        <w:tc>
          <w:tcPr>
            <w:tcW w:type="dxa" w:w="2024"/>
          </w:tcPr>
          <w:p>
            <w:r/>
            <w:r>
              <w:rPr>
                <w:color w:val="1A1D21"/>
                <w:sz w:val="17"/>
              </w:rPr>
              <w:t>Operating profit</w:t>
            </w:r>
          </w:p>
        </w:tc>
        <w:tc>
          <w:tcPr>
            <w:tcW w:type="dxa" w:w="1020"/>
          </w:tcPr>
          <w:p>
            <w:pPr>
              <w:jc w:val="right"/>
            </w:pPr>
            <w:r/>
            <w:r>
              <w:rPr>
                <w:color w:val="1A1D21"/>
                <w:sz w:val="17"/>
              </w:rPr>
              <w:t>6,782</w:t>
            </w:r>
          </w:p>
        </w:tc>
        <w:tc>
          <w:tcPr>
            <w:tcW w:type="dxa" w:w="1020"/>
          </w:tcPr>
          <w:p>
            <w:pPr>
              <w:jc w:val="right"/>
            </w:pPr>
            <w:r/>
            <w:r>
              <w:rPr>
                <w:color w:val="1A1D21"/>
                <w:sz w:val="17"/>
              </w:rPr>
              <w:t>8,735</w:t>
            </w:r>
          </w:p>
        </w:tc>
        <w:tc>
          <w:tcPr>
            <w:tcW w:type="dxa" w:w="1020"/>
          </w:tcPr>
          <w:p>
            <w:pPr>
              <w:jc w:val="right"/>
            </w:pPr>
            <w:r/>
            <w:r>
              <w:rPr>
                <w:color w:val="1A1D21"/>
                <w:sz w:val="17"/>
              </w:rPr>
              <w:t>10,807</w:t>
            </w:r>
          </w:p>
        </w:tc>
        <w:tc>
          <w:tcPr>
            <w:tcW w:type="dxa" w:w="1020"/>
          </w:tcPr>
          <w:p>
            <w:pPr>
              <w:jc w:val="right"/>
            </w:pPr>
            <w:r/>
            <w:r>
              <w:rPr>
                <w:color w:val="1A1D21"/>
                <w:sz w:val="17"/>
              </w:rPr>
              <w:t>13,012</w:t>
            </w:r>
          </w:p>
        </w:tc>
        <w:tc>
          <w:tcPr>
            <w:tcW w:type="dxa" w:w="1020"/>
          </w:tcPr>
          <w:p>
            <w:pPr>
              <w:jc w:val="right"/>
            </w:pPr>
            <w:r/>
            <w:r>
              <w:rPr>
                <w:color w:val="1A1D21"/>
                <w:sz w:val="17"/>
              </w:rPr>
              <w:t>15,384</w:t>
            </w:r>
          </w:p>
        </w:tc>
        <w:tc>
          <w:tcPr>
            <w:tcW w:type="dxa" w:w="1020"/>
          </w:tcPr>
          <w:p>
            <w:pPr>
              <w:jc w:val="right"/>
            </w:pPr>
            <w:r/>
            <w:r>
              <w:rPr>
                <w:color w:val="1A1D21"/>
                <w:sz w:val="17"/>
              </w:rPr>
              <w:t>28,847</w:t>
            </w:r>
          </w:p>
        </w:tc>
        <w:tc>
          <w:tcPr>
            <w:tcW w:type="dxa" w:w="1020"/>
          </w:tcPr>
          <w:p>
            <w:pPr>
              <w:jc w:val="right"/>
            </w:pPr>
            <w:r/>
            <w:r>
              <w:rPr>
                <w:color w:val="1A1D21"/>
                <w:sz w:val="17"/>
              </w:rPr>
              <w:t>41,066</w:t>
            </w:r>
          </w:p>
        </w:tc>
      </w:tr>
      <w:tr>
        <w:trPr>
          <w:cantSplit/>
        </w:trPr>
        <w:tc>
          <w:tcPr>
            <w:tcW w:type="dxa" w:w="2024"/>
          </w:tcPr>
          <w:p>
            <w:r/>
            <w:r>
              <w:rPr>
                <w:color w:val="1A1D21"/>
                <w:sz w:val="17"/>
              </w:rPr>
              <w:t>Finance cost</w:t>
            </w:r>
          </w:p>
        </w:tc>
        <w:tc>
          <w:tcPr>
            <w:tcW w:type="dxa" w:w="1020"/>
          </w:tcPr>
          <w:p>
            <w:pPr>
              <w:jc w:val="right"/>
            </w:pPr>
            <w:r/>
            <w:r>
              <w:rPr>
                <w:color w:val="1A1D21"/>
                <w:sz w:val="17"/>
              </w:rPr>
              <w:t>-3,348</w:t>
            </w:r>
          </w:p>
        </w:tc>
        <w:tc>
          <w:tcPr>
            <w:tcW w:type="dxa" w:w="1020"/>
          </w:tcPr>
          <w:p>
            <w:pPr>
              <w:jc w:val="right"/>
            </w:pPr>
            <w:r/>
            <w:r>
              <w:rPr>
                <w:color w:val="1A1D21"/>
                <w:sz w:val="17"/>
              </w:rPr>
              <w:t>-3,348</w:t>
            </w:r>
          </w:p>
        </w:tc>
        <w:tc>
          <w:tcPr>
            <w:tcW w:type="dxa" w:w="1020"/>
          </w:tcPr>
          <w:p>
            <w:pPr>
              <w:jc w:val="right"/>
            </w:pPr>
            <w:r/>
            <w:r>
              <w:rPr>
                <w:color w:val="1A1D21"/>
                <w:sz w:val="17"/>
              </w:rPr>
              <w:t>-3,348</w:t>
            </w:r>
          </w:p>
        </w:tc>
        <w:tc>
          <w:tcPr>
            <w:tcW w:type="dxa" w:w="1020"/>
          </w:tcPr>
          <w:p>
            <w:pPr>
              <w:jc w:val="right"/>
            </w:pPr>
            <w:r/>
            <w:r>
              <w:rPr>
                <w:color w:val="1A1D21"/>
                <w:sz w:val="17"/>
              </w:rPr>
              <w:t>-3,348</w:t>
            </w:r>
          </w:p>
        </w:tc>
        <w:tc>
          <w:tcPr>
            <w:tcW w:type="dxa" w:w="1020"/>
          </w:tcPr>
          <w:p>
            <w:pPr>
              <w:jc w:val="right"/>
            </w:pPr>
            <w:r/>
            <w:r>
              <w:rPr>
                <w:color w:val="1A1D21"/>
                <w:sz w:val="17"/>
              </w:rPr>
              <w:t>-3,348</w:t>
            </w:r>
          </w:p>
        </w:tc>
        <w:tc>
          <w:tcPr>
            <w:tcW w:type="dxa" w:w="1020"/>
          </w:tcPr>
          <w:p>
            <w:pPr>
              <w:jc w:val="right"/>
            </w:pPr>
            <w:r/>
            <w:r>
              <w:rPr>
                <w:color w:val="1A1D21"/>
                <w:sz w:val="17"/>
              </w:rPr>
              <w:t>-3,348</w:t>
            </w:r>
          </w:p>
        </w:tc>
        <w:tc>
          <w:tcPr>
            <w:tcW w:type="dxa" w:w="1020"/>
          </w:tcPr>
          <w:p>
            <w:pPr>
              <w:jc w:val="right"/>
            </w:pPr>
            <w:r/>
            <w:r>
              <w:rPr>
                <w:color w:val="1A1D21"/>
                <w:sz w:val="17"/>
              </w:rPr>
              <w:t>-3,348</w:t>
            </w:r>
          </w:p>
        </w:tc>
      </w:tr>
      <w:tr>
        <w:trPr>
          <w:cantSplit/>
        </w:trPr>
        <w:tc>
          <w:tcPr>
            <w:tcW w:type="dxa" w:w="2024"/>
          </w:tcPr>
          <w:p>
            <w:r/>
            <w:r>
              <w:rPr>
                <w:color w:val="1A1D21"/>
                <w:sz w:val="17"/>
              </w:rPr>
              <w:t>Profit before tax</w:t>
            </w:r>
          </w:p>
        </w:tc>
        <w:tc>
          <w:tcPr>
            <w:tcW w:type="dxa" w:w="1020"/>
          </w:tcPr>
          <w:p>
            <w:pPr>
              <w:jc w:val="right"/>
            </w:pPr>
            <w:r/>
            <w:r>
              <w:rPr>
                <w:color w:val="1A1D21"/>
                <w:sz w:val="17"/>
              </w:rPr>
              <w:t>3,435</w:t>
            </w:r>
          </w:p>
        </w:tc>
        <w:tc>
          <w:tcPr>
            <w:tcW w:type="dxa" w:w="1020"/>
          </w:tcPr>
          <w:p>
            <w:pPr>
              <w:jc w:val="right"/>
            </w:pPr>
            <w:r/>
            <w:r>
              <w:rPr>
                <w:color w:val="1A1D21"/>
                <w:sz w:val="17"/>
              </w:rPr>
              <w:t>5,388</w:t>
            </w:r>
          </w:p>
        </w:tc>
        <w:tc>
          <w:tcPr>
            <w:tcW w:type="dxa" w:w="1020"/>
          </w:tcPr>
          <w:p>
            <w:pPr>
              <w:jc w:val="right"/>
            </w:pPr>
            <w:r/>
            <w:r>
              <w:rPr>
                <w:color w:val="1A1D21"/>
                <w:sz w:val="17"/>
              </w:rPr>
              <w:t>7,460</w:t>
            </w:r>
          </w:p>
        </w:tc>
        <w:tc>
          <w:tcPr>
            <w:tcW w:type="dxa" w:w="1020"/>
          </w:tcPr>
          <w:p>
            <w:pPr>
              <w:jc w:val="right"/>
            </w:pPr>
            <w:r/>
            <w:r>
              <w:rPr>
                <w:color w:val="1A1D21"/>
                <w:sz w:val="17"/>
              </w:rPr>
              <w:t>9,664</w:t>
            </w:r>
          </w:p>
        </w:tc>
        <w:tc>
          <w:tcPr>
            <w:tcW w:type="dxa" w:w="1020"/>
          </w:tcPr>
          <w:p>
            <w:pPr>
              <w:jc w:val="right"/>
            </w:pPr>
            <w:r/>
            <w:r>
              <w:rPr>
                <w:color w:val="1A1D21"/>
                <w:sz w:val="17"/>
              </w:rPr>
              <w:t>12,037</w:t>
            </w:r>
          </w:p>
        </w:tc>
        <w:tc>
          <w:tcPr>
            <w:tcW w:type="dxa" w:w="1020"/>
          </w:tcPr>
          <w:p>
            <w:pPr>
              <w:jc w:val="right"/>
            </w:pPr>
            <w:r/>
            <w:r>
              <w:rPr>
                <w:color w:val="1A1D21"/>
                <w:sz w:val="17"/>
              </w:rPr>
              <w:t>25,499</w:t>
            </w:r>
          </w:p>
        </w:tc>
        <w:tc>
          <w:tcPr>
            <w:tcW w:type="dxa" w:w="1020"/>
          </w:tcPr>
          <w:p>
            <w:pPr>
              <w:jc w:val="right"/>
            </w:pPr>
            <w:r/>
            <w:r>
              <w:rPr>
                <w:color w:val="1A1D21"/>
                <w:sz w:val="17"/>
              </w:rPr>
              <w:t>37,718</w:t>
            </w:r>
          </w:p>
        </w:tc>
      </w:tr>
      <w:tr>
        <w:trPr>
          <w:cantSplit/>
        </w:trPr>
        <w:tc>
          <w:tcPr>
            <w:tcW w:type="dxa" w:w="2024"/>
          </w:tcPr>
          <w:p>
            <w:r/>
            <w:r>
              <w:rPr>
                <w:color w:val="1A1D21"/>
                <w:sz w:val="17"/>
              </w:rPr>
              <w:t>Tax</w:t>
            </w:r>
          </w:p>
        </w:tc>
        <w:tc>
          <w:tcPr>
            <w:tcW w:type="dxa" w:w="1020"/>
          </w:tcPr>
          <w:p>
            <w:pPr>
              <w:jc w:val="right"/>
            </w:pPr>
            <w:r/>
            <w:r>
              <w:rPr>
                <w:color w:val="1A1D21"/>
                <w:sz w:val="17"/>
              </w:rPr>
              <w:t>-773</w:t>
            </w:r>
          </w:p>
        </w:tc>
        <w:tc>
          <w:tcPr>
            <w:tcW w:type="dxa" w:w="1020"/>
          </w:tcPr>
          <w:p>
            <w:pPr>
              <w:jc w:val="right"/>
            </w:pPr>
            <w:r/>
            <w:r>
              <w:rPr>
                <w:color w:val="1A1D21"/>
                <w:sz w:val="17"/>
              </w:rPr>
              <w:t>-1,212</w:t>
            </w:r>
          </w:p>
        </w:tc>
        <w:tc>
          <w:tcPr>
            <w:tcW w:type="dxa" w:w="1020"/>
          </w:tcPr>
          <w:p>
            <w:pPr>
              <w:jc w:val="right"/>
            </w:pPr>
            <w:r/>
            <w:r>
              <w:rPr>
                <w:color w:val="1A1D21"/>
                <w:sz w:val="17"/>
              </w:rPr>
              <w:t>-1,678</w:t>
            </w:r>
          </w:p>
        </w:tc>
        <w:tc>
          <w:tcPr>
            <w:tcW w:type="dxa" w:w="1020"/>
          </w:tcPr>
          <w:p>
            <w:pPr>
              <w:jc w:val="right"/>
            </w:pPr>
            <w:r/>
            <w:r>
              <w:rPr>
                <w:color w:val="1A1D21"/>
                <w:sz w:val="17"/>
              </w:rPr>
              <w:t>-2,174</w:t>
            </w:r>
          </w:p>
        </w:tc>
        <w:tc>
          <w:tcPr>
            <w:tcW w:type="dxa" w:w="1020"/>
          </w:tcPr>
          <w:p>
            <w:pPr>
              <w:jc w:val="right"/>
            </w:pPr>
            <w:r/>
            <w:r>
              <w:rPr>
                <w:color w:val="1A1D21"/>
                <w:sz w:val="17"/>
              </w:rPr>
              <w:t>-2,708</w:t>
            </w:r>
          </w:p>
        </w:tc>
        <w:tc>
          <w:tcPr>
            <w:tcW w:type="dxa" w:w="1020"/>
          </w:tcPr>
          <w:p>
            <w:pPr>
              <w:jc w:val="right"/>
            </w:pPr>
            <w:r/>
            <w:r>
              <w:rPr>
                <w:color w:val="1A1D21"/>
                <w:sz w:val="17"/>
              </w:rPr>
              <w:t>-5,737</w:t>
            </w:r>
          </w:p>
        </w:tc>
        <w:tc>
          <w:tcPr>
            <w:tcW w:type="dxa" w:w="1020"/>
          </w:tcPr>
          <w:p>
            <w:pPr>
              <w:jc w:val="right"/>
            </w:pPr>
            <w:r/>
            <w:r>
              <w:rPr>
                <w:color w:val="1A1D21"/>
                <w:sz w:val="17"/>
              </w:rPr>
              <w:t>-8,487</w:t>
            </w:r>
          </w:p>
        </w:tc>
      </w:tr>
      <w:tr>
        <w:trPr>
          <w:cantSplit/>
        </w:trPr>
        <w:tc>
          <w:tcPr>
            <w:tcW w:type="dxa" w:w="2024"/>
          </w:tcPr>
          <w:p>
            <w:r/>
            <w:r>
              <w:rPr>
                <w:color w:val="1A1D21"/>
                <w:sz w:val="17"/>
              </w:rPr>
              <w:t>Net profit</w:t>
            </w:r>
          </w:p>
        </w:tc>
        <w:tc>
          <w:tcPr>
            <w:tcW w:type="dxa" w:w="1020"/>
          </w:tcPr>
          <w:p>
            <w:pPr>
              <w:jc w:val="right"/>
            </w:pPr>
            <w:r/>
            <w:r>
              <w:rPr>
                <w:color w:val="1A1D21"/>
                <w:sz w:val="17"/>
              </w:rPr>
              <w:t>2,662</w:t>
            </w:r>
          </w:p>
        </w:tc>
        <w:tc>
          <w:tcPr>
            <w:tcW w:type="dxa" w:w="1020"/>
          </w:tcPr>
          <w:p>
            <w:pPr>
              <w:jc w:val="right"/>
            </w:pPr>
            <w:r/>
            <w:r>
              <w:rPr>
                <w:color w:val="1A1D21"/>
                <w:sz w:val="17"/>
              </w:rPr>
              <w:t>4,176</w:t>
            </w:r>
          </w:p>
        </w:tc>
        <w:tc>
          <w:tcPr>
            <w:tcW w:type="dxa" w:w="1020"/>
          </w:tcPr>
          <w:p>
            <w:pPr>
              <w:jc w:val="right"/>
            </w:pPr>
            <w:r/>
            <w:r>
              <w:rPr>
                <w:color w:val="1A1D21"/>
                <w:sz w:val="17"/>
              </w:rPr>
              <w:t>5,781</w:t>
            </w:r>
          </w:p>
        </w:tc>
        <w:tc>
          <w:tcPr>
            <w:tcW w:type="dxa" w:w="1020"/>
          </w:tcPr>
          <w:p>
            <w:pPr>
              <w:jc w:val="right"/>
            </w:pPr>
            <w:r/>
            <w:r>
              <w:rPr>
                <w:color w:val="1A1D21"/>
                <w:sz w:val="17"/>
              </w:rPr>
              <w:t>7,490</w:t>
            </w:r>
          </w:p>
        </w:tc>
        <w:tc>
          <w:tcPr>
            <w:tcW w:type="dxa" w:w="1020"/>
          </w:tcPr>
          <w:p>
            <w:pPr>
              <w:jc w:val="right"/>
            </w:pPr>
            <w:r/>
            <w:r>
              <w:rPr>
                <w:color w:val="1A1D21"/>
                <w:sz w:val="17"/>
              </w:rPr>
              <w:t>9,329</w:t>
            </w:r>
          </w:p>
        </w:tc>
        <w:tc>
          <w:tcPr>
            <w:tcW w:type="dxa" w:w="1020"/>
          </w:tcPr>
          <w:p>
            <w:pPr>
              <w:jc w:val="right"/>
            </w:pPr>
            <w:r/>
            <w:r>
              <w:rPr>
                <w:color w:val="1A1D21"/>
                <w:sz w:val="17"/>
              </w:rPr>
              <w:t>19,762</w:t>
            </w:r>
          </w:p>
        </w:tc>
        <w:tc>
          <w:tcPr>
            <w:tcW w:type="dxa" w:w="1020"/>
          </w:tcPr>
          <w:p>
            <w:pPr>
              <w:jc w:val="right"/>
            </w:pPr>
            <w:r/>
            <w:r>
              <w:rPr>
                <w:color w:val="1A1D21"/>
                <w:sz w:val="17"/>
              </w:rPr>
              <w:t>29,232</w:t>
            </w:r>
          </w:p>
        </w:tc>
      </w:tr>
      <w:tr>
        <w:trPr>
          <w:cantSplit/>
        </w:trPr>
        <w:tc>
          <w:tcPr>
            <w:tcW w:type="dxa" w:w="2024"/>
          </w:tcPr>
          <w:p>
            <w:r/>
            <w:r>
              <w:rPr>
                <w:color w:val="1A1D21"/>
                <w:sz w:val="17"/>
              </w:rPr>
              <w:t>Earnings per share (EGP)</w:t>
            </w:r>
          </w:p>
        </w:tc>
        <w:tc>
          <w:tcPr>
            <w:tcW w:type="dxa" w:w="1020"/>
          </w:tcPr>
          <w:p>
            <w:pPr>
              <w:jc w:val="right"/>
            </w:pPr>
            <w:r/>
            <w:r>
              <w:rPr>
                <w:color w:val="1A1D21"/>
                <w:sz w:val="17"/>
              </w:rPr>
              <w:t>0.93</w:t>
            </w:r>
          </w:p>
        </w:tc>
        <w:tc>
          <w:tcPr>
            <w:tcW w:type="dxa" w:w="1020"/>
          </w:tcPr>
          <w:p>
            <w:pPr>
              <w:jc w:val="right"/>
            </w:pPr>
            <w:r/>
            <w:r>
              <w:rPr>
                <w:color w:val="1A1D21"/>
                <w:sz w:val="17"/>
              </w:rPr>
              <w:t>1.46</w:t>
            </w:r>
          </w:p>
        </w:tc>
        <w:tc>
          <w:tcPr>
            <w:tcW w:type="dxa" w:w="1020"/>
          </w:tcPr>
          <w:p>
            <w:pPr>
              <w:jc w:val="right"/>
            </w:pPr>
            <w:r/>
            <w:r>
              <w:rPr>
                <w:color w:val="1A1D21"/>
                <w:sz w:val="17"/>
              </w:rPr>
              <w:t>2.02</w:t>
            </w:r>
          </w:p>
        </w:tc>
        <w:tc>
          <w:tcPr>
            <w:tcW w:type="dxa" w:w="1020"/>
          </w:tcPr>
          <w:p>
            <w:pPr>
              <w:jc w:val="right"/>
            </w:pPr>
            <w:r/>
            <w:r>
              <w:rPr>
                <w:color w:val="1A1D21"/>
                <w:sz w:val="17"/>
              </w:rPr>
              <w:t>2.62</w:t>
            </w:r>
          </w:p>
        </w:tc>
        <w:tc>
          <w:tcPr>
            <w:tcW w:type="dxa" w:w="1020"/>
          </w:tcPr>
          <w:p>
            <w:pPr>
              <w:jc w:val="right"/>
            </w:pPr>
            <w:r/>
            <w:r>
              <w:rPr>
                <w:color w:val="1A1D21"/>
                <w:sz w:val="17"/>
              </w:rPr>
              <w:t>3.26</w:t>
            </w:r>
          </w:p>
        </w:tc>
        <w:tc>
          <w:tcPr>
            <w:tcW w:type="dxa" w:w="1020"/>
          </w:tcPr>
          <w:p>
            <w:pPr>
              <w:jc w:val="right"/>
            </w:pPr>
            <w:r/>
            <w:r>
              <w:rPr>
                <w:color w:val="1A1D21"/>
                <w:sz w:val="17"/>
              </w:rPr>
              <w:t>6.91</w:t>
            </w:r>
          </w:p>
        </w:tc>
        <w:tc>
          <w:tcPr>
            <w:tcW w:type="dxa" w:w="1020"/>
          </w:tcPr>
          <w:p>
            <w:pPr>
              <w:jc w:val="right"/>
            </w:pPr>
            <w:r/>
            <w:r>
              <w:rPr>
                <w:color w:val="1A1D21"/>
                <w:sz w:val="17"/>
              </w:rPr>
              <w:t>10.22</w:t>
            </w:r>
          </w:p>
        </w:tc>
      </w:tr>
    </w:tbl>
    <w:p>
      <w:pPr>
        <w:spacing w:after="200"/>
      </w:pPr>
      <w:r>
        <w:rPr>
          <w:b w:val="0"/>
          <w:i/>
          <w:color w:val="5B6570"/>
          <w:sz w:val="16"/>
        </w:rPr>
        <w:t>FIFTEEN forecast years, 2026 to 2040, shown at the first five and then every fifth. This caption said five, and so did the workbook's own bridge row and the expert appendix, against a model that runs fifteen — which is not a wording slip: on a five-year window the terminal carries about 68 per cent of the answer instead of 36, so the label tells a reader the wrong thing about where the value comes from. Gross margin is a HELD input and cost per unit is solved from it, for the disclosure reason given in section 1.1. Years three to five should be read against the range in section 1.9, not as points.</w:t>
      </w:r>
    </w:p>
    <w:p>
      <w:pPr>
        <w:pStyle w:val="Heading2"/>
      </w:pPr>
      <w:r>
        <w:t>A.2  Balance sheet</w:t>
      </w:r>
    </w:p>
    <w:tbl>
      <w:tblPr>
        <w:tblStyle w:val="TableGrid"/>
        <w:tblW w:type="auto" w:w="0"/>
        <w:jc w:val="center"/>
        <w:tblLayout w:type="fixed"/>
        <w:tblLook w:firstColumn="1" w:firstRow="1" w:lastColumn="0" w:lastRow="0" w:noHBand="0" w:noVBand="1" w:val="04A0"/>
        <w:tblLayout w:type="fixed"/>
      </w:tblPr>
      <w:tblGrid>
        <w:gridCol w:w="5602"/>
        <w:gridCol w:w="1315"/>
        <w:gridCol w:w="1134"/>
        <w:gridCol w:w="1134"/>
      </w:tblGrid>
      <w:tr>
        <w:trPr>
          <w:tblHeader w:val="true"/>
        </w:trPr>
        <w:tc>
          <w:tcPr>
            <w:tcW w:type="dxa" w:w="5601"/>
          </w:tcPr>
          <w:p>
            <w:r/>
            <w:r>
              <w:rPr>
                <w:b/>
                <w:color w:val="5B6570"/>
                <w:sz w:val="17"/>
              </w:rPr>
              <w:t>EGP million, as reported</w:t>
            </w:r>
          </w:p>
        </w:tc>
        <w:tc>
          <w:tcPr>
            <w:tcW w:type="dxa" w:w="1315"/>
          </w:tcPr>
          <w:p>
            <w:r/>
            <w:r>
              <w:rPr>
                <w:b/>
                <w:color w:val="5B6570"/>
                <w:sz w:val="17"/>
              </w:rPr>
              <w:t>31 Mar 2026 (reviewed)</w:t>
            </w:r>
          </w:p>
        </w:tc>
        <w:tc>
          <w:tcPr>
            <w:tcW w:type="dxa" w:w="1134"/>
          </w:tcPr>
          <w:p>
            <w:r/>
            <w:r>
              <w:rPr>
                <w:b/>
                <w:color w:val="5B6570"/>
                <w:sz w:val="17"/>
              </w:rPr>
              <w:t>2025</w:t>
            </w:r>
          </w:p>
        </w:tc>
        <w:tc>
          <w:tcPr>
            <w:tcW w:type="dxa" w:w="1134"/>
          </w:tcPr>
          <w:p>
            <w:r/>
            <w:r>
              <w:rPr>
                <w:b/>
                <w:color w:val="5B6570"/>
                <w:sz w:val="17"/>
              </w:rPr>
              <w:t>2024</w:t>
            </w:r>
          </w:p>
        </w:tc>
      </w:tr>
      <w:tr>
        <w:trPr>
          <w:cantSplit/>
        </w:trPr>
        <w:tc>
          <w:tcPr>
            <w:tcW w:type="dxa" w:w="5601"/>
          </w:tcPr>
          <w:p>
            <w:r/>
            <w:r>
              <w:rPr>
                <w:color w:val="1A1D21"/>
                <w:sz w:val="17"/>
              </w:rPr>
              <w:t>Non-current assets</w:t>
            </w:r>
          </w:p>
        </w:tc>
        <w:tc>
          <w:tcPr>
            <w:tcW w:type="dxa" w:w="1315"/>
          </w:tcPr>
          <w:p>
            <w:pPr>
              <w:jc w:val="right"/>
            </w:pPr>
            <w:r/>
            <w:r>
              <w:rPr>
                <w:color w:val="1A1D21"/>
                <w:sz w:val="17"/>
              </w:rPr>
              <w:t>63,115.1</w:t>
            </w:r>
          </w:p>
        </w:tc>
        <w:tc>
          <w:tcPr>
            <w:tcW w:type="dxa" w:w="1134"/>
          </w:tcPr>
          <w:p>
            <w:pPr>
              <w:jc w:val="right"/>
            </w:pPr>
            <w:r/>
            <w:r>
              <w:rPr>
                <w:color w:val="1A1D21"/>
                <w:sz w:val="17"/>
              </w:rPr>
              <w:t>65,900.2</w:t>
            </w:r>
          </w:p>
        </w:tc>
        <w:tc>
          <w:tcPr>
            <w:tcW w:type="dxa" w:w="1134"/>
          </w:tcPr>
          <w:p>
            <w:pPr>
              <w:jc w:val="right"/>
            </w:pPr>
            <w:r/>
            <w:r>
              <w:rPr>
                <w:color w:val="1A1D21"/>
                <w:sz w:val="17"/>
              </w:rPr>
              <w:t>54,166.4</w:t>
            </w:r>
          </w:p>
        </w:tc>
      </w:tr>
      <w:tr>
        <w:trPr>
          <w:cantSplit/>
        </w:trPr>
        <w:tc>
          <w:tcPr>
            <w:tcW w:type="dxa" w:w="5601"/>
          </w:tcPr>
          <w:p>
            <w:r/>
            <w:r>
              <w:rPr>
                <w:color w:val="1A1D21"/>
                <w:sz w:val="17"/>
              </w:rPr>
              <w:t xml:space="preserve">  of which notes receivable, long term</w:t>
            </w:r>
          </w:p>
        </w:tc>
        <w:tc>
          <w:tcPr>
            <w:tcW w:type="dxa" w:w="1315"/>
          </w:tcPr>
          <w:p>
            <w:pPr>
              <w:jc w:val="right"/>
            </w:pPr>
            <w:r/>
            <w:r>
              <w:rPr>
                <w:color w:val="1A1D21"/>
                <w:sz w:val="17"/>
              </w:rPr>
              <w:t>53,187.9</w:t>
            </w:r>
          </w:p>
        </w:tc>
        <w:tc>
          <w:tcPr>
            <w:tcW w:type="dxa" w:w="1134"/>
          </w:tcPr>
          <w:p>
            <w:pPr>
              <w:jc w:val="right"/>
            </w:pPr>
            <w:r/>
            <w:r>
              <w:rPr>
                <w:color w:val="1A1D21"/>
                <w:sz w:val="17"/>
              </w:rPr>
              <w:t>56,319.8</w:t>
            </w:r>
          </w:p>
        </w:tc>
        <w:tc>
          <w:tcPr>
            <w:tcW w:type="dxa" w:w="1134"/>
          </w:tcPr>
          <w:p>
            <w:pPr>
              <w:jc w:val="right"/>
            </w:pPr>
            <w:r/>
            <w:r>
              <w:rPr>
                <w:color w:val="1A1D21"/>
                <w:sz w:val="17"/>
              </w:rPr>
              <w:t>46,309.1</w:t>
            </w:r>
          </w:p>
        </w:tc>
      </w:tr>
      <w:tr>
        <w:trPr>
          <w:cantSplit/>
        </w:trPr>
        <w:tc>
          <w:tcPr>
            <w:tcW w:type="dxa" w:w="5601"/>
          </w:tcPr>
          <w:p>
            <w:r/>
            <w:r>
              <w:rPr>
                <w:color w:val="1A1D21"/>
                <w:sz w:val="17"/>
              </w:rPr>
              <w:t>Current assets</w:t>
            </w:r>
          </w:p>
        </w:tc>
        <w:tc>
          <w:tcPr>
            <w:tcW w:type="dxa" w:w="1315"/>
          </w:tcPr>
          <w:p>
            <w:pPr>
              <w:jc w:val="right"/>
            </w:pPr>
            <w:r/>
            <w:r>
              <w:rPr>
                <w:color w:val="1A1D21"/>
                <w:sz w:val="17"/>
              </w:rPr>
              <w:t>114,863.9</w:t>
            </w:r>
          </w:p>
        </w:tc>
        <w:tc>
          <w:tcPr>
            <w:tcW w:type="dxa" w:w="1134"/>
          </w:tcPr>
          <w:p>
            <w:pPr>
              <w:jc w:val="right"/>
            </w:pPr>
            <w:r/>
            <w:r>
              <w:rPr>
                <w:color w:val="1A1D21"/>
                <w:sz w:val="17"/>
              </w:rPr>
              <w:t>106,229.6</w:t>
            </w:r>
          </w:p>
        </w:tc>
        <w:tc>
          <w:tcPr>
            <w:tcW w:type="dxa" w:w="1134"/>
          </w:tcPr>
          <w:p>
            <w:pPr>
              <w:jc w:val="right"/>
            </w:pPr>
            <w:r/>
            <w:r>
              <w:rPr>
                <w:color w:val="1A1D21"/>
                <w:sz w:val="17"/>
              </w:rPr>
              <w:t>69,270.9</w:t>
            </w:r>
          </w:p>
        </w:tc>
      </w:tr>
      <w:tr>
        <w:trPr>
          <w:cantSplit/>
        </w:trPr>
        <w:tc>
          <w:tcPr>
            <w:tcW w:type="dxa" w:w="5601"/>
          </w:tcPr>
          <w:p>
            <w:r/>
            <w:r>
              <w:rPr>
                <w:color w:val="1A1D21"/>
                <w:sz w:val="17"/>
              </w:rPr>
              <w:t xml:space="preserve">  of which work in progress</w:t>
            </w:r>
          </w:p>
        </w:tc>
        <w:tc>
          <w:tcPr>
            <w:tcW w:type="dxa" w:w="1315"/>
          </w:tcPr>
          <w:p>
            <w:pPr>
              <w:jc w:val="right"/>
            </w:pPr>
            <w:r/>
            <w:r>
              <w:rPr>
                <w:color w:val="1A1D21"/>
                <w:sz w:val="17"/>
              </w:rPr>
              <w:t>21,337.8</w:t>
            </w:r>
          </w:p>
        </w:tc>
        <w:tc>
          <w:tcPr>
            <w:tcW w:type="dxa" w:w="1134"/>
          </w:tcPr>
          <w:p>
            <w:pPr>
              <w:jc w:val="right"/>
            </w:pPr>
            <w:r/>
            <w:r>
              <w:rPr>
                <w:color w:val="1A1D21"/>
                <w:sz w:val="17"/>
              </w:rPr>
              <w:t>17,570.9</w:t>
            </w:r>
          </w:p>
        </w:tc>
        <w:tc>
          <w:tcPr>
            <w:tcW w:type="dxa" w:w="1134"/>
          </w:tcPr>
          <w:p>
            <w:pPr>
              <w:jc w:val="right"/>
            </w:pPr>
            <w:r/>
            <w:r>
              <w:rPr>
                <w:color w:val="1A1D21"/>
                <w:sz w:val="17"/>
              </w:rPr>
              <w:t>13,209.8</w:t>
            </w:r>
          </w:p>
        </w:tc>
      </w:tr>
      <w:tr>
        <w:trPr>
          <w:cantSplit/>
        </w:trPr>
        <w:tc>
          <w:tcPr>
            <w:tcW w:type="dxa" w:w="5601"/>
          </w:tcPr>
          <w:p>
            <w:r/>
            <w:r>
              <w:rPr>
                <w:color w:val="1A1D21"/>
                <w:sz w:val="17"/>
              </w:rPr>
              <w:t xml:space="preserve">  of which trade receivables</w:t>
            </w:r>
          </w:p>
        </w:tc>
        <w:tc>
          <w:tcPr>
            <w:tcW w:type="dxa" w:w="1315"/>
          </w:tcPr>
          <w:p>
            <w:pPr>
              <w:jc w:val="right"/>
            </w:pPr>
            <w:r/>
            <w:r>
              <w:rPr>
                <w:color w:val="1A1D21"/>
                <w:sz w:val="17"/>
              </w:rPr>
              <w:t>30,481.0</w:t>
            </w:r>
          </w:p>
        </w:tc>
        <w:tc>
          <w:tcPr>
            <w:tcW w:type="dxa" w:w="1134"/>
          </w:tcPr>
          <w:p>
            <w:pPr>
              <w:jc w:val="right"/>
            </w:pPr>
            <w:r/>
            <w:r>
              <w:rPr>
                <w:color w:val="1A1D21"/>
                <w:sz w:val="17"/>
              </w:rPr>
              <w:t>28,118.1</w:t>
            </w:r>
          </w:p>
        </w:tc>
        <w:tc>
          <w:tcPr>
            <w:tcW w:type="dxa" w:w="1134"/>
          </w:tcPr>
          <w:p>
            <w:pPr>
              <w:jc w:val="right"/>
            </w:pPr>
            <w:r/>
            <w:r>
              <w:rPr>
                <w:color w:val="1A1D21"/>
                <w:sz w:val="17"/>
              </w:rPr>
              <w:t>15,561.1</w:t>
            </w:r>
          </w:p>
        </w:tc>
      </w:tr>
      <w:tr>
        <w:trPr>
          <w:cantSplit/>
        </w:trPr>
        <w:tc>
          <w:tcPr>
            <w:tcW w:type="dxa" w:w="5601"/>
          </w:tcPr>
          <w:p>
            <w:r/>
            <w:r>
              <w:rPr>
                <w:color w:val="1A1D21"/>
                <w:sz w:val="17"/>
              </w:rPr>
              <w:t xml:space="preserve">  of which notes receivable, short term</w:t>
            </w:r>
          </w:p>
        </w:tc>
        <w:tc>
          <w:tcPr>
            <w:tcW w:type="dxa" w:w="1315"/>
          </w:tcPr>
          <w:p>
            <w:pPr>
              <w:jc w:val="right"/>
            </w:pPr>
            <w:r/>
            <w:r>
              <w:rPr>
                <w:color w:val="1A1D21"/>
                <w:sz w:val="17"/>
              </w:rPr>
              <w:t>17,788.2</w:t>
            </w:r>
          </w:p>
        </w:tc>
        <w:tc>
          <w:tcPr>
            <w:tcW w:type="dxa" w:w="1134"/>
          </w:tcPr>
          <w:p>
            <w:pPr>
              <w:jc w:val="right"/>
            </w:pPr>
            <w:r/>
            <w:r>
              <w:rPr>
                <w:color w:val="1A1D21"/>
                <w:sz w:val="17"/>
              </w:rPr>
              <w:t>19,073.0</w:t>
            </w:r>
          </w:p>
        </w:tc>
        <w:tc>
          <w:tcPr>
            <w:tcW w:type="dxa" w:w="1134"/>
          </w:tcPr>
          <w:p>
            <w:pPr>
              <w:jc w:val="right"/>
            </w:pPr>
            <w:r/>
            <w:r>
              <w:rPr>
                <w:color w:val="1A1D21"/>
                <w:sz w:val="17"/>
              </w:rPr>
              <w:t>15,148.4</w:t>
            </w:r>
          </w:p>
        </w:tc>
      </w:tr>
      <w:tr>
        <w:trPr>
          <w:cantSplit/>
        </w:trPr>
        <w:tc>
          <w:tcPr>
            <w:tcW w:type="dxa" w:w="5601"/>
          </w:tcPr>
          <w:p>
            <w:r/>
            <w:r>
              <w:rPr>
                <w:color w:val="1A1D21"/>
                <w:sz w:val="17"/>
              </w:rPr>
              <w:t xml:space="preserve">  of which cash</w:t>
            </w:r>
          </w:p>
        </w:tc>
        <w:tc>
          <w:tcPr>
            <w:tcW w:type="dxa" w:w="1315"/>
          </w:tcPr>
          <w:p>
            <w:pPr>
              <w:jc w:val="right"/>
            </w:pPr>
            <w:r/>
            <w:r>
              <w:rPr>
                <w:color w:val="1A1D21"/>
                <w:sz w:val="17"/>
              </w:rPr>
              <w:t>9,125.1</w:t>
            </w:r>
          </w:p>
        </w:tc>
        <w:tc>
          <w:tcPr>
            <w:tcW w:type="dxa" w:w="1134"/>
          </w:tcPr>
          <w:p>
            <w:pPr>
              <w:jc w:val="right"/>
            </w:pPr>
            <w:r/>
            <w:r>
              <w:rPr>
                <w:color w:val="1A1D21"/>
                <w:sz w:val="17"/>
              </w:rPr>
              <w:t>9,419.5</w:t>
            </w:r>
          </w:p>
        </w:tc>
        <w:tc>
          <w:tcPr>
            <w:tcW w:type="dxa" w:w="1134"/>
          </w:tcPr>
          <w:p>
            <w:pPr>
              <w:jc w:val="right"/>
            </w:pPr>
            <w:r/>
            <w:r>
              <w:rPr>
                <w:color w:val="1A1D21"/>
                <w:sz w:val="17"/>
              </w:rPr>
              <w:t>6,372.4</w:t>
            </w:r>
          </w:p>
        </w:tc>
      </w:tr>
      <w:tr>
        <w:trPr>
          <w:cantSplit/>
        </w:trPr>
        <w:tc>
          <w:tcPr>
            <w:tcW w:type="dxa" w:w="5601"/>
          </w:tcPr>
          <w:p>
            <w:r/>
            <w:r>
              <w:rPr>
                <w:color w:val="1A1D21"/>
                <w:sz w:val="17"/>
              </w:rPr>
              <w:t>Total assets</w:t>
            </w:r>
          </w:p>
        </w:tc>
        <w:tc>
          <w:tcPr>
            <w:tcW w:type="dxa" w:w="1315"/>
          </w:tcPr>
          <w:p>
            <w:pPr>
              <w:jc w:val="right"/>
            </w:pPr>
            <w:r/>
            <w:r>
              <w:rPr>
                <w:color w:val="1A1D21"/>
                <w:sz w:val="17"/>
              </w:rPr>
              <w:t>177,979.0</w:t>
            </w:r>
          </w:p>
        </w:tc>
        <w:tc>
          <w:tcPr>
            <w:tcW w:type="dxa" w:w="1134"/>
          </w:tcPr>
          <w:p>
            <w:pPr>
              <w:jc w:val="right"/>
            </w:pPr>
            <w:r/>
            <w:r>
              <w:rPr>
                <w:color w:val="1A1D21"/>
                <w:sz w:val="17"/>
              </w:rPr>
              <w:t>172,129.8</w:t>
            </w:r>
          </w:p>
        </w:tc>
        <w:tc>
          <w:tcPr>
            <w:tcW w:type="dxa" w:w="1134"/>
          </w:tcPr>
          <w:p>
            <w:pPr>
              <w:jc w:val="right"/>
            </w:pPr>
            <w:r/>
            <w:r>
              <w:rPr>
                <w:color w:val="1A1D21"/>
                <w:sz w:val="17"/>
              </w:rPr>
              <w:t>123,437.3</w:t>
            </w:r>
          </w:p>
        </w:tc>
      </w:tr>
      <w:tr>
        <w:trPr>
          <w:cantSplit/>
        </w:trPr>
        <w:tc>
          <w:tcPr>
            <w:tcW w:type="dxa" w:w="5601"/>
          </w:tcPr>
          <w:p>
            <w:r/>
            <w:r>
              <w:rPr>
                <w:color w:val="1A1D21"/>
                <w:sz w:val="17"/>
              </w:rPr>
              <w:t>Current liabilities</w:t>
            </w:r>
          </w:p>
        </w:tc>
        <w:tc>
          <w:tcPr>
            <w:tcW w:type="dxa" w:w="1315"/>
          </w:tcPr>
          <w:p>
            <w:pPr>
              <w:jc w:val="right"/>
            </w:pPr>
            <w:r/>
            <w:r>
              <w:rPr>
                <w:color w:val="1A1D21"/>
                <w:sz w:val="17"/>
              </w:rPr>
              <w:t>108,093.2</w:t>
            </w:r>
          </w:p>
        </w:tc>
        <w:tc>
          <w:tcPr>
            <w:tcW w:type="dxa" w:w="1134"/>
          </w:tcPr>
          <w:p>
            <w:pPr>
              <w:jc w:val="right"/>
            </w:pPr>
            <w:r/>
            <w:r>
              <w:rPr>
                <w:color w:val="1A1D21"/>
                <w:sz w:val="17"/>
              </w:rPr>
              <w:t>105,099.0</w:t>
            </w:r>
          </w:p>
        </w:tc>
        <w:tc>
          <w:tcPr>
            <w:tcW w:type="dxa" w:w="1134"/>
          </w:tcPr>
          <w:p>
            <w:pPr>
              <w:jc w:val="right"/>
            </w:pPr>
            <w:r/>
            <w:r>
              <w:rPr>
                <w:color w:val="1A1D21"/>
                <w:sz w:val="17"/>
              </w:rPr>
              <w:t>74,496.9</w:t>
            </w:r>
          </w:p>
        </w:tc>
      </w:tr>
      <w:tr>
        <w:trPr>
          <w:cantSplit/>
        </w:trPr>
        <w:tc>
          <w:tcPr>
            <w:tcW w:type="dxa" w:w="5601"/>
          </w:tcPr>
          <w:p>
            <w:r/>
            <w:r>
              <w:rPr>
                <w:color w:val="1A1D21"/>
                <w:sz w:val="17"/>
              </w:rPr>
              <w:t xml:space="preserve">  of which advances from customers</w:t>
            </w:r>
          </w:p>
        </w:tc>
        <w:tc>
          <w:tcPr>
            <w:tcW w:type="dxa" w:w="1315"/>
          </w:tcPr>
          <w:p>
            <w:pPr>
              <w:jc w:val="right"/>
            </w:pPr>
            <w:r/>
            <w:r>
              <w:rPr>
                <w:color w:val="1A1D21"/>
                <w:sz w:val="17"/>
              </w:rPr>
              <w:t>72,867.8</w:t>
            </w:r>
          </w:p>
        </w:tc>
        <w:tc>
          <w:tcPr>
            <w:tcW w:type="dxa" w:w="1134"/>
          </w:tcPr>
          <w:p>
            <w:pPr>
              <w:jc w:val="right"/>
            </w:pPr>
            <w:r/>
            <w:r>
              <w:rPr>
                <w:color w:val="1A1D21"/>
                <w:sz w:val="17"/>
              </w:rPr>
              <w:t>69,354.1</w:t>
            </w:r>
          </w:p>
        </w:tc>
        <w:tc>
          <w:tcPr>
            <w:tcW w:type="dxa" w:w="1134"/>
          </w:tcPr>
          <w:p>
            <w:pPr>
              <w:jc w:val="right"/>
            </w:pPr>
            <w:r/>
            <w:r>
              <w:rPr>
                <w:color w:val="1A1D21"/>
                <w:sz w:val="17"/>
              </w:rPr>
              <w:t>47,403.8</w:t>
            </w:r>
          </w:p>
        </w:tc>
      </w:tr>
      <w:tr>
        <w:trPr>
          <w:cantSplit/>
        </w:trPr>
        <w:tc>
          <w:tcPr>
            <w:tcW w:type="dxa" w:w="5601"/>
          </w:tcPr>
          <w:p>
            <w:r/>
            <w:r>
              <w:rPr>
                <w:color w:val="1A1D21"/>
                <w:sz w:val="17"/>
              </w:rPr>
              <w:t xml:space="preserve">  of which suppliers</w:t>
            </w:r>
          </w:p>
        </w:tc>
        <w:tc>
          <w:tcPr>
            <w:tcW w:type="dxa" w:w="1315"/>
          </w:tcPr>
          <w:p>
            <w:pPr>
              <w:jc w:val="right"/>
            </w:pPr>
            <w:r/>
            <w:r>
              <w:rPr>
                <w:color w:val="1A1D21"/>
                <w:sz w:val="17"/>
              </w:rPr>
              <w:t>5,340.1</w:t>
            </w:r>
          </w:p>
        </w:tc>
        <w:tc>
          <w:tcPr>
            <w:tcW w:type="dxa" w:w="1134"/>
          </w:tcPr>
          <w:p>
            <w:pPr>
              <w:jc w:val="right"/>
            </w:pPr>
            <w:r/>
            <w:r>
              <w:rPr>
                <w:color w:val="1A1D21"/>
                <w:sz w:val="17"/>
              </w:rPr>
              <w:t>3,807.0</w:t>
            </w:r>
          </w:p>
        </w:tc>
        <w:tc>
          <w:tcPr>
            <w:tcW w:type="dxa" w:w="1134"/>
          </w:tcPr>
          <w:p>
            <w:pPr>
              <w:jc w:val="right"/>
            </w:pPr>
            <w:r/>
            <w:r>
              <w:rPr>
                <w:color w:val="1A1D21"/>
                <w:sz w:val="17"/>
              </w:rPr>
              <w:t>3,426.7</w:t>
            </w:r>
          </w:p>
        </w:tc>
      </w:tr>
      <w:tr>
        <w:trPr>
          <w:cantSplit/>
        </w:trPr>
        <w:tc>
          <w:tcPr>
            <w:tcW w:type="dxa" w:w="5601"/>
          </w:tcPr>
          <w:p>
            <w:r/>
            <w:r>
              <w:rPr>
                <w:color w:val="1A1D21"/>
                <w:sz w:val="17"/>
              </w:rPr>
              <w:t>Non-current liabilities</w:t>
            </w:r>
          </w:p>
        </w:tc>
        <w:tc>
          <w:tcPr>
            <w:tcW w:type="dxa" w:w="1315"/>
          </w:tcPr>
          <w:p>
            <w:pPr>
              <w:jc w:val="right"/>
            </w:pPr>
            <w:r/>
            <w:r>
              <w:rPr>
                <w:color w:val="1A1D21"/>
                <w:sz w:val="17"/>
              </w:rPr>
              <w:t>49,497.4</w:t>
            </w:r>
          </w:p>
        </w:tc>
        <w:tc>
          <w:tcPr>
            <w:tcW w:type="dxa" w:w="1134"/>
          </w:tcPr>
          <w:p>
            <w:pPr>
              <w:jc w:val="right"/>
            </w:pPr>
            <w:r/>
            <w:r>
              <w:rPr>
                <w:color w:val="1A1D21"/>
                <w:sz w:val="17"/>
              </w:rPr>
              <w:t>48,265.1</w:t>
            </w:r>
          </w:p>
        </w:tc>
        <w:tc>
          <w:tcPr>
            <w:tcW w:type="dxa" w:w="1134"/>
          </w:tcPr>
          <w:p>
            <w:pPr>
              <w:jc w:val="right"/>
            </w:pPr>
            <w:r/>
            <w:r>
              <w:rPr>
                <w:color w:val="1A1D21"/>
                <w:sz w:val="17"/>
              </w:rPr>
              <w:t>34,315.7</w:t>
            </w:r>
          </w:p>
        </w:tc>
      </w:tr>
      <w:tr>
        <w:trPr>
          <w:cantSplit/>
        </w:trPr>
        <w:tc>
          <w:tcPr>
            <w:tcW w:type="dxa" w:w="5601"/>
          </w:tcPr>
          <w:p>
            <w:r/>
            <w:r>
              <w:rPr>
                <w:color w:val="1A1D21"/>
                <w:sz w:val="17"/>
              </w:rPr>
              <w:t>Total liabilities</w:t>
            </w:r>
          </w:p>
        </w:tc>
        <w:tc>
          <w:tcPr>
            <w:tcW w:type="dxa" w:w="1315"/>
          </w:tcPr>
          <w:p>
            <w:pPr>
              <w:jc w:val="right"/>
            </w:pPr>
            <w:r/>
            <w:r>
              <w:rPr>
                <w:color w:val="1A1D21"/>
                <w:sz w:val="17"/>
              </w:rPr>
              <w:t>157,590.6</w:t>
            </w:r>
          </w:p>
        </w:tc>
        <w:tc>
          <w:tcPr>
            <w:tcW w:type="dxa" w:w="1134"/>
          </w:tcPr>
          <w:p>
            <w:pPr>
              <w:jc w:val="right"/>
            </w:pPr>
            <w:r/>
            <w:r>
              <w:rPr>
                <w:color w:val="1A1D21"/>
                <w:sz w:val="17"/>
              </w:rPr>
              <w:t>153,364.1</w:t>
            </w:r>
          </w:p>
        </w:tc>
        <w:tc>
          <w:tcPr>
            <w:tcW w:type="dxa" w:w="1134"/>
          </w:tcPr>
          <w:p>
            <w:pPr>
              <w:jc w:val="right"/>
            </w:pPr>
            <w:r/>
            <w:r>
              <w:rPr>
                <w:color w:val="1A1D21"/>
                <w:sz w:val="17"/>
              </w:rPr>
              <w:t>108,812.6</w:t>
            </w:r>
          </w:p>
        </w:tc>
      </w:tr>
      <w:tr>
        <w:trPr>
          <w:cantSplit/>
        </w:trPr>
        <w:tc>
          <w:tcPr>
            <w:tcW w:type="dxa" w:w="5601"/>
          </w:tcPr>
          <w:p>
            <w:r/>
            <w:r>
              <w:rPr>
                <w:color w:val="1A1D21"/>
                <w:sz w:val="17"/>
              </w:rPr>
              <w:t>Shareholders' funds</w:t>
            </w:r>
          </w:p>
        </w:tc>
        <w:tc>
          <w:tcPr>
            <w:tcW w:type="dxa" w:w="1315"/>
          </w:tcPr>
          <w:p>
            <w:pPr>
              <w:jc w:val="right"/>
            </w:pPr>
            <w:r/>
            <w:r>
              <w:rPr>
                <w:color w:val="1A1D21"/>
                <w:sz w:val="17"/>
              </w:rPr>
              <w:t>20,388.4</w:t>
            </w:r>
          </w:p>
        </w:tc>
        <w:tc>
          <w:tcPr>
            <w:tcW w:type="dxa" w:w="1134"/>
          </w:tcPr>
          <w:p>
            <w:pPr>
              <w:jc w:val="right"/>
            </w:pPr>
            <w:r/>
            <w:r>
              <w:rPr>
                <w:color w:val="1A1D21"/>
                <w:sz w:val="17"/>
              </w:rPr>
              <w:t>18,765.8</w:t>
            </w:r>
          </w:p>
        </w:tc>
        <w:tc>
          <w:tcPr>
            <w:tcW w:type="dxa" w:w="1134"/>
          </w:tcPr>
          <w:p>
            <w:pPr>
              <w:jc w:val="right"/>
            </w:pPr>
            <w:r/>
            <w:r>
              <w:rPr>
                <w:color w:val="1A1D21"/>
                <w:sz w:val="17"/>
              </w:rPr>
              <w:t>14,624.7</w:t>
            </w:r>
          </w:p>
        </w:tc>
      </w:tr>
      <w:tr>
        <w:trPr>
          <w:cantSplit/>
        </w:trPr>
        <w:tc>
          <w:tcPr>
            <w:tcW w:type="dxa" w:w="5601"/>
          </w:tcPr>
          <w:p>
            <w:r/>
            <w:r>
              <w:rPr>
                <w:color w:val="1A1D21"/>
                <w:sz w:val="17"/>
              </w:rPr>
              <w:t xml:space="preserve">  of which attributable to the parent</w:t>
            </w:r>
          </w:p>
        </w:tc>
        <w:tc>
          <w:tcPr>
            <w:tcW w:type="dxa" w:w="1315"/>
          </w:tcPr>
          <w:p>
            <w:pPr>
              <w:jc w:val="right"/>
            </w:pPr>
            <w:r/>
            <w:r>
              <w:rPr>
                <w:color w:val="1A1D21"/>
                <w:sz w:val="17"/>
              </w:rPr>
              <w:t>18,955.7</w:t>
            </w:r>
          </w:p>
        </w:tc>
        <w:tc>
          <w:tcPr>
            <w:tcW w:type="dxa" w:w="1134"/>
          </w:tcPr>
          <w:p>
            <w:pPr>
              <w:jc w:val="right"/>
            </w:pPr>
            <w:r/>
            <w:r>
              <w:rPr>
                <w:color w:val="1A1D21"/>
                <w:sz w:val="17"/>
              </w:rPr>
              <w:t>17,431.4</w:t>
            </w:r>
          </w:p>
        </w:tc>
        <w:tc>
          <w:tcPr>
            <w:tcW w:type="dxa" w:w="1134"/>
          </w:tcPr>
          <w:p>
            <w:r/>
            <w:r>
              <w:rPr>
                <w:color w:val="1A1D21"/>
                <w:sz w:val="17"/>
              </w:rPr>
              <w:t>n/a</w:t>
            </w:r>
          </w:p>
        </w:tc>
      </w:tr>
      <w:tr>
        <w:trPr>
          <w:cantSplit/>
        </w:trPr>
        <w:tc>
          <w:tcPr>
            <w:tcW w:type="dxa" w:w="5601"/>
          </w:tcPr>
          <w:p>
            <w:r/>
            <w:r>
              <w:rPr>
                <w:color w:val="1A1D21"/>
                <w:sz w:val="17"/>
              </w:rPr>
              <w:t xml:space="preserve">  of which minority interests</w:t>
            </w:r>
          </w:p>
        </w:tc>
        <w:tc>
          <w:tcPr>
            <w:tcW w:type="dxa" w:w="1315"/>
          </w:tcPr>
          <w:p>
            <w:pPr>
              <w:jc w:val="right"/>
            </w:pPr>
            <w:r/>
            <w:r>
              <w:rPr>
                <w:color w:val="1A1D21"/>
                <w:sz w:val="17"/>
              </w:rPr>
              <w:t>1,432.7</w:t>
            </w:r>
          </w:p>
        </w:tc>
        <w:tc>
          <w:tcPr>
            <w:tcW w:type="dxa" w:w="1134"/>
          </w:tcPr>
          <w:p>
            <w:pPr>
              <w:jc w:val="right"/>
            </w:pPr>
            <w:r/>
            <w:r>
              <w:rPr>
                <w:color w:val="1A1D21"/>
                <w:sz w:val="17"/>
              </w:rPr>
              <w:t>1,334.3</w:t>
            </w:r>
          </w:p>
        </w:tc>
        <w:tc>
          <w:tcPr>
            <w:tcW w:type="dxa" w:w="1134"/>
          </w:tcPr>
          <w:p>
            <w:r/>
            <w:r>
              <w:rPr>
                <w:color w:val="1A1D21"/>
                <w:sz w:val="17"/>
              </w:rPr>
              <w:t>n/a</w:t>
            </w:r>
          </w:p>
        </w:tc>
      </w:tr>
      <w:tr>
        <w:trPr>
          <w:cantSplit/>
        </w:trPr>
        <w:tc>
          <w:tcPr>
            <w:tcW w:type="dxa" w:w="5601"/>
          </w:tcPr>
          <w:p>
            <w:r/>
            <w:r>
              <w:rPr>
                <w:color w:val="1A1D21"/>
                <w:sz w:val="17"/>
              </w:rPr>
              <w:t>Total equity and liabilities</w:t>
            </w:r>
          </w:p>
        </w:tc>
        <w:tc>
          <w:tcPr>
            <w:tcW w:type="dxa" w:w="1315"/>
          </w:tcPr>
          <w:p>
            <w:pPr>
              <w:jc w:val="right"/>
            </w:pPr>
            <w:r/>
            <w:r>
              <w:rPr>
                <w:color w:val="1A1D21"/>
                <w:sz w:val="17"/>
              </w:rPr>
              <w:t>177,979.0</w:t>
            </w:r>
          </w:p>
        </w:tc>
        <w:tc>
          <w:tcPr>
            <w:tcW w:type="dxa" w:w="1134"/>
          </w:tcPr>
          <w:p>
            <w:pPr>
              <w:jc w:val="right"/>
            </w:pPr>
            <w:r/>
            <w:r>
              <w:rPr>
                <w:color w:val="1A1D21"/>
                <w:sz w:val="17"/>
              </w:rPr>
              <w:t>172,129.8</w:t>
            </w:r>
          </w:p>
        </w:tc>
        <w:tc>
          <w:tcPr>
            <w:tcW w:type="dxa" w:w="1134"/>
          </w:tcPr>
          <w:p>
            <w:pPr>
              <w:jc w:val="right"/>
            </w:pPr>
            <w:r/>
            <w:r>
              <w:rPr>
                <w:color w:val="1A1D21"/>
                <w:sz w:val="17"/>
              </w:rPr>
              <w:t>123,437.3</w:t>
            </w:r>
          </w:p>
        </w:tc>
      </w:tr>
    </w:tbl>
    <w:p>
      <w:pPr>
        <w:spacing w:after="200"/>
      </w:pPr>
      <w:r>
        <w:rPr>
          <w:b w:val="0"/>
          <w:i/>
          <w:color w:val="5B6570"/>
          <w:sz w:val="16"/>
        </w:rPr>
        <w:t>As reported. Total assets equal total liabilities plus shareholders' funds on all three dates, and each subtotal reconciles to its components. The March 2026 column is the reviewed interim statement and is the sheet the bridge, the book value and the borrowings stand on; the split of shareholders' funds is not carried in the 2024 comparative column the study holds.</w:t>
      </w:r>
    </w:p>
    <w:p>
      <w:pPr>
        <w:pStyle w:val="Heading2"/>
      </w:pPr>
      <w:r>
        <w:t>A.3  Forecast balance sheet and cash flow</w:t>
      </w:r>
    </w:p>
    <w:p>
      <w:pPr>
        <w:spacing w:after="140"/>
      </w:pPr>
      <w:r>
        <w:rPr>
          <w:b w:val="0"/>
          <w:i w:val="0"/>
          <w:color w:val="1A1D21"/>
          <w:sz w:val="20"/>
        </w:rPr>
        <w:t>Because the balance sheet and the cash-flow statement disagree about 2025 by EGP 16,938 million, and that difference cannot be split from what has been disclosed, the forecast is published two ways. Neither is averaged into the other. Both rest on the same income statement above; they differ only in what they hold fixed about cash.</w:t>
      </w:r>
    </w:p>
    <w:p>
      <w:pPr>
        <w:pStyle w:val="ListBullet"/>
        <w:spacing w:after="60"/>
      </w:pPr>
      <w:r>
        <w:rPr>
          <w:color w:val="1A1D21"/>
          <w:sz w:val="20"/>
        </w:rPr>
        <w:t>The first holds the collection cycle. Every working-capital line stays at the ratio to revenue it stood at in 2025, the balance sheet is built from those ratios, and operating cash is what is left. It asks what the growth costs to fund if nothing about collection changes.</w:t>
      </w:r>
    </w:p>
    <w:p>
      <w:pPr>
        <w:pStyle w:val="ListBullet"/>
        <w:spacing w:after="60"/>
      </w:pPr>
      <w:r>
        <w:rPr>
          <w:color w:val="1A1D21"/>
          <w:sz w:val="20"/>
        </w:rPr>
        <w:t>The second holds cash conversion. Operating cash is set at the company's own disclosed rate — 4.3, 17.9 and 3.9 per cent of revenue in the three published years, 8.7 per cent on average — and working capital is what is left. It asks what the collection cycle must do for the cash to keep converting as it has.</w:t>
      </w:r>
    </w:p>
    <w:p>
      <w:pPr>
        <w:spacing w:after="140"/>
      </w:pPr>
      <w:r>
        <w:rPr>
          <w:b w:val="0"/>
          <w:i w:val="0"/>
          <w:color w:val="1A1D21"/>
          <w:sz w:val="20"/>
        </w:rPr>
        <w:t>The valuation stands on the second, because that is the reading the company's own cash-flow statements support. The first is printed beside it because the two do not agree, and a single set of figures would hide that they don't.</w:t>
      </w:r>
    </w:p>
    <w:p>
      <w:pPr>
        <w:pStyle w:val="Heading3"/>
      </w:pPr>
      <w:r>
        <w:t>If cash conversion holds — the basis of the valuation</w:t>
      </w:r>
    </w:p>
    <w:tbl>
      <w:tblPr>
        <w:tblStyle w:val="TableGrid"/>
        <w:tblW w:type="auto" w:w="0"/>
        <w:jc w:val="center"/>
        <w:tblLayout w:type="fixed"/>
        <w:tblLook w:firstColumn="1" w:firstRow="1" w:lastColumn="0" w:lastRow="0" w:noHBand="0" w:noVBand="1" w:val="04A0"/>
        <w:tblLayout w:type="fixed"/>
      </w:tblPr>
      <w:tblGrid>
        <w:gridCol w:w="2421"/>
        <w:gridCol w:w="964"/>
        <w:gridCol w:w="964"/>
        <w:gridCol w:w="964"/>
        <w:gridCol w:w="964"/>
        <w:gridCol w:w="964"/>
        <w:gridCol w:w="964"/>
        <w:gridCol w:w="964"/>
      </w:tblGrid>
      <w:tr>
        <w:trPr>
          <w:tblHeader w:val="true"/>
        </w:trPr>
        <w:tc>
          <w:tcPr>
            <w:tcW w:type="dxa" w:w="2421"/>
          </w:tcPr>
          <w:p>
            <w:r/>
            <w:r>
              <w:rPr>
                <w:b/>
                <w:color w:val="5B6570"/>
                <w:sz w:val="17"/>
              </w:rPr>
              <w:t>Forecast balance sheet, EGP million</w:t>
            </w:r>
          </w:p>
        </w:tc>
        <w:tc>
          <w:tcPr>
            <w:tcW w:type="dxa" w:w="964"/>
          </w:tcPr>
          <w:p>
            <w:r/>
            <w:r>
              <w:rPr>
                <w:b/>
                <w:color w:val="5B6570"/>
                <w:sz w:val="17"/>
              </w:rPr>
              <w:t>2026</w:t>
            </w:r>
          </w:p>
        </w:tc>
        <w:tc>
          <w:tcPr>
            <w:tcW w:type="dxa" w:w="964"/>
          </w:tcPr>
          <w:p>
            <w:r/>
            <w:r>
              <w:rPr>
                <w:b/>
                <w:color w:val="5B6570"/>
                <w:sz w:val="17"/>
              </w:rPr>
              <w:t>2027</w:t>
            </w:r>
          </w:p>
        </w:tc>
        <w:tc>
          <w:tcPr>
            <w:tcW w:type="dxa" w:w="964"/>
          </w:tcPr>
          <w:p>
            <w:r/>
            <w:r>
              <w:rPr>
                <w:b/>
                <w:color w:val="5B6570"/>
                <w:sz w:val="17"/>
              </w:rPr>
              <w:t>2028</w:t>
            </w:r>
          </w:p>
        </w:tc>
        <w:tc>
          <w:tcPr>
            <w:tcW w:type="dxa" w:w="964"/>
          </w:tcPr>
          <w:p>
            <w:r/>
            <w:r>
              <w:rPr>
                <w:b/>
                <w:color w:val="5B6570"/>
                <w:sz w:val="17"/>
              </w:rPr>
              <w:t>2029</w:t>
            </w:r>
          </w:p>
        </w:tc>
        <w:tc>
          <w:tcPr>
            <w:tcW w:type="dxa" w:w="964"/>
          </w:tcPr>
          <w:p>
            <w:r/>
            <w:r>
              <w:rPr>
                <w:b/>
                <w:color w:val="5B6570"/>
                <w:sz w:val="17"/>
              </w:rPr>
              <w:t>2030</w:t>
            </w:r>
          </w:p>
        </w:tc>
        <w:tc>
          <w:tcPr>
            <w:tcW w:type="dxa" w:w="964"/>
          </w:tcPr>
          <w:p>
            <w:r/>
            <w:r>
              <w:rPr>
                <w:b/>
                <w:color w:val="5B6570"/>
                <w:sz w:val="17"/>
              </w:rPr>
              <w:t>2035</w:t>
            </w:r>
          </w:p>
        </w:tc>
        <w:tc>
          <w:tcPr>
            <w:tcW w:type="dxa" w:w="964"/>
          </w:tcPr>
          <w:p>
            <w:r/>
            <w:r>
              <w:rPr>
                <w:b/>
                <w:color w:val="5B6570"/>
                <w:sz w:val="17"/>
              </w:rPr>
              <w:t>2040</w:t>
            </w:r>
          </w:p>
        </w:tc>
      </w:tr>
      <w:tr>
        <w:trPr>
          <w:cantSplit/>
        </w:trPr>
        <w:tc>
          <w:tcPr>
            <w:tcW w:type="dxa" w:w="2421"/>
          </w:tcPr>
          <w:p>
            <w:r/>
            <w:r>
              <w:rPr>
                <w:color w:val="1A1D21"/>
                <w:sz w:val="17"/>
              </w:rPr>
              <w:t>Trade and notes receivable</w:t>
            </w:r>
          </w:p>
        </w:tc>
        <w:tc>
          <w:tcPr>
            <w:tcW w:type="dxa" w:w="964"/>
          </w:tcPr>
          <w:p>
            <w:pPr>
              <w:jc w:val="right"/>
            </w:pPr>
            <w:r/>
            <w:r>
              <w:rPr>
                <w:color w:val="1A1D21"/>
                <w:sz w:val="17"/>
              </w:rPr>
              <w:t>102,757</w:t>
            </w:r>
          </w:p>
        </w:tc>
        <w:tc>
          <w:tcPr>
            <w:tcW w:type="dxa" w:w="964"/>
          </w:tcPr>
          <w:p>
            <w:pPr>
              <w:jc w:val="right"/>
            </w:pPr>
            <w:r/>
            <w:r>
              <w:rPr>
                <w:color w:val="1A1D21"/>
                <w:sz w:val="17"/>
              </w:rPr>
              <w:t>103,027</w:t>
            </w:r>
          </w:p>
        </w:tc>
        <w:tc>
          <w:tcPr>
            <w:tcW w:type="dxa" w:w="964"/>
          </w:tcPr>
          <w:p>
            <w:pPr>
              <w:jc w:val="right"/>
            </w:pPr>
            <w:r/>
            <w:r>
              <w:rPr>
                <w:color w:val="1A1D21"/>
                <w:sz w:val="17"/>
              </w:rPr>
              <w:t>104,382</w:t>
            </w:r>
          </w:p>
        </w:tc>
        <w:tc>
          <w:tcPr>
            <w:tcW w:type="dxa" w:w="964"/>
          </w:tcPr>
          <w:p>
            <w:pPr>
              <w:jc w:val="right"/>
            </w:pPr>
            <w:r/>
            <w:r>
              <w:rPr>
                <w:color w:val="1A1D21"/>
                <w:sz w:val="17"/>
              </w:rPr>
              <w:t>106,893</w:t>
            </w:r>
          </w:p>
        </w:tc>
        <w:tc>
          <w:tcPr>
            <w:tcW w:type="dxa" w:w="964"/>
          </w:tcPr>
          <w:p>
            <w:pPr>
              <w:jc w:val="right"/>
            </w:pPr>
            <w:r/>
            <w:r>
              <w:rPr>
                <w:color w:val="1A1D21"/>
                <w:sz w:val="17"/>
              </w:rPr>
              <w:t>110,648</w:t>
            </w:r>
          </w:p>
        </w:tc>
        <w:tc>
          <w:tcPr>
            <w:tcW w:type="dxa" w:w="964"/>
          </w:tcPr>
          <w:p>
            <w:pPr>
              <w:jc w:val="right"/>
            </w:pPr>
            <w:r/>
            <w:r>
              <w:rPr>
                <w:color w:val="1A1D21"/>
                <w:sz w:val="17"/>
              </w:rPr>
              <w:t>150,433</w:t>
            </w:r>
          </w:p>
        </w:tc>
        <w:tc>
          <w:tcPr>
            <w:tcW w:type="dxa" w:w="964"/>
          </w:tcPr>
          <w:p>
            <w:pPr>
              <w:jc w:val="right"/>
            </w:pPr>
            <w:r/>
            <w:r>
              <w:rPr>
                <w:color w:val="1A1D21"/>
                <w:sz w:val="17"/>
              </w:rPr>
              <w:t>223,319</w:t>
            </w:r>
          </w:p>
        </w:tc>
      </w:tr>
      <w:tr>
        <w:trPr>
          <w:cantSplit/>
        </w:trPr>
        <w:tc>
          <w:tcPr>
            <w:tcW w:type="dxa" w:w="2421"/>
          </w:tcPr>
          <w:p>
            <w:r/>
            <w:r>
              <w:rPr>
                <w:color w:val="1A1D21"/>
                <w:sz w:val="17"/>
              </w:rPr>
              <w:t>Work in progress</w:t>
            </w:r>
          </w:p>
        </w:tc>
        <w:tc>
          <w:tcPr>
            <w:tcW w:type="dxa" w:w="964"/>
          </w:tcPr>
          <w:p>
            <w:pPr>
              <w:jc w:val="right"/>
            </w:pPr>
            <w:r/>
            <w:r>
              <w:rPr>
                <w:color w:val="1A1D21"/>
                <w:sz w:val="17"/>
              </w:rPr>
              <w:t>17,443</w:t>
            </w:r>
          </w:p>
        </w:tc>
        <w:tc>
          <w:tcPr>
            <w:tcW w:type="dxa" w:w="964"/>
          </w:tcPr>
          <w:p>
            <w:pPr>
              <w:jc w:val="right"/>
            </w:pPr>
            <w:r/>
            <w:r>
              <w:rPr>
                <w:color w:val="1A1D21"/>
                <w:sz w:val="17"/>
              </w:rPr>
              <w:t>17,489</w:t>
            </w:r>
          </w:p>
        </w:tc>
        <w:tc>
          <w:tcPr>
            <w:tcW w:type="dxa" w:w="964"/>
          </w:tcPr>
          <w:p>
            <w:pPr>
              <w:jc w:val="right"/>
            </w:pPr>
            <w:r/>
            <w:r>
              <w:rPr>
                <w:color w:val="1A1D21"/>
                <w:sz w:val="17"/>
              </w:rPr>
              <w:t>17,719</w:t>
            </w:r>
          </w:p>
        </w:tc>
        <w:tc>
          <w:tcPr>
            <w:tcW w:type="dxa" w:w="964"/>
          </w:tcPr>
          <w:p>
            <w:pPr>
              <w:jc w:val="right"/>
            </w:pPr>
            <w:r/>
            <w:r>
              <w:rPr>
                <w:color w:val="1A1D21"/>
                <w:sz w:val="17"/>
              </w:rPr>
              <w:t>18,145</w:t>
            </w:r>
          </w:p>
        </w:tc>
        <w:tc>
          <w:tcPr>
            <w:tcW w:type="dxa" w:w="964"/>
          </w:tcPr>
          <w:p>
            <w:pPr>
              <w:jc w:val="right"/>
            </w:pPr>
            <w:r/>
            <w:r>
              <w:rPr>
                <w:color w:val="1A1D21"/>
                <w:sz w:val="17"/>
              </w:rPr>
              <w:t>18,782</w:t>
            </w:r>
          </w:p>
        </w:tc>
        <w:tc>
          <w:tcPr>
            <w:tcW w:type="dxa" w:w="964"/>
          </w:tcPr>
          <w:p>
            <w:pPr>
              <w:jc w:val="right"/>
            </w:pPr>
            <w:r/>
            <w:r>
              <w:rPr>
                <w:color w:val="1A1D21"/>
                <w:sz w:val="17"/>
              </w:rPr>
              <w:t>25,536</w:t>
            </w:r>
          </w:p>
        </w:tc>
        <w:tc>
          <w:tcPr>
            <w:tcW w:type="dxa" w:w="964"/>
          </w:tcPr>
          <w:p>
            <w:pPr>
              <w:jc w:val="right"/>
            </w:pPr>
            <w:r/>
            <w:r>
              <w:rPr>
                <w:color w:val="1A1D21"/>
                <w:sz w:val="17"/>
              </w:rPr>
              <w:t>37,908</w:t>
            </w:r>
          </w:p>
        </w:tc>
      </w:tr>
      <w:tr>
        <w:trPr>
          <w:cantSplit/>
        </w:trPr>
        <w:tc>
          <w:tcPr>
            <w:tcW w:type="dxa" w:w="2421"/>
          </w:tcPr>
          <w:p>
            <w:r/>
            <w:r>
              <w:rPr>
                <w:color w:val="1A1D21"/>
                <w:sz w:val="17"/>
              </w:rPr>
              <w:t>Other receivables and prepayments</w:t>
            </w:r>
          </w:p>
        </w:tc>
        <w:tc>
          <w:tcPr>
            <w:tcW w:type="dxa" w:w="964"/>
          </w:tcPr>
          <w:p>
            <w:pPr>
              <w:jc w:val="right"/>
            </w:pPr>
            <w:r/>
            <w:r>
              <w:rPr>
                <w:color w:val="1A1D21"/>
                <w:sz w:val="17"/>
              </w:rPr>
              <w:t>12,828</w:t>
            </w:r>
          </w:p>
        </w:tc>
        <w:tc>
          <w:tcPr>
            <w:tcW w:type="dxa" w:w="964"/>
          </w:tcPr>
          <w:p>
            <w:pPr>
              <w:jc w:val="right"/>
            </w:pPr>
            <w:r/>
            <w:r>
              <w:rPr>
                <w:color w:val="1A1D21"/>
                <w:sz w:val="17"/>
              </w:rPr>
              <w:t>12,862</w:t>
            </w:r>
          </w:p>
        </w:tc>
        <w:tc>
          <w:tcPr>
            <w:tcW w:type="dxa" w:w="964"/>
          </w:tcPr>
          <w:p>
            <w:pPr>
              <w:jc w:val="right"/>
            </w:pPr>
            <w:r/>
            <w:r>
              <w:rPr>
                <w:color w:val="1A1D21"/>
                <w:sz w:val="17"/>
              </w:rPr>
              <w:t>13,031</w:t>
            </w:r>
          </w:p>
        </w:tc>
        <w:tc>
          <w:tcPr>
            <w:tcW w:type="dxa" w:w="964"/>
          </w:tcPr>
          <w:p>
            <w:pPr>
              <w:jc w:val="right"/>
            </w:pPr>
            <w:r/>
            <w:r>
              <w:rPr>
                <w:color w:val="1A1D21"/>
                <w:sz w:val="17"/>
              </w:rPr>
              <w:t>13,344</w:t>
            </w:r>
          </w:p>
        </w:tc>
        <w:tc>
          <w:tcPr>
            <w:tcW w:type="dxa" w:w="964"/>
          </w:tcPr>
          <w:p>
            <w:pPr>
              <w:jc w:val="right"/>
            </w:pPr>
            <w:r/>
            <w:r>
              <w:rPr>
                <w:color w:val="1A1D21"/>
                <w:sz w:val="17"/>
              </w:rPr>
              <w:t>13,813</w:t>
            </w:r>
          </w:p>
        </w:tc>
        <w:tc>
          <w:tcPr>
            <w:tcW w:type="dxa" w:w="964"/>
          </w:tcPr>
          <w:p>
            <w:pPr>
              <w:jc w:val="right"/>
            </w:pPr>
            <w:r/>
            <w:r>
              <w:rPr>
                <w:color w:val="1A1D21"/>
                <w:sz w:val="17"/>
              </w:rPr>
              <w:t>18,780</w:t>
            </w:r>
          </w:p>
        </w:tc>
        <w:tc>
          <w:tcPr>
            <w:tcW w:type="dxa" w:w="964"/>
          </w:tcPr>
          <w:p>
            <w:pPr>
              <w:jc w:val="right"/>
            </w:pPr>
            <w:r/>
            <w:r>
              <w:rPr>
                <w:color w:val="1A1D21"/>
                <w:sz w:val="17"/>
              </w:rPr>
              <w:t>27,879</w:t>
            </w:r>
          </w:p>
        </w:tc>
      </w:tr>
      <w:tr>
        <w:trPr>
          <w:cantSplit/>
        </w:trPr>
        <w:tc>
          <w:tcPr>
            <w:tcW w:type="dxa" w:w="2421"/>
          </w:tcPr>
          <w:p>
            <w:r/>
            <w:r>
              <w:rPr>
                <w:color w:val="1A1D21"/>
                <w:sz w:val="17"/>
              </w:rPr>
              <w:t>Advances to suppliers</w:t>
            </w:r>
          </w:p>
        </w:tc>
        <w:tc>
          <w:tcPr>
            <w:tcW w:type="dxa" w:w="964"/>
          </w:tcPr>
          <w:p>
            <w:pPr>
              <w:jc w:val="right"/>
            </w:pPr>
            <w:r/>
            <w:r>
              <w:rPr>
                <w:color w:val="1A1D21"/>
                <w:sz w:val="17"/>
              </w:rPr>
              <w:t>8,990</w:t>
            </w:r>
          </w:p>
        </w:tc>
        <w:tc>
          <w:tcPr>
            <w:tcW w:type="dxa" w:w="964"/>
          </w:tcPr>
          <w:p>
            <w:pPr>
              <w:jc w:val="right"/>
            </w:pPr>
            <w:r/>
            <w:r>
              <w:rPr>
                <w:color w:val="1A1D21"/>
                <w:sz w:val="17"/>
              </w:rPr>
              <w:t>9,014</w:t>
            </w:r>
          </w:p>
        </w:tc>
        <w:tc>
          <w:tcPr>
            <w:tcW w:type="dxa" w:w="964"/>
          </w:tcPr>
          <w:p>
            <w:pPr>
              <w:jc w:val="right"/>
            </w:pPr>
            <w:r/>
            <w:r>
              <w:rPr>
                <w:color w:val="1A1D21"/>
                <w:sz w:val="17"/>
              </w:rPr>
              <w:t>9,132</w:t>
            </w:r>
          </w:p>
        </w:tc>
        <w:tc>
          <w:tcPr>
            <w:tcW w:type="dxa" w:w="964"/>
          </w:tcPr>
          <w:p>
            <w:pPr>
              <w:jc w:val="right"/>
            </w:pPr>
            <w:r/>
            <w:r>
              <w:rPr>
                <w:color w:val="1A1D21"/>
                <w:sz w:val="17"/>
              </w:rPr>
              <w:t>9,352</w:t>
            </w:r>
          </w:p>
        </w:tc>
        <w:tc>
          <w:tcPr>
            <w:tcW w:type="dxa" w:w="964"/>
          </w:tcPr>
          <w:p>
            <w:pPr>
              <w:jc w:val="right"/>
            </w:pPr>
            <w:r/>
            <w:r>
              <w:rPr>
                <w:color w:val="1A1D21"/>
                <w:sz w:val="17"/>
              </w:rPr>
              <w:t>9,681</w:t>
            </w:r>
          </w:p>
        </w:tc>
        <w:tc>
          <w:tcPr>
            <w:tcW w:type="dxa" w:w="964"/>
          </w:tcPr>
          <w:p>
            <w:pPr>
              <w:jc w:val="right"/>
            </w:pPr>
            <w:r/>
            <w:r>
              <w:rPr>
                <w:color w:val="1A1D21"/>
                <w:sz w:val="17"/>
              </w:rPr>
              <w:t>13,161</w:t>
            </w:r>
          </w:p>
        </w:tc>
        <w:tc>
          <w:tcPr>
            <w:tcW w:type="dxa" w:w="964"/>
          </w:tcPr>
          <w:p>
            <w:pPr>
              <w:jc w:val="right"/>
            </w:pPr>
            <w:r/>
            <w:r>
              <w:rPr>
                <w:color w:val="1A1D21"/>
                <w:sz w:val="17"/>
              </w:rPr>
              <w:t>19,538</w:t>
            </w:r>
          </w:p>
        </w:tc>
      </w:tr>
      <w:tr>
        <w:trPr>
          <w:cantSplit/>
        </w:trPr>
        <w:tc>
          <w:tcPr>
            <w:tcW w:type="dxa" w:w="2421"/>
          </w:tcPr>
          <w:p>
            <w:r/>
            <w:r>
              <w:rPr>
                <w:color w:val="1A1D21"/>
                <w:sz w:val="17"/>
              </w:rPr>
              <w:t>Cash and equivalents</w:t>
            </w:r>
          </w:p>
        </w:tc>
        <w:tc>
          <w:tcPr>
            <w:tcW w:type="dxa" w:w="964"/>
          </w:tcPr>
          <w:p>
            <w:pPr>
              <w:jc w:val="right"/>
            </w:pPr>
            <w:r/>
            <w:r>
              <w:rPr>
                <w:color w:val="1A1D21"/>
                <w:sz w:val="17"/>
              </w:rPr>
              <w:t>12,526</w:t>
            </w:r>
          </w:p>
        </w:tc>
        <w:tc>
          <w:tcPr>
            <w:tcW w:type="dxa" w:w="964"/>
          </w:tcPr>
          <w:p>
            <w:pPr>
              <w:jc w:val="right"/>
            </w:pPr>
            <w:r/>
            <w:r>
              <w:rPr>
                <w:color w:val="1A1D21"/>
                <w:sz w:val="17"/>
              </w:rPr>
              <w:t>16,528</w:t>
            </w:r>
          </w:p>
        </w:tc>
        <w:tc>
          <w:tcPr>
            <w:tcW w:type="dxa" w:w="964"/>
          </w:tcPr>
          <w:p>
            <w:pPr>
              <w:jc w:val="right"/>
            </w:pPr>
            <w:r/>
            <w:r>
              <w:rPr>
                <w:color w:val="1A1D21"/>
                <w:sz w:val="17"/>
              </w:rPr>
              <w:t>21,479</w:t>
            </w:r>
          </w:p>
        </w:tc>
        <w:tc>
          <w:tcPr>
            <w:tcW w:type="dxa" w:w="964"/>
          </w:tcPr>
          <w:p>
            <w:pPr>
              <w:jc w:val="right"/>
            </w:pPr>
            <w:r/>
            <w:r>
              <w:rPr>
                <w:color w:val="1A1D21"/>
                <w:sz w:val="17"/>
              </w:rPr>
              <w:t>27,440</w:t>
            </w:r>
          </w:p>
        </w:tc>
        <w:tc>
          <w:tcPr>
            <w:tcW w:type="dxa" w:w="964"/>
          </w:tcPr>
          <w:p>
            <w:pPr>
              <w:jc w:val="right"/>
            </w:pPr>
            <w:r/>
            <w:r>
              <w:rPr>
                <w:color w:val="1A1D21"/>
                <w:sz w:val="17"/>
              </w:rPr>
              <w:t>34,488</w:t>
            </w:r>
          </w:p>
        </w:tc>
        <w:tc>
          <w:tcPr>
            <w:tcW w:type="dxa" w:w="964"/>
          </w:tcPr>
          <w:p>
            <w:pPr>
              <w:jc w:val="right"/>
            </w:pPr>
            <w:r/>
            <w:r>
              <w:rPr>
                <w:color w:val="1A1D21"/>
                <w:sz w:val="17"/>
              </w:rPr>
              <w:t>88,091</w:t>
            </w:r>
          </w:p>
        </w:tc>
        <w:tc>
          <w:tcPr>
            <w:tcW w:type="dxa" w:w="964"/>
          </w:tcPr>
          <w:p>
            <w:pPr>
              <w:jc w:val="right"/>
            </w:pPr>
            <w:r/>
            <w:r>
              <w:rPr>
                <w:color w:val="1A1D21"/>
                <w:sz w:val="17"/>
              </w:rPr>
              <w:t>170,626</w:t>
            </w:r>
          </w:p>
        </w:tc>
      </w:tr>
      <w:tr>
        <w:trPr>
          <w:cantSplit/>
        </w:trPr>
        <w:tc>
          <w:tcPr>
            <w:tcW w:type="dxa" w:w="2421"/>
          </w:tcPr>
          <w:p>
            <w:r/>
            <w:r>
              <w:rPr>
                <w:color w:val="1A1D21"/>
                <w:sz w:val="17"/>
              </w:rPr>
              <w:t>Property and equipment</w:t>
            </w:r>
          </w:p>
        </w:tc>
        <w:tc>
          <w:tcPr>
            <w:tcW w:type="dxa" w:w="964"/>
          </w:tcPr>
          <w:p>
            <w:pPr>
              <w:jc w:val="right"/>
            </w:pPr>
            <w:r/>
            <w:r>
              <w:rPr>
                <w:color w:val="1A1D21"/>
                <w:sz w:val="17"/>
              </w:rPr>
              <w:t>4,531</w:t>
            </w:r>
          </w:p>
        </w:tc>
        <w:tc>
          <w:tcPr>
            <w:tcW w:type="dxa" w:w="964"/>
          </w:tcPr>
          <w:p>
            <w:pPr>
              <w:jc w:val="right"/>
            </w:pPr>
            <w:r/>
            <w:r>
              <w:rPr>
                <w:color w:val="1A1D21"/>
                <w:sz w:val="17"/>
              </w:rPr>
              <w:t>4,542</w:t>
            </w:r>
          </w:p>
        </w:tc>
        <w:tc>
          <w:tcPr>
            <w:tcW w:type="dxa" w:w="964"/>
          </w:tcPr>
          <w:p>
            <w:pPr>
              <w:jc w:val="right"/>
            </w:pPr>
            <w:r/>
            <w:r>
              <w:rPr>
                <w:color w:val="1A1D21"/>
                <w:sz w:val="17"/>
              </w:rPr>
              <w:t>4,557</w:t>
            </w:r>
          </w:p>
        </w:tc>
        <w:tc>
          <w:tcPr>
            <w:tcW w:type="dxa" w:w="964"/>
          </w:tcPr>
          <w:p>
            <w:pPr>
              <w:jc w:val="right"/>
            </w:pPr>
            <w:r/>
            <w:r>
              <w:rPr>
                <w:color w:val="1A1D21"/>
                <w:sz w:val="17"/>
              </w:rPr>
              <w:t>4,574</w:t>
            </w:r>
          </w:p>
        </w:tc>
        <w:tc>
          <w:tcPr>
            <w:tcW w:type="dxa" w:w="964"/>
          </w:tcPr>
          <w:p>
            <w:pPr>
              <w:jc w:val="right"/>
            </w:pPr>
            <w:r/>
            <w:r>
              <w:rPr>
                <w:color w:val="1A1D21"/>
                <w:sz w:val="17"/>
              </w:rPr>
              <w:t>4,594</w:t>
            </w:r>
          </w:p>
        </w:tc>
        <w:tc>
          <w:tcPr>
            <w:tcW w:type="dxa" w:w="964"/>
          </w:tcPr>
          <w:p>
            <w:pPr>
              <w:jc w:val="right"/>
            </w:pPr>
            <w:r/>
            <w:r>
              <w:rPr>
                <w:color w:val="1A1D21"/>
                <w:sz w:val="17"/>
              </w:rPr>
              <w:t>4,747</w:t>
            </w:r>
          </w:p>
        </w:tc>
        <w:tc>
          <w:tcPr>
            <w:tcW w:type="dxa" w:w="964"/>
          </w:tcPr>
          <w:p>
            <w:pPr>
              <w:jc w:val="right"/>
            </w:pPr>
            <w:r/>
            <w:r>
              <w:rPr>
                <w:color w:val="1A1D21"/>
                <w:sz w:val="17"/>
              </w:rPr>
              <w:t>4,984</w:t>
            </w:r>
          </w:p>
        </w:tc>
      </w:tr>
      <w:tr>
        <w:trPr>
          <w:cantSplit/>
        </w:trPr>
        <w:tc>
          <w:tcPr>
            <w:tcW w:type="dxa" w:w="2421"/>
          </w:tcPr>
          <w:p>
            <w:r/>
            <w:r>
              <w:rPr>
                <w:color w:val="1A1D21"/>
                <w:sz w:val="17"/>
              </w:rPr>
              <w:t>Other assets, held at the 2025 level</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r>
      <w:tr>
        <w:trPr>
          <w:cantSplit/>
        </w:trPr>
        <w:tc>
          <w:tcPr>
            <w:tcW w:type="dxa" w:w="2421"/>
          </w:tcPr>
          <w:p>
            <w:r/>
            <w:r>
              <w:rPr>
                <w:color w:val="1A1D21"/>
                <w:sz w:val="17"/>
              </w:rPr>
              <w:t>Total assets</w:t>
            </w:r>
          </w:p>
        </w:tc>
        <w:tc>
          <w:tcPr>
            <w:tcW w:type="dxa" w:w="964"/>
          </w:tcPr>
          <w:p>
            <w:pPr>
              <w:jc w:val="right"/>
            </w:pPr>
            <w:r/>
            <w:r>
              <w:rPr>
                <w:color w:val="1A1D21"/>
                <w:sz w:val="17"/>
              </w:rPr>
              <w:t>174,204</w:t>
            </w:r>
          </w:p>
        </w:tc>
        <w:tc>
          <w:tcPr>
            <w:tcW w:type="dxa" w:w="964"/>
          </w:tcPr>
          <w:p>
            <w:pPr>
              <w:jc w:val="right"/>
            </w:pPr>
            <w:r/>
            <w:r>
              <w:rPr>
                <w:color w:val="1A1D21"/>
                <w:sz w:val="17"/>
              </w:rPr>
              <w:t>178,590</w:t>
            </w:r>
          </w:p>
        </w:tc>
        <w:tc>
          <w:tcPr>
            <w:tcW w:type="dxa" w:w="964"/>
          </w:tcPr>
          <w:p>
            <w:pPr>
              <w:jc w:val="right"/>
            </w:pPr>
            <w:r/>
            <w:r>
              <w:rPr>
                <w:color w:val="1A1D21"/>
                <w:sz w:val="17"/>
              </w:rPr>
              <w:t>185,428</w:t>
            </w:r>
          </w:p>
        </w:tc>
        <w:tc>
          <w:tcPr>
            <w:tcW w:type="dxa" w:w="964"/>
          </w:tcPr>
          <w:p>
            <w:pPr>
              <w:jc w:val="right"/>
            </w:pPr>
            <w:r/>
            <w:r>
              <w:rPr>
                <w:color w:val="1A1D21"/>
                <w:sz w:val="17"/>
              </w:rPr>
              <w:t>194,877</w:t>
            </w:r>
          </w:p>
        </w:tc>
        <w:tc>
          <w:tcPr>
            <w:tcW w:type="dxa" w:w="964"/>
          </w:tcPr>
          <w:p>
            <w:pPr>
              <w:jc w:val="right"/>
            </w:pPr>
            <w:r/>
            <w:r>
              <w:rPr>
                <w:color w:val="1A1D21"/>
                <w:sz w:val="17"/>
              </w:rPr>
              <w:t>207,134</w:t>
            </w:r>
          </w:p>
        </w:tc>
        <w:tc>
          <w:tcPr>
            <w:tcW w:type="dxa" w:w="964"/>
          </w:tcPr>
          <w:p>
            <w:pPr>
              <w:jc w:val="right"/>
            </w:pPr>
            <w:r/>
            <w:r>
              <w:rPr>
                <w:color w:val="1A1D21"/>
                <w:sz w:val="17"/>
              </w:rPr>
              <w:t>315,877</w:t>
            </w:r>
          </w:p>
        </w:tc>
        <w:tc>
          <w:tcPr>
            <w:tcW w:type="dxa" w:w="964"/>
          </w:tcPr>
          <w:p>
            <w:pPr>
              <w:jc w:val="right"/>
            </w:pPr>
            <w:r/>
            <w:r>
              <w:rPr>
                <w:color w:val="1A1D21"/>
                <w:sz w:val="17"/>
              </w:rPr>
              <w:t>499,383</w:t>
            </w:r>
          </w:p>
        </w:tc>
      </w:tr>
      <w:tr>
        <w:trPr>
          <w:cantSplit/>
        </w:trPr>
        <w:tc>
          <w:tcPr>
            <w:tcW w:type="dxa" w:w="2421"/>
          </w:tcPr>
          <w:p>
            <w:r/>
            <w:r>
              <w:rPr>
                <w:color w:val="1A1D21"/>
                <w:sz w:val="17"/>
              </w:rPr>
              <w:t>Customer advances</w:t>
            </w:r>
          </w:p>
        </w:tc>
        <w:tc>
          <w:tcPr>
            <w:tcW w:type="dxa" w:w="964"/>
          </w:tcPr>
          <w:p>
            <w:pPr>
              <w:jc w:val="right"/>
            </w:pPr>
            <w:r/>
            <w:r>
              <w:rPr>
                <w:color w:val="1A1D21"/>
                <w:sz w:val="17"/>
              </w:rPr>
              <w:t>68,849</w:t>
            </w:r>
          </w:p>
        </w:tc>
        <w:tc>
          <w:tcPr>
            <w:tcW w:type="dxa" w:w="964"/>
          </w:tcPr>
          <w:p>
            <w:pPr>
              <w:jc w:val="right"/>
            </w:pPr>
            <w:r/>
            <w:r>
              <w:rPr>
                <w:color w:val="1A1D21"/>
                <w:sz w:val="17"/>
              </w:rPr>
              <w:t>69,030</w:t>
            </w:r>
          </w:p>
        </w:tc>
        <w:tc>
          <w:tcPr>
            <w:tcW w:type="dxa" w:w="964"/>
          </w:tcPr>
          <w:p>
            <w:pPr>
              <w:jc w:val="right"/>
            </w:pPr>
            <w:r/>
            <w:r>
              <w:rPr>
                <w:color w:val="1A1D21"/>
                <w:sz w:val="17"/>
              </w:rPr>
              <w:t>69,938</w:t>
            </w:r>
          </w:p>
        </w:tc>
        <w:tc>
          <w:tcPr>
            <w:tcW w:type="dxa" w:w="964"/>
          </w:tcPr>
          <w:p>
            <w:pPr>
              <w:jc w:val="right"/>
            </w:pPr>
            <w:r/>
            <w:r>
              <w:rPr>
                <w:color w:val="1A1D21"/>
                <w:sz w:val="17"/>
              </w:rPr>
              <w:t>71,620</w:t>
            </w:r>
          </w:p>
        </w:tc>
        <w:tc>
          <w:tcPr>
            <w:tcW w:type="dxa" w:w="964"/>
          </w:tcPr>
          <w:p>
            <w:pPr>
              <w:jc w:val="right"/>
            </w:pPr>
            <w:r/>
            <w:r>
              <w:rPr>
                <w:color w:val="1A1D21"/>
                <w:sz w:val="17"/>
              </w:rPr>
              <w:t>74,136</w:t>
            </w:r>
          </w:p>
        </w:tc>
        <w:tc>
          <w:tcPr>
            <w:tcW w:type="dxa" w:w="964"/>
          </w:tcPr>
          <w:p>
            <w:pPr>
              <w:jc w:val="right"/>
            </w:pPr>
            <w:r/>
            <w:r>
              <w:rPr>
                <w:color w:val="1A1D21"/>
                <w:sz w:val="17"/>
              </w:rPr>
              <w:t>100,793</w:t>
            </w:r>
          </w:p>
        </w:tc>
        <w:tc>
          <w:tcPr>
            <w:tcW w:type="dxa" w:w="964"/>
          </w:tcPr>
          <w:p>
            <w:pPr>
              <w:jc w:val="right"/>
            </w:pPr>
            <w:r/>
            <w:r>
              <w:rPr>
                <w:color w:val="1A1D21"/>
                <w:sz w:val="17"/>
              </w:rPr>
              <w:t>149,628</w:t>
            </w:r>
          </w:p>
        </w:tc>
      </w:tr>
      <w:tr>
        <w:trPr>
          <w:cantSplit/>
        </w:trPr>
        <w:tc>
          <w:tcPr>
            <w:tcW w:type="dxa" w:w="2421"/>
          </w:tcPr>
          <w:p>
            <w:r/>
            <w:r>
              <w:rPr>
                <w:color w:val="1A1D21"/>
                <w:sz w:val="17"/>
              </w:rPr>
              <w:t>Suppliers</w:t>
            </w:r>
          </w:p>
        </w:tc>
        <w:tc>
          <w:tcPr>
            <w:tcW w:type="dxa" w:w="964"/>
          </w:tcPr>
          <w:p>
            <w:pPr>
              <w:jc w:val="right"/>
            </w:pPr>
            <w:r/>
            <w:r>
              <w:rPr>
                <w:color w:val="1A1D21"/>
                <w:sz w:val="17"/>
              </w:rPr>
              <w:t>3,779</w:t>
            </w:r>
          </w:p>
        </w:tc>
        <w:tc>
          <w:tcPr>
            <w:tcW w:type="dxa" w:w="964"/>
          </w:tcPr>
          <w:p>
            <w:pPr>
              <w:jc w:val="right"/>
            </w:pPr>
            <w:r/>
            <w:r>
              <w:rPr>
                <w:color w:val="1A1D21"/>
                <w:sz w:val="17"/>
              </w:rPr>
              <w:t>3,789</w:t>
            </w:r>
          </w:p>
        </w:tc>
        <w:tc>
          <w:tcPr>
            <w:tcW w:type="dxa" w:w="964"/>
          </w:tcPr>
          <w:p>
            <w:pPr>
              <w:jc w:val="right"/>
            </w:pPr>
            <w:r/>
            <w:r>
              <w:rPr>
                <w:color w:val="1A1D21"/>
                <w:sz w:val="17"/>
              </w:rPr>
              <w:t>3,839</w:t>
            </w:r>
          </w:p>
        </w:tc>
        <w:tc>
          <w:tcPr>
            <w:tcW w:type="dxa" w:w="964"/>
          </w:tcPr>
          <w:p>
            <w:pPr>
              <w:jc w:val="right"/>
            </w:pPr>
            <w:r/>
            <w:r>
              <w:rPr>
                <w:color w:val="1A1D21"/>
                <w:sz w:val="17"/>
              </w:rPr>
              <w:t>3,931</w:t>
            </w:r>
          </w:p>
        </w:tc>
        <w:tc>
          <w:tcPr>
            <w:tcW w:type="dxa" w:w="964"/>
          </w:tcPr>
          <w:p>
            <w:pPr>
              <w:jc w:val="right"/>
            </w:pPr>
            <w:r/>
            <w:r>
              <w:rPr>
                <w:color w:val="1A1D21"/>
                <w:sz w:val="17"/>
              </w:rPr>
              <w:t>4,069</w:t>
            </w:r>
          </w:p>
        </w:tc>
        <w:tc>
          <w:tcPr>
            <w:tcW w:type="dxa" w:w="964"/>
          </w:tcPr>
          <w:p>
            <w:pPr>
              <w:jc w:val="right"/>
            </w:pPr>
            <w:r/>
            <w:r>
              <w:rPr>
                <w:color w:val="1A1D21"/>
                <w:sz w:val="17"/>
              </w:rPr>
              <w:t>5,533</w:t>
            </w:r>
          </w:p>
        </w:tc>
        <w:tc>
          <w:tcPr>
            <w:tcW w:type="dxa" w:w="964"/>
          </w:tcPr>
          <w:p>
            <w:pPr>
              <w:jc w:val="right"/>
            </w:pPr>
            <w:r/>
            <w:r>
              <w:rPr>
                <w:color w:val="1A1D21"/>
                <w:sz w:val="17"/>
              </w:rPr>
              <w:t>8,213</w:t>
            </w:r>
          </w:p>
        </w:tc>
      </w:tr>
      <w:tr>
        <w:trPr>
          <w:cantSplit/>
        </w:trPr>
        <w:tc>
          <w:tcPr>
            <w:tcW w:type="dxa" w:w="2421"/>
          </w:tcPr>
          <w:p>
            <w:r/>
            <w:r>
              <w:rPr>
                <w:color w:val="1A1D21"/>
                <w:sz w:val="17"/>
              </w:rPr>
              <w:t>Other creditors</w:t>
            </w:r>
          </w:p>
        </w:tc>
        <w:tc>
          <w:tcPr>
            <w:tcW w:type="dxa" w:w="964"/>
          </w:tcPr>
          <w:p>
            <w:pPr>
              <w:jc w:val="right"/>
            </w:pPr>
            <w:r/>
            <w:r>
              <w:rPr>
                <w:color w:val="1A1D21"/>
                <w:sz w:val="17"/>
              </w:rPr>
              <w:t>5,084</w:t>
            </w:r>
          </w:p>
        </w:tc>
        <w:tc>
          <w:tcPr>
            <w:tcW w:type="dxa" w:w="964"/>
          </w:tcPr>
          <w:p>
            <w:pPr>
              <w:jc w:val="right"/>
            </w:pPr>
            <w:r/>
            <w:r>
              <w:rPr>
                <w:color w:val="1A1D21"/>
                <w:sz w:val="17"/>
              </w:rPr>
              <w:t>5,098</w:t>
            </w:r>
          </w:p>
        </w:tc>
        <w:tc>
          <w:tcPr>
            <w:tcW w:type="dxa" w:w="964"/>
          </w:tcPr>
          <w:p>
            <w:pPr>
              <w:jc w:val="right"/>
            </w:pPr>
            <w:r/>
            <w:r>
              <w:rPr>
                <w:color w:val="1A1D21"/>
                <w:sz w:val="17"/>
              </w:rPr>
              <w:t>5,165</w:t>
            </w:r>
          </w:p>
        </w:tc>
        <w:tc>
          <w:tcPr>
            <w:tcW w:type="dxa" w:w="964"/>
          </w:tcPr>
          <w:p>
            <w:pPr>
              <w:jc w:val="right"/>
            </w:pPr>
            <w:r/>
            <w:r>
              <w:rPr>
                <w:color w:val="1A1D21"/>
                <w:sz w:val="17"/>
              </w:rPr>
              <w:t>5,289</w:t>
            </w:r>
          </w:p>
        </w:tc>
        <w:tc>
          <w:tcPr>
            <w:tcW w:type="dxa" w:w="964"/>
          </w:tcPr>
          <w:p>
            <w:pPr>
              <w:jc w:val="right"/>
            </w:pPr>
            <w:r/>
            <w:r>
              <w:rPr>
                <w:color w:val="1A1D21"/>
                <w:sz w:val="17"/>
              </w:rPr>
              <w:t>5,475</w:t>
            </w:r>
          </w:p>
        </w:tc>
        <w:tc>
          <w:tcPr>
            <w:tcW w:type="dxa" w:w="964"/>
          </w:tcPr>
          <w:p>
            <w:pPr>
              <w:jc w:val="right"/>
            </w:pPr>
            <w:r/>
            <w:r>
              <w:rPr>
                <w:color w:val="1A1D21"/>
                <w:sz w:val="17"/>
              </w:rPr>
              <w:t>7,443</w:t>
            </w:r>
          </w:p>
        </w:tc>
        <w:tc>
          <w:tcPr>
            <w:tcW w:type="dxa" w:w="964"/>
          </w:tcPr>
          <w:p>
            <w:pPr>
              <w:jc w:val="right"/>
            </w:pPr>
            <w:r/>
            <w:r>
              <w:rPr>
                <w:color w:val="1A1D21"/>
                <w:sz w:val="17"/>
              </w:rPr>
              <w:t>11,050</w:t>
            </w:r>
          </w:p>
        </w:tc>
      </w:tr>
      <w:tr>
        <w:trPr>
          <w:cantSplit/>
        </w:trPr>
        <w:tc>
          <w:tcPr>
            <w:tcW w:type="dxa" w:w="2421"/>
          </w:tcPr>
          <w:p>
            <w:r/>
            <w:r>
              <w:rPr>
                <w:color w:val="1A1D21"/>
                <w:sz w:val="17"/>
              </w:rPr>
              <w:t>Cheques under collection</w:t>
            </w:r>
          </w:p>
        </w:tc>
        <w:tc>
          <w:tcPr>
            <w:tcW w:type="dxa" w:w="964"/>
          </w:tcPr>
          <w:p>
            <w:pPr>
              <w:jc w:val="right"/>
            </w:pPr>
            <w:r/>
            <w:r>
              <w:rPr>
                <w:color w:val="1A1D21"/>
                <w:sz w:val="17"/>
              </w:rPr>
              <w:t>2,436</w:t>
            </w:r>
          </w:p>
        </w:tc>
        <w:tc>
          <w:tcPr>
            <w:tcW w:type="dxa" w:w="964"/>
          </w:tcPr>
          <w:p>
            <w:pPr>
              <w:jc w:val="right"/>
            </w:pPr>
            <w:r/>
            <w:r>
              <w:rPr>
                <w:color w:val="1A1D21"/>
                <w:sz w:val="17"/>
              </w:rPr>
              <w:t>2,442</w:t>
            </w:r>
          </w:p>
        </w:tc>
        <w:tc>
          <w:tcPr>
            <w:tcW w:type="dxa" w:w="964"/>
          </w:tcPr>
          <w:p>
            <w:pPr>
              <w:jc w:val="right"/>
            </w:pPr>
            <w:r/>
            <w:r>
              <w:rPr>
                <w:color w:val="1A1D21"/>
                <w:sz w:val="17"/>
              </w:rPr>
              <w:t>2,474</w:t>
            </w:r>
          </w:p>
        </w:tc>
        <w:tc>
          <w:tcPr>
            <w:tcW w:type="dxa" w:w="964"/>
          </w:tcPr>
          <w:p>
            <w:pPr>
              <w:jc w:val="right"/>
            </w:pPr>
            <w:r/>
            <w:r>
              <w:rPr>
                <w:color w:val="1A1D21"/>
                <w:sz w:val="17"/>
              </w:rPr>
              <w:t>2,534</w:t>
            </w:r>
          </w:p>
        </w:tc>
        <w:tc>
          <w:tcPr>
            <w:tcW w:type="dxa" w:w="964"/>
          </w:tcPr>
          <w:p>
            <w:pPr>
              <w:jc w:val="right"/>
            </w:pPr>
            <w:r/>
            <w:r>
              <w:rPr>
                <w:color w:val="1A1D21"/>
                <w:sz w:val="17"/>
              </w:rPr>
              <w:t>2,623</w:t>
            </w:r>
          </w:p>
        </w:tc>
        <w:tc>
          <w:tcPr>
            <w:tcW w:type="dxa" w:w="964"/>
          </w:tcPr>
          <w:p>
            <w:pPr>
              <w:jc w:val="right"/>
            </w:pPr>
            <w:r/>
            <w:r>
              <w:rPr>
                <w:color w:val="1A1D21"/>
                <w:sz w:val="17"/>
              </w:rPr>
              <w:t>3,566</w:t>
            </w:r>
          </w:p>
        </w:tc>
        <w:tc>
          <w:tcPr>
            <w:tcW w:type="dxa" w:w="964"/>
          </w:tcPr>
          <w:p>
            <w:pPr>
              <w:jc w:val="right"/>
            </w:pPr>
            <w:r/>
            <w:r>
              <w:rPr>
                <w:color w:val="1A1D21"/>
                <w:sz w:val="17"/>
              </w:rPr>
              <w:t>5,294</w:t>
            </w:r>
          </w:p>
        </w:tc>
      </w:tr>
      <w:tr>
        <w:trPr>
          <w:cantSplit/>
        </w:trPr>
        <w:tc>
          <w:tcPr>
            <w:tcW w:type="dxa" w:w="2421"/>
          </w:tcPr>
          <w:p>
            <w:r/>
            <w:r>
              <w:rPr>
                <w:color w:val="1A1D21"/>
                <w:sz w:val="17"/>
              </w:rPr>
              <w:t>Borrowings</w:t>
            </w:r>
          </w:p>
        </w:tc>
        <w:tc>
          <w:tcPr>
            <w:tcW w:type="dxa" w:w="964"/>
          </w:tcPr>
          <w:p>
            <w:pPr>
              <w:jc w:val="right"/>
            </w:pPr>
            <w:r/>
            <w:r>
              <w:rPr>
                <w:color w:val="1A1D21"/>
                <w:sz w:val="17"/>
              </w:rPr>
              <w:t>33,553</w:t>
            </w:r>
          </w:p>
        </w:tc>
        <w:tc>
          <w:tcPr>
            <w:tcW w:type="dxa" w:w="964"/>
          </w:tcPr>
          <w:p>
            <w:pPr>
              <w:jc w:val="right"/>
            </w:pPr>
            <w:r/>
            <w:r>
              <w:rPr>
                <w:color w:val="1A1D21"/>
                <w:sz w:val="17"/>
              </w:rPr>
              <w:t>33,553</w:t>
            </w:r>
          </w:p>
        </w:tc>
        <w:tc>
          <w:tcPr>
            <w:tcW w:type="dxa" w:w="964"/>
          </w:tcPr>
          <w:p>
            <w:pPr>
              <w:jc w:val="right"/>
            </w:pPr>
            <w:r/>
            <w:r>
              <w:rPr>
                <w:color w:val="1A1D21"/>
                <w:sz w:val="17"/>
              </w:rPr>
              <w:t>33,553</w:t>
            </w:r>
          </w:p>
        </w:tc>
        <w:tc>
          <w:tcPr>
            <w:tcW w:type="dxa" w:w="964"/>
          </w:tcPr>
          <w:p>
            <w:pPr>
              <w:jc w:val="right"/>
            </w:pPr>
            <w:r/>
            <w:r>
              <w:rPr>
                <w:color w:val="1A1D21"/>
                <w:sz w:val="17"/>
              </w:rPr>
              <w:t>33,553</w:t>
            </w:r>
          </w:p>
        </w:tc>
        <w:tc>
          <w:tcPr>
            <w:tcW w:type="dxa" w:w="964"/>
          </w:tcPr>
          <w:p>
            <w:pPr>
              <w:jc w:val="right"/>
            </w:pPr>
            <w:r/>
            <w:r>
              <w:rPr>
                <w:color w:val="1A1D21"/>
                <w:sz w:val="17"/>
              </w:rPr>
              <w:t>33,553</w:t>
            </w:r>
          </w:p>
        </w:tc>
        <w:tc>
          <w:tcPr>
            <w:tcW w:type="dxa" w:w="964"/>
          </w:tcPr>
          <w:p>
            <w:pPr>
              <w:jc w:val="right"/>
            </w:pPr>
            <w:r/>
            <w:r>
              <w:rPr>
                <w:color w:val="1A1D21"/>
                <w:sz w:val="17"/>
              </w:rPr>
              <w:t>33,553</w:t>
            </w:r>
          </w:p>
        </w:tc>
        <w:tc>
          <w:tcPr>
            <w:tcW w:type="dxa" w:w="964"/>
          </w:tcPr>
          <w:p>
            <w:pPr>
              <w:jc w:val="right"/>
            </w:pPr>
            <w:r/>
            <w:r>
              <w:rPr>
                <w:color w:val="1A1D21"/>
                <w:sz w:val="17"/>
              </w:rPr>
              <w:t>33,553</w:t>
            </w:r>
          </w:p>
        </w:tc>
      </w:tr>
      <w:tr>
        <w:trPr>
          <w:cantSplit/>
        </w:trPr>
        <w:tc>
          <w:tcPr>
            <w:tcW w:type="dxa" w:w="2421"/>
          </w:tcPr>
          <w:p>
            <w:r/>
            <w:r>
              <w:rPr>
                <w:color w:val="1A1D21"/>
                <w:sz w:val="17"/>
              </w:rPr>
              <w:t>Other liabilities, held at the 2025 level</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r>
      <w:tr>
        <w:trPr>
          <w:cantSplit/>
        </w:trPr>
        <w:tc>
          <w:tcPr>
            <w:tcW w:type="dxa" w:w="2421"/>
          </w:tcPr>
          <w:p>
            <w:r/>
            <w:r>
              <w:rPr>
                <w:color w:val="1A1D21"/>
                <w:sz w:val="17"/>
              </w:rPr>
              <w:t>Total liabilities</w:t>
            </w:r>
          </w:p>
        </w:tc>
        <w:tc>
          <w:tcPr>
            <w:tcW w:type="dxa" w:w="964"/>
          </w:tcPr>
          <w:p>
            <w:pPr>
              <w:jc w:val="right"/>
            </w:pPr>
            <w:r/>
            <w:r>
              <w:rPr>
                <w:color w:val="1A1D21"/>
                <w:sz w:val="17"/>
              </w:rPr>
              <w:t>152,776</w:t>
            </w:r>
          </w:p>
        </w:tc>
        <w:tc>
          <w:tcPr>
            <w:tcW w:type="dxa" w:w="964"/>
          </w:tcPr>
          <w:p>
            <w:pPr>
              <w:jc w:val="right"/>
            </w:pPr>
            <w:r/>
            <w:r>
              <w:rPr>
                <w:color w:val="1A1D21"/>
                <w:sz w:val="17"/>
              </w:rPr>
              <w:t>152,986</w:t>
            </w:r>
          </w:p>
        </w:tc>
        <w:tc>
          <w:tcPr>
            <w:tcW w:type="dxa" w:w="964"/>
          </w:tcPr>
          <w:p>
            <w:pPr>
              <w:jc w:val="right"/>
            </w:pPr>
            <w:r/>
            <w:r>
              <w:rPr>
                <w:color w:val="1A1D21"/>
                <w:sz w:val="17"/>
              </w:rPr>
              <w:t>154,044</w:t>
            </w:r>
          </w:p>
        </w:tc>
        <w:tc>
          <w:tcPr>
            <w:tcW w:type="dxa" w:w="964"/>
          </w:tcPr>
          <w:p>
            <w:pPr>
              <w:jc w:val="right"/>
            </w:pPr>
            <w:r/>
            <w:r>
              <w:rPr>
                <w:color w:val="1A1D21"/>
                <w:sz w:val="17"/>
              </w:rPr>
              <w:t>156,002</w:t>
            </w:r>
          </w:p>
        </w:tc>
        <w:tc>
          <w:tcPr>
            <w:tcW w:type="dxa" w:w="964"/>
          </w:tcPr>
          <w:p>
            <w:pPr>
              <w:jc w:val="right"/>
            </w:pPr>
            <w:r/>
            <w:r>
              <w:rPr>
                <w:color w:val="1A1D21"/>
                <w:sz w:val="17"/>
              </w:rPr>
              <w:t>158,931</w:t>
            </w:r>
          </w:p>
        </w:tc>
        <w:tc>
          <w:tcPr>
            <w:tcW w:type="dxa" w:w="964"/>
          </w:tcPr>
          <w:p>
            <w:pPr>
              <w:jc w:val="right"/>
            </w:pPr>
            <w:r/>
            <w:r>
              <w:rPr>
                <w:color w:val="1A1D21"/>
                <w:sz w:val="17"/>
              </w:rPr>
              <w:t>189,963</w:t>
            </w:r>
          </w:p>
        </w:tc>
        <w:tc>
          <w:tcPr>
            <w:tcW w:type="dxa" w:w="964"/>
          </w:tcPr>
          <w:p>
            <w:pPr>
              <w:jc w:val="right"/>
            </w:pPr>
            <w:r/>
            <w:r>
              <w:rPr>
                <w:color w:val="1A1D21"/>
                <w:sz w:val="17"/>
              </w:rPr>
              <w:t>246,812</w:t>
            </w:r>
          </w:p>
        </w:tc>
      </w:tr>
      <w:tr>
        <w:trPr>
          <w:cantSplit/>
        </w:trPr>
        <w:tc>
          <w:tcPr>
            <w:tcW w:type="dxa" w:w="2421"/>
          </w:tcPr>
          <w:p>
            <w:r/>
            <w:r>
              <w:rPr>
                <w:color w:val="1A1D21"/>
                <w:sz w:val="17"/>
              </w:rPr>
              <w:t>Shareholders' funds</w:t>
            </w:r>
          </w:p>
        </w:tc>
        <w:tc>
          <w:tcPr>
            <w:tcW w:type="dxa" w:w="964"/>
          </w:tcPr>
          <w:p>
            <w:pPr>
              <w:jc w:val="right"/>
            </w:pPr>
            <w:r/>
            <w:r>
              <w:rPr>
                <w:color w:val="1A1D21"/>
                <w:sz w:val="17"/>
              </w:rPr>
              <w:t>21,428</w:t>
            </w:r>
          </w:p>
        </w:tc>
        <w:tc>
          <w:tcPr>
            <w:tcW w:type="dxa" w:w="964"/>
          </w:tcPr>
          <w:p>
            <w:pPr>
              <w:jc w:val="right"/>
            </w:pPr>
            <w:r/>
            <w:r>
              <w:rPr>
                <w:color w:val="1A1D21"/>
                <w:sz w:val="17"/>
              </w:rPr>
              <w:t>25,603</w:t>
            </w:r>
          </w:p>
        </w:tc>
        <w:tc>
          <w:tcPr>
            <w:tcW w:type="dxa" w:w="964"/>
          </w:tcPr>
          <w:p>
            <w:pPr>
              <w:jc w:val="right"/>
            </w:pPr>
            <w:r/>
            <w:r>
              <w:rPr>
                <w:color w:val="1A1D21"/>
                <w:sz w:val="17"/>
              </w:rPr>
              <w:t>31,384</w:t>
            </w:r>
          </w:p>
        </w:tc>
        <w:tc>
          <w:tcPr>
            <w:tcW w:type="dxa" w:w="964"/>
          </w:tcPr>
          <w:p>
            <w:pPr>
              <w:jc w:val="right"/>
            </w:pPr>
            <w:r/>
            <w:r>
              <w:rPr>
                <w:color w:val="1A1D21"/>
                <w:sz w:val="17"/>
              </w:rPr>
              <w:t>38,874</w:t>
            </w:r>
          </w:p>
        </w:tc>
        <w:tc>
          <w:tcPr>
            <w:tcW w:type="dxa" w:w="964"/>
          </w:tcPr>
          <w:p>
            <w:pPr>
              <w:jc w:val="right"/>
            </w:pPr>
            <w:r/>
            <w:r>
              <w:rPr>
                <w:color w:val="1A1D21"/>
                <w:sz w:val="17"/>
              </w:rPr>
              <w:t>48,203</w:t>
            </w:r>
          </w:p>
        </w:tc>
        <w:tc>
          <w:tcPr>
            <w:tcW w:type="dxa" w:w="964"/>
          </w:tcPr>
          <w:p>
            <w:pPr>
              <w:jc w:val="right"/>
            </w:pPr>
            <w:r/>
            <w:r>
              <w:rPr>
                <w:color w:val="1A1D21"/>
                <w:sz w:val="17"/>
              </w:rPr>
              <w:t>125,915</w:t>
            </w:r>
          </w:p>
        </w:tc>
        <w:tc>
          <w:tcPr>
            <w:tcW w:type="dxa" w:w="964"/>
          </w:tcPr>
          <w:p>
            <w:pPr>
              <w:jc w:val="right"/>
            </w:pPr>
            <w:r/>
            <w:r>
              <w:rPr>
                <w:color w:val="1A1D21"/>
                <w:sz w:val="17"/>
              </w:rPr>
              <w:t>252,570</w:t>
            </w:r>
          </w:p>
        </w:tc>
      </w:tr>
      <w:tr>
        <w:trPr>
          <w:cantSplit/>
        </w:trPr>
        <w:tc>
          <w:tcPr>
            <w:tcW w:type="dxa" w:w="2421"/>
          </w:tcPr>
          <w:p>
            <w:r/>
            <w:r>
              <w:rPr>
                <w:color w:val="1A1D21"/>
                <w:sz w:val="17"/>
              </w:rPr>
              <w:t>Total liabilities and equity</w:t>
            </w:r>
          </w:p>
        </w:tc>
        <w:tc>
          <w:tcPr>
            <w:tcW w:type="dxa" w:w="964"/>
          </w:tcPr>
          <w:p>
            <w:pPr>
              <w:jc w:val="right"/>
            </w:pPr>
            <w:r/>
            <w:r>
              <w:rPr>
                <w:color w:val="1A1D21"/>
                <w:sz w:val="17"/>
              </w:rPr>
              <w:t>174,204</w:t>
            </w:r>
          </w:p>
        </w:tc>
        <w:tc>
          <w:tcPr>
            <w:tcW w:type="dxa" w:w="964"/>
          </w:tcPr>
          <w:p>
            <w:pPr>
              <w:jc w:val="right"/>
            </w:pPr>
            <w:r/>
            <w:r>
              <w:rPr>
                <w:color w:val="1A1D21"/>
                <w:sz w:val="17"/>
              </w:rPr>
              <w:t>178,590</w:t>
            </w:r>
          </w:p>
        </w:tc>
        <w:tc>
          <w:tcPr>
            <w:tcW w:type="dxa" w:w="964"/>
          </w:tcPr>
          <w:p>
            <w:pPr>
              <w:jc w:val="right"/>
            </w:pPr>
            <w:r/>
            <w:r>
              <w:rPr>
                <w:color w:val="1A1D21"/>
                <w:sz w:val="17"/>
              </w:rPr>
              <w:t>185,428</w:t>
            </w:r>
          </w:p>
        </w:tc>
        <w:tc>
          <w:tcPr>
            <w:tcW w:type="dxa" w:w="964"/>
          </w:tcPr>
          <w:p>
            <w:pPr>
              <w:jc w:val="right"/>
            </w:pPr>
            <w:r/>
            <w:r>
              <w:rPr>
                <w:color w:val="1A1D21"/>
                <w:sz w:val="17"/>
              </w:rPr>
              <w:t>194,877</w:t>
            </w:r>
          </w:p>
        </w:tc>
        <w:tc>
          <w:tcPr>
            <w:tcW w:type="dxa" w:w="964"/>
          </w:tcPr>
          <w:p>
            <w:pPr>
              <w:jc w:val="right"/>
            </w:pPr>
            <w:r/>
            <w:r>
              <w:rPr>
                <w:color w:val="1A1D21"/>
                <w:sz w:val="17"/>
              </w:rPr>
              <w:t>207,134</w:t>
            </w:r>
          </w:p>
        </w:tc>
        <w:tc>
          <w:tcPr>
            <w:tcW w:type="dxa" w:w="964"/>
          </w:tcPr>
          <w:p>
            <w:pPr>
              <w:jc w:val="right"/>
            </w:pPr>
            <w:r/>
            <w:r>
              <w:rPr>
                <w:color w:val="1A1D21"/>
                <w:sz w:val="17"/>
              </w:rPr>
              <w:t>315,877</w:t>
            </w:r>
          </w:p>
        </w:tc>
        <w:tc>
          <w:tcPr>
            <w:tcW w:type="dxa" w:w="964"/>
          </w:tcPr>
          <w:p>
            <w:pPr>
              <w:jc w:val="right"/>
            </w:pPr>
            <w:r/>
            <w:r>
              <w:rPr>
                <w:color w:val="1A1D21"/>
                <w:sz w:val="17"/>
              </w:rPr>
              <w:t>499,383</w:t>
            </w:r>
          </w:p>
        </w:tc>
      </w:tr>
    </w:tbl>
    <w:p>
      <w:pPr>
        <w:spacing w:after="200"/>
      </w:pPr>
      <w:r>
        <w:rPr>
          <w:b w:val="0"/>
          <w:i/>
          <w:color w:val="5B6570"/>
          <w:sz w:val="16"/>
        </w:rPr>
        <w:t>Assets equal liabilities plus shareholders' funds in every year, to the same tenth of a million the audited 2025 sheet itself foots to.</w:t>
      </w:r>
    </w:p>
    <w:tbl>
      <w:tblPr>
        <w:tblStyle w:val="TableGrid"/>
        <w:tblW w:type="auto" w:w="0"/>
        <w:jc w:val="center"/>
        <w:tblLayout w:type="fixed"/>
        <w:tblLook w:firstColumn="1" w:firstRow="1" w:lastColumn="0" w:lastRow="0" w:noHBand="0" w:noVBand="1" w:val="04A0"/>
        <w:tblLayout w:type="fixed"/>
      </w:tblPr>
      <w:tblGrid>
        <w:gridCol w:w="2421"/>
        <w:gridCol w:w="964"/>
        <w:gridCol w:w="964"/>
        <w:gridCol w:w="964"/>
        <w:gridCol w:w="964"/>
        <w:gridCol w:w="964"/>
        <w:gridCol w:w="964"/>
        <w:gridCol w:w="964"/>
      </w:tblGrid>
      <w:tr>
        <w:trPr>
          <w:tblHeader w:val="true"/>
        </w:trPr>
        <w:tc>
          <w:tcPr>
            <w:tcW w:type="dxa" w:w="2421"/>
          </w:tcPr>
          <w:p>
            <w:r/>
            <w:r>
              <w:rPr>
                <w:b/>
                <w:color w:val="5B6570"/>
                <w:sz w:val="17"/>
              </w:rPr>
              <w:t>Forecast cash flow, EGP million</w:t>
            </w:r>
          </w:p>
        </w:tc>
        <w:tc>
          <w:tcPr>
            <w:tcW w:type="dxa" w:w="964"/>
          </w:tcPr>
          <w:p>
            <w:r/>
            <w:r>
              <w:rPr>
                <w:b/>
                <w:color w:val="5B6570"/>
                <w:sz w:val="17"/>
              </w:rPr>
              <w:t>2026</w:t>
            </w:r>
          </w:p>
        </w:tc>
        <w:tc>
          <w:tcPr>
            <w:tcW w:type="dxa" w:w="964"/>
          </w:tcPr>
          <w:p>
            <w:r/>
            <w:r>
              <w:rPr>
                <w:b/>
                <w:color w:val="5B6570"/>
                <w:sz w:val="17"/>
              </w:rPr>
              <w:t>2027</w:t>
            </w:r>
          </w:p>
        </w:tc>
        <w:tc>
          <w:tcPr>
            <w:tcW w:type="dxa" w:w="964"/>
          </w:tcPr>
          <w:p>
            <w:r/>
            <w:r>
              <w:rPr>
                <w:b/>
                <w:color w:val="5B6570"/>
                <w:sz w:val="17"/>
              </w:rPr>
              <w:t>2028</w:t>
            </w:r>
          </w:p>
        </w:tc>
        <w:tc>
          <w:tcPr>
            <w:tcW w:type="dxa" w:w="964"/>
          </w:tcPr>
          <w:p>
            <w:r/>
            <w:r>
              <w:rPr>
                <w:b/>
                <w:color w:val="5B6570"/>
                <w:sz w:val="17"/>
              </w:rPr>
              <w:t>2029</w:t>
            </w:r>
          </w:p>
        </w:tc>
        <w:tc>
          <w:tcPr>
            <w:tcW w:type="dxa" w:w="964"/>
          </w:tcPr>
          <w:p>
            <w:r/>
            <w:r>
              <w:rPr>
                <w:b/>
                <w:color w:val="5B6570"/>
                <w:sz w:val="17"/>
              </w:rPr>
              <w:t>2030</w:t>
            </w:r>
          </w:p>
        </w:tc>
        <w:tc>
          <w:tcPr>
            <w:tcW w:type="dxa" w:w="964"/>
          </w:tcPr>
          <w:p>
            <w:r/>
            <w:r>
              <w:rPr>
                <w:b/>
                <w:color w:val="5B6570"/>
                <w:sz w:val="17"/>
              </w:rPr>
              <w:t>2035</w:t>
            </w:r>
          </w:p>
        </w:tc>
        <w:tc>
          <w:tcPr>
            <w:tcW w:type="dxa" w:w="964"/>
          </w:tcPr>
          <w:p>
            <w:r/>
            <w:r>
              <w:rPr>
                <w:b/>
                <w:color w:val="5B6570"/>
                <w:sz w:val="17"/>
              </w:rPr>
              <w:t>2040</w:t>
            </w:r>
          </w:p>
        </w:tc>
      </w:tr>
      <w:tr>
        <w:trPr>
          <w:cantSplit/>
        </w:trPr>
        <w:tc>
          <w:tcPr>
            <w:tcW w:type="dxa" w:w="2421"/>
          </w:tcPr>
          <w:p>
            <w:r/>
            <w:r>
              <w:rPr>
                <w:color w:val="1A1D21"/>
                <w:sz w:val="17"/>
              </w:rPr>
              <w:t>Net profit</w:t>
            </w:r>
          </w:p>
        </w:tc>
        <w:tc>
          <w:tcPr>
            <w:tcW w:type="dxa" w:w="964"/>
          </w:tcPr>
          <w:p>
            <w:pPr>
              <w:jc w:val="right"/>
            </w:pPr>
            <w:r/>
            <w:r>
              <w:rPr>
                <w:color w:val="1A1D21"/>
                <w:sz w:val="17"/>
              </w:rPr>
              <w:t>2,662</w:t>
            </w:r>
          </w:p>
        </w:tc>
        <w:tc>
          <w:tcPr>
            <w:tcW w:type="dxa" w:w="964"/>
          </w:tcPr>
          <w:p>
            <w:pPr>
              <w:jc w:val="right"/>
            </w:pPr>
            <w:r/>
            <w:r>
              <w:rPr>
                <w:color w:val="1A1D21"/>
                <w:sz w:val="17"/>
              </w:rPr>
              <w:t>4,176</w:t>
            </w:r>
          </w:p>
        </w:tc>
        <w:tc>
          <w:tcPr>
            <w:tcW w:type="dxa" w:w="964"/>
          </w:tcPr>
          <w:p>
            <w:pPr>
              <w:jc w:val="right"/>
            </w:pPr>
            <w:r/>
            <w:r>
              <w:rPr>
                <w:color w:val="1A1D21"/>
                <w:sz w:val="17"/>
              </w:rPr>
              <w:t>5,781</w:t>
            </w:r>
          </w:p>
        </w:tc>
        <w:tc>
          <w:tcPr>
            <w:tcW w:type="dxa" w:w="964"/>
          </w:tcPr>
          <w:p>
            <w:pPr>
              <w:jc w:val="right"/>
            </w:pPr>
            <w:r/>
            <w:r>
              <w:rPr>
                <w:color w:val="1A1D21"/>
                <w:sz w:val="17"/>
              </w:rPr>
              <w:t>7,490</w:t>
            </w:r>
          </w:p>
        </w:tc>
        <w:tc>
          <w:tcPr>
            <w:tcW w:type="dxa" w:w="964"/>
          </w:tcPr>
          <w:p>
            <w:pPr>
              <w:jc w:val="right"/>
            </w:pPr>
            <w:r/>
            <w:r>
              <w:rPr>
                <w:color w:val="1A1D21"/>
                <w:sz w:val="17"/>
              </w:rPr>
              <w:t>9,329</w:t>
            </w:r>
          </w:p>
        </w:tc>
        <w:tc>
          <w:tcPr>
            <w:tcW w:type="dxa" w:w="964"/>
          </w:tcPr>
          <w:p>
            <w:pPr>
              <w:jc w:val="right"/>
            </w:pPr>
            <w:r/>
            <w:r>
              <w:rPr>
                <w:color w:val="1A1D21"/>
                <w:sz w:val="17"/>
              </w:rPr>
              <w:t>19,762</w:t>
            </w:r>
          </w:p>
        </w:tc>
        <w:tc>
          <w:tcPr>
            <w:tcW w:type="dxa" w:w="964"/>
          </w:tcPr>
          <w:p>
            <w:pPr>
              <w:jc w:val="right"/>
            </w:pPr>
            <w:r/>
            <w:r>
              <w:rPr>
                <w:color w:val="1A1D21"/>
                <w:sz w:val="17"/>
              </w:rPr>
              <w:t>29,232</w:t>
            </w:r>
          </w:p>
        </w:tc>
      </w:tr>
      <w:tr>
        <w:trPr>
          <w:cantSplit/>
        </w:trPr>
        <w:tc>
          <w:tcPr>
            <w:tcW w:type="dxa" w:w="2421"/>
          </w:tcPr>
          <w:p>
            <w:r/>
            <w:r>
              <w:rPr>
                <w:color w:val="1A1D21"/>
                <w:sz w:val="17"/>
              </w:rPr>
              <w:t>Depreciation and amortisation</w:t>
            </w:r>
          </w:p>
        </w:tc>
        <w:tc>
          <w:tcPr>
            <w:tcW w:type="dxa" w:w="964"/>
          </w:tcPr>
          <w:p>
            <w:pPr>
              <w:jc w:val="right"/>
            </w:pPr>
            <w:r/>
            <w:r>
              <w:rPr>
                <w:color w:val="1A1D21"/>
                <w:sz w:val="17"/>
              </w:rPr>
              <w:t>394</w:t>
            </w:r>
          </w:p>
        </w:tc>
        <w:tc>
          <w:tcPr>
            <w:tcW w:type="dxa" w:w="964"/>
          </w:tcPr>
          <w:p>
            <w:pPr>
              <w:jc w:val="right"/>
            </w:pPr>
            <w:r/>
            <w:r>
              <w:rPr>
                <w:color w:val="1A1D21"/>
                <w:sz w:val="17"/>
              </w:rPr>
              <w:t>507</w:t>
            </w:r>
          </w:p>
        </w:tc>
        <w:tc>
          <w:tcPr>
            <w:tcW w:type="dxa" w:w="964"/>
          </w:tcPr>
          <w:p>
            <w:pPr>
              <w:jc w:val="right"/>
            </w:pPr>
            <w:r/>
            <w:r>
              <w:rPr>
                <w:color w:val="1A1D21"/>
                <w:sz w:val="17"/>
              </w:rPr>
              <w:t>628</w:t>
            </w:r>
          </w:p>
        </w:tc>
        <w:tc>
          <w:tcPr>
            <w:tcW w:type="dxa" w:w="964"/>
          </w:tcPr>
          <w:p>
            <w:pPr>
              <w:jc w:val="right"/>
            </w:pPr>
            <w:r/>
            <w:r>
              <w:rPr>
                <w:color w:val="1A1D21"/>
                <w:sz w:val="17"/>
              </w:rPr>
              <w:t>756</w:t>
            </w:r>
          </w:p>
        </w:tc>
        <w:tc>
          <w:tcPr>
            <w:tcW w:type="dxa" w:w="964"/>
          </w:tcPr>
          <w:p>
            <w:pPr>
              <w:jc w:val="right"/>
            </w:pPr>
            <w:r/>
            <w:r>
              <w:rPr>
                <w:color w:val="1A1D21"/>
                <w:sz w:val="17"/>
              </w:rPr>
              <w:t>893</w:t>
            </w:r>
          </w:p>
        </w:tc>
        <w:tc>
          <w:tcPr>
            <w:tcW w:type="dxa" w:w="964"/>
          </w:tcPr>
          <w:p>
            <w:pPr>
              <w:jc w:val="right"/>
            </w:pPr>
            <w:r/>
            <w:r>
              <w:rPr>
                <w:color w:val="1A1D21"/>
                <w:sz w:val="17"/>
              </w:rPr>
              <w:t>1,675</w:t>
            </w:r>
          </w:p>
        </w:tc>
        <w:tc>
          <w:tcPr>
            <w:tcW w:type="dxa" w:w="964"/>
          </w:tcPr>
          <w:p>
            <w:pPr>
              <w:jc w:val="right"/>
            </w:pPr>
            <w:r/>
            <w:r>
              <w:rPr>
                <w:color w:val="1A1D21"/>
                <w:sz w:val="17"/>
              </w:rPr>
              <w:t>2,385</w:t>
            </w:r>
          </w:p>
        </w:tc>
      </w:tr>
      <w:tr>
        <w:trPr>
          <w:cantSplit/>
        </w:trPr>
        <w:tc>
          <w:tcPr>
            <w:tcW w:type="dxa" w:w="2421"/>
          </w:tcPr>
          <w:p>
            <w:r/>
            <w:r>
              <w:rPr>
                <w:color w:val="1A1D21"/>
                <w:sz w:val="17"/>
              </w:rPr>
              <w:t>Change in working capital, cash effect</w:t>
            </w:r>
          </w:p>
        </w:tc>
        <w:tc>
          <w:tcPr>
            <w:tcW w:type="dxa" w:w="964"/>
          </w:tcPr>
          <w:p>
            <w:pPr>
              <w:jc w:val="right"/>
            </w:pPr>
            <w:r/>
            <w:r>
              <w:rPr>
                <w:color w:val="1A1D21"/>
                <w:sz w:val="17"/>
              </w:rPr>
              <w:t>454</w:t>
            </w:r>
          </w:p>
        </w:tc>
        <w:tc>
          <w:tcPr>
            <w:tcW w:type="dxa" w:w="964"/>
          </w:tcPr>
          <w:p>
            <w:pPr>
              <w:jc w:val="right"/>
            </w:pPr>
            <w:r/>
            <w:r>
              <w:rPr>
                <w:color w:val="1A1D21"/>
                <w:sz w:val="17"/>
              </w:rPr>
              <w:t>-162</w:t>
            </w:r>
          </w:p>
        </w:tc>
        <w:tc>
          <w:tcPr>
            <w:tcW w:type="dxa" w:w="964"/>
          </w:tcPr>
          <w:p>
            <w:pPr>
              <w:jc w:val="right"/>
            </w:pPr>
            <w:r/>
            <w:r>
              <w:rPr>
                <w:color w:val="1A1D21"/>
                <w:sz w:val="17"/>
              </w:rPr>
              <w:t>-816</w:t>
            </w:r>
          </w:p>
        </w:tc>
        <w:tc>
          <w:tcPr>
            <w:tcW w:type="dxa" w:w="964"/>
          </w:tcPr>
          <w:p>
            <w:pPr>
              <w:jc w:val="right"/>
            </w:pPr>
            <w:r/>
            <w:r>
              <w:rPr>
                <w:color w:val="1A1D21"/>
                <w:sz w:val="17"/>
              </w:rPr>
              <w:t>-1,512</w:t>
            </w:r>
          </w:p>
        </w:tc>
        <w:tc>
          <w:tcPr>
            <w:tcW w:type="dxa" w:w="964"/>
          </w:tcPr>
          <w:p>
            <w:pPr>
              <w:jc w:val="right"/>
            </w:pPr>
            <w:r/>
            <w:r>
              <w:rPr>
                <w:color w:val="1A1D21"/>
                <w:sz w:val="17"/>
              </w:rPr>
              <w:t>-2,261</w:t>
            </w:r>
          </w:p>
        </w:tc>
        <w:tc>
          <w:tcPr>
            <w:tcW w:type="dxa" w:w="964"/>
          </w:tcPr>
          <w:p>
            <w:pPr>
              <w:jc w:val="right"/>
            </w:pPr>
            <w:r/>
            <w:r>
              <w:rPr>
                <w:color w:val="1A1D21"/>
                <w:sz w:val="17"/>
              </w:rPr>
              <w:t>-6,509</w:t>
            </w:r>
          </w:p>
        </w:tc>
        <w:tc>
          <w:tcPr>
            <w:tcW w:type="dxa" w:w="964"/>
          </w:tcPr>
          <w:p>
            <w:pPr>
              <w:jc w:val="right"/>
            </w:pPr>
            <w:r/>
            <w:r>
              <w:rPr>
                <w:color w:val="1A1D21"/>
                <w:sz w:val="17"/>
              </w:rPr>
              <w:t>-10,365</w:t>
            </w:r>
          </w:p>
        </w:tc>
      </w:tr>
      <w:tr>
        <w:trPr>
          <w:cantSplit/>
        </w:trPr>
        <w:tc>
          <w:tcPr>
            <w:tcW w:type="dxa" w:w="2421"/>
          </w:tcPr>
          <w:p>
            <w:r/>
            <w:r>
              <w:rPr>
                <w:color w:val="1A1D21"/>
                <w:sz w:val="17"/>
              </w:rPr>
              <w:t>Cash from operations</w:t>
            </w:r>
          </w:p>
        </w:tc>
        <w:tc>
          <w:tcPr>
            <w:tcW w:type="dxa" w:w="964"/>
          </w:tcPr>
          <w:p>
            <w:pPr>
              <w:jc w:val="right"/>
            </w:pPr>
            <w:r/>
            <w:r>
              <w:rPr>
                <w:color w:val="1A1D21"/>
                <w:sz w:val="17"/>
              </w:rPr>
              <w:t>3,510</w:t>
            </w:r>
          </w:p>
        </w:tc>
        <w:tc>
          <w:tcPr>
            <w:tcW w:type="dxa" w:w="964"/>
          </w:tcPr>
          <w:p>
            <w:pPr>
              <w:jc w:val="right"/>
            </w:pPr>
            <w:r/>
            <w:r>
              <w:rPr>
                <w:color w:val="1A1D21"/>
                <w:sz w:val="17"/>
              </w:rPr>
              <w:t>4,521</w:t>
            </w:r>
          </w:p>
        </w:tc>
        <w:tc>
          <w:tcPr>
            <w:tcW w:type="dxa" w:w="964"/>
          </w:tcPr>
          <w:p>
            <w:pPr>
              <w:jc w:val="right"/>
            </w:pPr>
            <w:r/>
            <w:r>
              <w:rPr>
                <w:color w:val="1A1D21"/>
                <w:sz w:val="17"/>
              </w:rPr>
              <w:t>5,593</w:t>
            </w:r>
          </w:p>
        </w:tc>
        <w:tc>
          <w:tcPr>
            <w:tcW w:type="dxa" w:w="964"/>
          </w:tcPr>
          <w:p>
            <w:pPr>
              <w:jc w:val="right"/>
            </w:pPr>
            <w:r/>
            <w:r>
              <w:rPr>
                <w:color w:val="1A1D21"/>
                <w:sz w:val="17"/>
              </w:rPr>
              <w:t>6,734</w:t>
            </w:r>
          </w:p>
        </w:tc>
        <w:tc>
          <w:tcPr>
            <w:tcW w:type="dxa" w:w="964"/>
          </w:tcPr>
          <w:p>
            <w:pPr>
              <w:jc w:val="right"/>
            </w:pPr>
            <w:r/>
            <w:r>
              <w:rPr>
                <w:color w:val="1A1D21"/>
                <w:sz w:val="17"/>
              </w:rPr>
              <w:t>7,961</w:t>
            </w:r>
          </w:p>
        </w:tc>
        <w:tc>
          <w:tcPr>
            <w:tcW w:type="dxa" w:w="964"/>
          </w:tcPr>
          <w:p>
            <w:pPr>
              <w:jc w:val="right"/>
            </w:pPr>
            <w:r/>
            <w:r>
              <w:rPr>
                <w:color w:val="1A1D21"/>
                <w:sz w:val="17"/>
              </w:rPr>
              <w:t>14,928</w:t>
            </w:r>
          </w:p>
        </w:tc>
        <w:tc>
          <w:tcPr>
            <w:tcW w:type="dxa" w:w="964"/>
          </w:tcPr>
          <w:p>
            <w:pPr>
              <w:jc w:val="right"/>
            </w:pPr>
            <w:r/>
            <w:r>
              <w:rPr>
                <w:color w:val="1A1D21"/>
                <w:sz w:val="17"/>
              </w:rPr>
              <w:t>21,251</w:t>
            </w:r>
          </w:p>
        </w:tc>
      </w:tr>
      <w:tr>
        <w:trPr>
          <w:cantSplit/>
        </w:trPr>
        <w:tc>
          <w:tcPr>
            <w:tcW w:type="dxa" w:w="2421"/>
          </w:tcPr>
          <w:p>
            <w:r/>
            <w:r>
              <w:rPr>
                <w:color w:val="1A1D21"/>
                <w:sz w:val="17"/>
              </w:rPr>
              <w:t xml:space="preserve">  as a share of revenue</w:t>
            </w:r>
          </w:p>
        </w:tc>
        <w:tc>
          <w:tcPr>
            <w:tcW w:type="dxa" w:w="964"/>
          </w:tcPr>
          <w:p>
            <w:pPr>
              <w:jc w:val="right"/>
            </w:pPr>
            <w:r/>
            <w:r>
              <w:rPr>
                <w:color w:val="1A1D21"/>
                <w:sz w:val="17"/>
              </w:rPr>
              <w:t>8.7%</w:t>
            </w:r>
          </w:p>
        </w:tc>
        <w:tc>
          <w:tcPr>
            <w:tcW w:type="dxa" w:w="964"/>
          </w:tcPr>
          <w:p>
            <w:pPr>
              <w:jc w:val="right"/>
            </w:pPr>
            <w:r/>
            <w:r>
              <w:rPr>
                <w:color w:val="1A1D21"/>
                <w:sz w:val="17"/>
              </w:rPr>
              <w:t>8.7%</w:t>
            </w:r>
          </w:p>
        </w:tc>
        <w:tc>
          <w:tcPr>
            <w:tcW w:type="dxa" w:w="964"/>
          </w:tcPr>
          <w:p>
            <w:pPr>
              <w:jc w:val="right"/>
            </w:pPr>
            <w:r/>
            <w:r>
              <w:rPr>
                <w:color w:val="1A1D21"/>
                <w:sz w:val="17"/>
              </w:rPr>
              <w:t>8.7%</w:t>
            </w:r>
          </w:p>
        </w:tc>
        <w:tc>
          <w:tcPr>
            <w:tcW w:type="dxa" w:w="964"/>
          </w:tcPr>
          <w:p>
            <w:pPr>
              <w:jc w:val="right"/>
            </w:pPr>
            <w:r/>
            <w:r>
              <w:rPr>
                <w:color w:val="1A1D21"/>
                <w:sz w:val="17"/>
              </w:rPr>
              <w:t>8.7%</w:t>
            </w:r>
          </w:p>
        </w:tc>
        <w:tc>
          <w:tcPr>
            <w:tcW w:type="dxa" w:w="964"/>
          </w:tcPr>
          <w:p>
            <w:pPr>
              <w:jc w:val="right"/>
            </w:pPr>
            <w:r/>
            <w:r>
              <w:rPr>
                <w:color w:val="1A1D21"/>
                <w:sz w:val="17"/>
              </w:rPr>
              <w:t>8.7%</w:t>
            </w:r>
          </w:p>
        </w:tc>
        <w:tc>
          <w:tcPr>
            <w:tcW w:type="dxa" w:w="964"/>
          </w:tcPr>
          <w:p>
            <w:pPr>
              <w:jc w:val="right"/>
            </w:pPr>
            <w:r/>
            <w:r>
              <w:rPr>
                <w:color w:val="1A1D21"/>
                <w:sz w:val="17"/>
              </w:rPr>
              <w:t>8.7%</w:t>
            </w:r>
          </w:p>
        </w:tc>
        <w:tc>
          <w:tcPr>
            <w:tcW w:type="dxa" w:w="964"/>
          </w:tcPr>
          <w:p>
            <w:pPr>
              <w:jc w:val="right"/>
            </w:pPr>
            <w:r/>
            <w:r>
              <w:rPr>
                <w:color w:val="1A1D21"/>
                <w:sz w:val="17"/>
              </w:rPr>
              <w:t>8.7%</w:t>
            </w:r>
          </w:p>
        </w:tc>
      </w:tr>
      <w:tr>
        <w:trPr>
          <w:cantSplit/>
        </w:trPr>
        <w:tc>
          <w:tcPr>
            <w:tcW w:type="dxa" w:w="2421"/>
          </w:tcPr>
          <w:p>
            <w:r/>
            <w:r>
              <w:rPr>
                <w:color w:val="1A1D21"/>
                <w:sz w:val="17"/>
              </w:rPr>
              <w:t>Capital expenditure</w:t>
            </w:r>
          </w:p>
        </w:tc>
        <w:tc>
          <w:tcPr>
            <w:tcW w:type="dxa" w:w="964"/>
          </w:tcPr>
          <w:p>
            <w:pPr>
              <w:jc w:val="right"/>
            </w:pPr>
            <w:r/>
            <w:r>
              <w:rPr>
                <w:color w:val="1A1D21"/>
                <w:sz w:val="17"/>
              </w:rPr>
              <w:t>-403</w:t>
            </w:r>
          </w:p>
        </w:tc>
        <w:tc>
          <w:tcPr>
            <w:tcW w:type="dxa" w:w="964"/>
          </w:tcPr>
          <w:p>
            <w:pPr>
              <w:jc w:val="right"/>
            </w:pPr>
            <w:r/>
            <w:r>
              <w:rPr>
                <w:color w:val="1A1D21"/>
                <w:sz w:val="17"/>
              </w:rPr>
              <w:t>-519</w:t>
            </w:r>
          </w:p>
        </w:tc>
        <w:tc>
          <w:tcPr>
            <w:tcW w:type="dxa" w:w="964"/>
          </w:tcPr>
          <w:p>
            <w:pPr>
              <w:jc w:val="right"/>
            </w:pPr>
            <w:r/>
            <w:r>
              <w:rPr>
                <w:color w:val="1A1D21"/>
                <w:sz w:val="17"/>
              </w:rPr>
              <w:t>-642</w:t>
            </w:r>
          </w:p>
        </w:tc>
        <w:tc>
          <w:tcPr>
            <w:tcW w:type="dxa" w:w="964"/>
          </w:tcPr>
          <w:p>
            <w:pPr>
              <w:jc w:val="right"/>
            </w:pPr>
            <w:r/>
            <w:r>
              <w:rPr>
                <w:color w:val="1A1D21"/>
                <w:sz w:val="17"/>
              </w:rPr>
              <w:t>-773</w:t>
            </w:r>
          </w:p>
        </w:tc>
        <w:tc>
          <w:tcPr>
            <w:tcW w:type="dxa" w:w="964"/>
          </w:tcPr>
          <w:p>
            <w:pPr>
              <w:jc w:val="right"/>
            </w:pPr>
            <w:r/>
            <w:r>
              <w:rPr>
                <w:color w:val="1A1D21"/>
                <w:sz w:val="17"/>
              </w:rPr>
              <w:t>-914</w:t>
            </w:r>
          </w:p>
        </w:tc>
        <w:tc>
          <w:tcPr>
            <w:tcW w:type="dxa" w:w="964"/>
          </w:tcPr>
          <w:p>
            <w:pPr>
              <w:jc w:val="right"/>
            </w:pPr>
            <w:r/>
            <w:r>
              <w:rPr>
                <w:color w:val="1A1D21"/>
                <w:sz w:val="17"/>
              </w:rPr>
              <w:t>-1,713</w:t>
            </w:r>
          </w:p>
        </w:tc>
        <w:tc>
          <w:tcPr>
            <w:tcW w:type="dxa" w:w="964"/>
          </w:tcPr>
          <w:p>
            <w:pPr>
              <w:jc w:val="right"/>
            </w:pPr>
            <w:r/>
            <w:r>
              <w:rPr>
                <w:color w:val="1A1D21"/>
                <w:sz w:val="17"/>
              </w:rPr>
              <w:t>-2,439</w:t>
            </w:r>
          </w:p>
        </w:tc>
      </w:tr>
      <w:tr>
        <w:trPr>
          <w:cantSplit/>
        </w:trPr>
        <w:tc>
          <w:tcPr>
            <w:tcW w:type="dxa" w:w="2421"/>
          </w:tcPr>
          <w:p>
            <w:r/>
            <w:r>
              <w:rPr>
                <w:color w:val="1A1D21"/>
                <w:sz w:val="17"/>
              </w:rPr>
              <w:t>New borrowing drawn</w:t>
            </w:r>
          </w:p>
        </w:tc>
        <w:tc>
          <w:tcPr>
            <w:tcW w:type="dxa" w:w="964"/>
          </w:tcPr>
          <w:p>
            <w:pPr>
              <w:jc w:val="right"/>
            </w:pPr>
            <w:r/>
            <w:r>
              <w:rPr>
                <w:color w:val="1A1D21"/>
                <w:sz w:val="17"/>
              </w:rPr>
              <w:t>0</w:t>
            </w:r>
          </w:p>
        </w:tc>
        <w:tc>
          <w:tcPr>
            <w:tcW w:type="dxa" w:w="964"/>
          </w:tcPr>
          <w:p>
            <w:pPr>
              <w:jc w:val="right"/>
            </w:pPr>
            <w:r/>
            <w:r>
              <w:rPr>
                <w:color w:val="1A1D21"/>
                <w:sz w:val="17"/>
              </w:rPr>
              <w:t>0</w:t>
            </w:r>
          </w:p>
        </w:tc>
        <w:tc>
          <w:tcPr>
            <w:tcW w:type="dxa" w:w="964"/>
          </w:tcPr>
          <w:p>
            <w:pPr>
              <w:jc w:val="right"/>
            </w:pPr>
            <w:r/>
            <w:r>
              <w:rPr>
                <w:color w:val="1A1D21"/>
                <w:sz w:val="17"/>
              </w:rPr>
              <w:t>0</w:t>
            </w:r>
          </w:p>
        </w:tc>
        <w:tc>
          <w:tcPr>
            <w:tcW w:type="dxa" w:w="964"/>
          </w:tcPr>
          <w:p>
            <w:pPr>
              <w:jc w:val="right"/>
            </w:pPr>
            <w:r/>
            <w:r>
              <w:rPr>
                <w:color w:val="1A1D21"/>
                <w:sz w:val="17"/>
              </w:rPr>
              <w:t>0</w:t>
            </w:r>
          </w:p>
        </w:tc>
        <w:tc>
          <w:tcPr>
            <w:tcW w:type="dxa" w:w="964"/>
          </w:tcPr>
          <w:p>
            <w:pPr>
              <w:jc w:val="right"/>
            </w:pPr>
            <w:r/>
            <w:r>
              <w:rPr>
                <w:color w:val="1A1D21"/>
                <w:sz w:val="17"/>
              </w:rPr>
              <w:t>0</w:t>
            </w:r>
          </w:p>
        </w:tc>
        <w:tc>
          <w:tcPr>
            <w:tcW w:type="dxa" w:w="964"/>
          </w:tcPr>
          <w:p>
            <w:pPr>
              <w:jc w:val="right"/>
            </w:pPr>
            <w:r/>
            <w:r>
              <w:rPr>
                <w:color w:val="1A1D21"/>
                <w:sz w:val="17"/>
              </w:rPr>
              <w:t>0</w:t>
            </w:r>
          </w:p>
        </w:tc>
        <w:tc>
          <w:tcPr>
            <w:tcW w:type="dxa" w:w="964"/>
          </w:tcPr>
          <w:p>
            <w:pPr>
              <w:jc w:val="right"/>
            </w:pPr>
            <w:r/>
            <w:r>
              <w:rPr>
                <w:color w:val="1A1D21"/>
                <w:sz w:val="17"/>
              </w:rPr>
              <w:t>0</w:t>
            </w:r>
          </w:p>
        </w:tc>
      </w:tr>
      <w:tr>
        <w:trPr>
          <w:cantSplit/>
        </w:trPr>
        <w:tc>
          <w:tcPr>
            <w:tcW w:type="dxa" w:w="2421"/>
          </w:tcPr>
          <w:p>
            <w:r/>
            <w:r>
              <w:rPr>
                <w:color w:val="1A1D21"/>
                <w:sz w:val="17"/>
              </w:rPr>
              <w:t>Closing cash</w:t>
            </w:r>
          </w:p>
        </w:tc>
        <w:tc>
          <w:tcPr>
            <w:tcW w:type="dxa" w:w="964"/>
          </w:tcPr>
          <w:p>
            <w:pPr>
              <w:jc w:val="right"/>
            </w:pPr>
            <w:r/>
            <w:r>
              <w:rPr>
                <w:color w:val="1A1D21"/>
                <w:sz w:val="17"/>
              </w:rPr>
              <w:t>12,526</w:t>
            </w:r>
          </w:p>
        </w:tc>
        <w:tc>
          <w:tcPr>
            <w:tcW w:type="dxa" w:w="964"/>
          </w:tcPr>
          <w:p>
            <w:pPr>
              <w:jc w:val="right"/>
            </w:pPr>
            <w:r/>
            <w:r>
              <w:rPr>
                <w:color w:val="1A1D21"/>
                <w:sz w:val="17"/>
              </w:rPr>
              <w:t>16,528</w:t>
            </w:r>
          </w:p>
        </w:tc>
        <w:tc>
          <w:tcPr>
            <w:tcW w:type="dxa" w:w="964"/>
          </w:tcPr>
          <w:p>
            <w:pPr>
              <w:jc w:val="right"/>
            </w:pPr>
            <w:r/>
            <w:r>
              <w:rPr>
                <w:color w:val="1A1D21"/>
                <w:sz w:val="17"/>
              </w:rPr>
              <w:t>21,479</w:t>
            </w:r>
          </w:p>
        </w:tc>
        <w:tc>
          <w:tcPr>
            <w:tcW w:type="dxa" w:w="964"/>
          </w:tcPr>
          <w:p>
            <w:pPr>
              <w:jc w:val="right"/>
            </w:pPr>
            <w:r/>
            <w:r>
              <w:rPr>
                <w:color w:val="1A1D21"/>
                <w:sz w:val="17"/>
              </w:rPr>
              <w:t>27,440</w:t>
            </w:r>
          </w:p>
        </w:tc>
        <w:tc>
          <w:tcPr>
            <w:tcW w:type="dxa" w:w="964"/>
          </w:tcPr>
          <w:p>
            <w:pPr>
              <w:jc w:val="right"/>
            </w:pPr>
            <w:r/>
            <w:r>
              <w:rPr>
                <w:color w:val="1A1D21"/>
                <w:sz w:val="17"/>
              </w:rPr>
              <w:t>34,488</w:t>
            </w:r>
          </w:p>
        </w:tc>
        <w:tc>
          <w:tcPr>
            <w:tcW w:type="dxa" w:w="964"/>
          </w:tcPr>
          <w:p>
            <w:pPr>
              <w:jc w:val="right"/>
            </w:pPr>
            <w:r/>
            <w:r>
              <w:rPr>
                <w:color w:val="1A1D21"/>
                <w:sz w:val="17"/>
              </w:rPr>
              <w:t>88,091</w:t>
            </w:r>
          </w:p>
        </w:tc>
        <w:tc>
          <w:tcPr>
            <w:tcW w:type="dxa" w:w="964"/>
          </w:tcPr>
          <w:p>
            <w:pPr>
              <w:jc w:val="right"/>
            </w:pPr>
            <w:r/>
            <w:r>
              <w:rPr>
                <w:color w:val="1A1D21"/>
                <w:sz w:val="17"/>
              </w:rPr>
              <w:t>170,626</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2421"/>
        <w:gridCol w:w="964"/>
        <w:gridCol w:w="964"/>
        <w:gridCol w:w="964"/>
        <w:gridCol w:w="964"/>
        <w:gridCol w:w="964"/>
        <w:gridCol w:w="964"/>
        <w:gridCol w:w="964"/>
      </w:tblGrid>
      <w:tr>
        <w:trPr>
          <w:tblHeader w:val="true"/>
        </w:trPr>
        <w:tc>
          <w:tcPr>
            <w:tcW w:type="dxa" w:w="2421"/>
          </w:tcPr>
          <w:p>
            <w:r/>
            <w:r>
              <w:rPr>
                <w:b/>
                <w:color w:val="5B6570"/>
                <w:sz w:val="17"/>
              </w:rPr>
              <w:t>The cycle this implies</w:t>
            </w:r>
          </w:p>
        </w:tc>
        <w:tc>
          <w:tcPr>
            <w:tcW w:type="dxa" w:w="964"/>
          </w:tcPr>
          <w:p>
            <w:r/>
            <w:r>
              <w:rPr>
                <w:b/>
                <w:color w:val="5B6570"/>
                <w:sz w:val="17"/>
              </w:rPr>
              <w:t>2026</w:t>
            </w:r>
          </w:p>
        </w:tc>
        <w:tc>
          <w:tcPr>
            <w:tcW w:type="dxa" w:w="964"/>
          </w:tcPr>
          <w:p>
            <w:r/>
            <w:r>
              <w:rPr>
                <w:b/>
                <w:color w:val="5B6570"/>
                <w:sz w:val="17"/>
              </w:rPr>
              <w:t>2027</w:t>
            </w:r>
          </w:p>
        </w:tc>
        <w:tc>
          <w:tcPr>
            <w:tcW w:type="dxa" w:w="964"/>
          </w:tcPr>
          <w:p>
            <w:r/>
            <w:r>
              <w:rPr>
                <w:b/>
                <w:color w:val="5B6570"/>
                <w:sz w:val="17"/>
              </w:rPr>
              <w:t>2028</w:t>
            </w:r>
          </w:p>
        </w:tc>
        <w:tc>
          <w:tcPr>
            <w:tcW w:type="dxa" w:w="964"/>
          </w:tcPr>
          <w:p>
            <w:r/>
            <w:r>
              <w:rPr>
                <w:b/>
                <w:color w:val="5B6570"/>
                <w:sz w:val="17"/>
              </w:rPr>
              <w:t>2029</w:t>
            </w:r>
          </w:p>
        </w:tc>
        <w:tc>
          <w:tcPr>
            <w:tcW w:type="dxa" w:w="964"/>
          </w:tcPr>
          <w:p>
            <w:r/>
            <w:r>
              <w:rPr>
                <w:b/>
                <w:color w:val="5B6570"/>
                <w:sz w:val="17"/>
              </w:rPr>
              <w:t>2030</w:t>
            </w:r>
          </w:p>
        </w:tc>
        <w:tc>
          <w:tcPr>
            <w:tcW w:type="dxa" w:w="964"/>
          </w:tcPr>
          <w:p>
            <w:r/>
            <w:r>
              <w:rPr>
                <w:b/>
                <w:color w:val="5B6570"/>
                <w:sz w:val="17"/>
              </w:rPr>
              <w:t>2035</w:t>
            </w:r>
          </w:p>
        </w:tc>
        <w:tc>
          <w:tcPr>
            <w:tcW w:type="dxa" w:w="964"/>
          </w:tcPr>
          <w:p>
            <w:r/>
            <w:r>
              <w:rPr>
                <w:b/>
                <w:color w:val="5B6570"/>
                <w:sz w:val="17"/>
              </w:rPr>
              <w:t>2040</w:t>
            </w:r>
          </w:p>
        </w:tc>
      </w:tr>
      <w:tr>
        <w:trPr>
          <w:cantSplit/>
        </w:trPr>
        <w:tc>
          <w:tcPr>
            <w:tcW w:type="dxa" w:w="2421"/>
          </w:tcPr>
          <w:p>
            <w:r/>
            <w:r>
              <w:rPr>
                <w:color w:val="1A1D21"/>
                <w:sz w:val="17"/>
              </w:rPr>
              <w:t>Collection period, days</w:t>
            </w:r>
          </w:p>
        </w:tc>
        <w:tc>
          <w:tcPr>
            <w:tcW w:type="dxa" w:w="964"/>
          </w:tcPr>
          <w:p>
            <w:pPr>
              <w:jc w:val="right"/>
            </w:pPr>
            <w:r/>
            <w:r>
              <w:rPr>
                <w:color w:val="1A1D21"/>
                <w:sz w:val="17"/>
              </w:rPr>
              <w:t>931</w:t>
            </w:r>
          </w:p>
        </w:tc>
        <w:tc>
          <w:tcPr>
            <w:tcW w:type="dxa" w:w="964"/>
          </w:tcPr>
          <w:p>
            <w:pPr>
              <w:jc w:val="right"/>
            </w:pPr>
            <w:r/>
            <w:r>
              <w:rPr>
                <w:color w:val="1A1D21"/>
                <w:sz w:val="17"/>
              </w:rPr>
              <w:t>725</w:t>
            </w:r>
          </w:p>
        </w:tc>
        <w:tc>
          <w:tcPr>
            <w:tcW w:type="dxa" w:w="964"/>
          </w:tcPr>
          <w:p>
            <w:pPr>
              <w:jc w:val="right"/>
            </w:pPr>
            <w:r/>
            <w:r>
              <w:rPr>
                <w:color w:val="1A1D21"/>
                <w:sz w:val="17"/>
              </w:rPr>
              <w:t>594</w:t>
            </w:r>
          </w:p>
        </w:tc>
        <w:tc>
          <w:tcPr>
            <w:tcW w:type="dxa" w:w="964"/>
          </w:tcPr>
          <w:p>
            <w:pPr>
              <w:jc w:val="right"/>
            </w:pPr>
            <w:r/>
            <w:r>
              <w:rPr>
                <w:color w:val="1A1D21"/>
                <w:sz w:val="17"/>
              </w:rPr>
              <w:t>505</w:t>
            </w:r>
          </w:p>
        </w:tc>
        <w:tc>
          <w:tcPr>
            <w:tcW w:type="dxa" w:w="964"/>
          </w:tcPr>
          <w:p>
            <w:pPr>
              <w:jc w:val="right"/>
            </w:pPr>
            <w:r/>
            <w:r>
              <w:rPr>
                <w:color w:val="1A1D21"/>
                <w:sz w:val="17"/>
              </w:rPr>
              <w:t>442</w:t>
            </w:r>
          </w:p>
        </w:tc>
        <w:tc>
          <w:tcPr>
            <w:tcW w:type="dxa" w:w="964"/>
          </w:tcPr>
          <w:p>
            <w:pPr>
              <w:jc w:val="right"/>
            </w:pPr>
            <w:r/>
            <w:r>
              <w:rPr>
                <w:color w:val="1A1D21"/>
                <w:sz w:val="17"/>
              </w:rPr>
              <w:t>321</w:t>
            </w:r>
          </w:p>
        </w:tc>
        <w:tc>
          <w:tcPr>
            <w:tcW w:type="dxa" w:w="964"/>
          </w:tcPr>
          <w:p>
            <w:pPr>
              <w:jc w:val="right"/>
            </w:pPr>
            <w:r/>
            <w:r>
              <w:rPr>
                <w:color w:val="1A1D21"/>
                <w:sz w:val="17"/>
              </w:rPr>
              <w:t>334</w:t>
            </w:r>
          </w:p>
        </w:tc>
      </w:tr>
      <w:tr>
        <w:trPr>
          <w:cantSplit/>
        </w:trPr>
        <w:tc>
          <w:tcPr>
            <w:tcW w:type="dxa" w:w="2421"/>
          </w:tcPr>
          <w:p>
            <w:r/>
            <w:r>
              <w:rPr>
                <w:color w:val="1A1D21"/>
                <w:sz w:val="17"/>
              </w:rPr>
              <w:t>Work in progress, days of cost</w:t>
            </w:r>
          </w:p>
        </w:tc>
        <w:tc>
          <w:tcPr>
            <w:tcW w:type="dxa" w:w="964"/>
          </w:tcPr>
          <w:p>
            <w:pPr>
              <w:jc w:val="right"/>
            </w:pPr>
            <w:r/>
            <w:r>
              <w:rPr>
                <w:color w:val="1A1D21"/>
                <w:sz w:val="17"/>
              </w:rPr>
              <w:t>245</w:t>
            </w:r>
          </w:p>
        </w:tc>
        <w:tc>
          <w:tcPr>
            <w:tcW w:type="dxa" w:w="964"/>
          </w:tcPr>
          <w:p>
            <w:pPr>
              <w:jc w:val="right"/>
            </w:pPr>
            <w:r/>
            <w:r>
              <w:rPr>
                <w:color w:val="1A1D21"/>
                <w:sz w:val="17"/>
              </w:rPr>
              <w:t>191</w:t>
            </w:r>
          </w:p>
        </w:tc>
        <w:tc>
          <w:tcPr>
            <w:tcW w:type="dxa" w:w="964"/>
          </w:tcPr>
          <w:p>
            <w:pPr>
              <w:jc w:val="right"/>
            </w:pPr>
            <w:r/>
            <w:r>
              <w:rPr>
                <w:color w:val="1A1D21"/>
                <w:sz w:val="17"/>
              </w:rPr>
              <w:t>156</w:t>
            </w:r>
          </w:p>
        </w:tc>
        <w:tc>
          <w:tcPr>
            <w:tcW w:type="dxa" w:w="964"/>
          </w:tcPr>
          <w:p>
            <w:pPr>
              <w:jc w:val="right"/>
            </w:pPr>
            <w:r/>
            <w:r>
              <w:rPr>
                <w:color w:val="1A1D21"/>
                <w:sz w:val="17"/>
              </w:rPr>
              <w:t>133</w:t>
            </w:r>
          </w:p>
        </w:tc>
        <w:tc>
          <w:tcPr>
            <w:tcW w:type="dxa" w:w="964"/>
          </w:tcPr>
          <w:p>
            <w:pPr>
              <w:jc w:val="right"/>
            </w:pPr>
            <w:r/>
            <w:r>
              <w:rPr>
                <w:color w:val="1A1D21"/>
                <w:sz w:val="17"/>
              </w:rPr>
              <w:t>116</w:t>
            </w:r>
          </w:p>
        </w:tc>
        <w:tc>
          <w:tcPr>
            <w:tcW w:type="dxa" w:w="964"/>
          </w:tcPr>
          <w:p>
            <w:pPr>
              <w:jc w:val="right"/>
            </w:pPr>
            <w:r/>
            <w:r>
              <w:rPr>
                <w:color w:val="1A1D21"/>
                <w:sz w:val="17"/>
              </w:rPr>
              <w:t>84</w:t>
            </w:r>
          </w:p>
        </w:tc>
        <w:tc>
          <w:tcPr>
            <w:tcW w:type="dxa" w:w="964"/>
          </w:tcPr>
          <w:p>
            <w:pPr>
              <w:jc w:val="right"/>
            </w:pPr>
            <w:r/>
            <w:r>
              <w:rPr>
                <w:color w:val="1A1D21"/>
                <w:sz w:val="17"/>
              </w:rPr>
              <w:t>88</w:t>
            </w:r>
          </w:p>
        </w:tc>
      </w:tr>
      <w:tr>
        <w:trPr>
          <w:cantSplit/>
        </w:trPr>
        <w:tc>
          <w:tcPr>
            <w:tcW w:type="dxa" w:w="2421"/>
          </w:tcPr>
          <w:p>
            <w:r/>
            <w:r>
              <w:rPr>
                <w:color w:val="1A1D21"/>
                <w:sz w:val="17"/>
              </w:rPr>
              <w:t>Suppliers, days of cost</w:t>
            </w:r>
          </w:p>
        </w:tc>
        <w:tc>
          <w:tcPr>
            <w:tcW w:type="dxa" w:w="964"/>
          </w:tcPr>
          <w:p>
            <w:pPr>
              <w:jc w:val="right"/>
            </w:pPr>
            <w:r/>
            <w:r>
              <w:rPr>
                <w:color w:val="1A1D21"/>
                <w:sz w:val="17"/>
              </w:rPr>
              <w:t>53</w:t>
            </w:r>
          </w:p>
        </w:tc>
        <w:tc>
          <w:tcPr>
            <w:tcW w:type="dxa" w:w="964"/>
          </w:tcPr>
          <w:p>
            <w:pPr>
              <w:jc w:val="right"/>
            </w:pPr>
            <w:r/>
            <w:r>
              <w:rPr>
                <w:color w:val="1A1D21"/>
                <w:sz w:val="17"/>
              </w:rPr>
              <w:t>41</w:t>
            </w:r>
          </w:p>
        </w:tc>
        <w:tc>
          <w:tcPr>
            <w:tcW w:type="dxa" w:w="964"/>
          </w:tcPr>
          <w:p>
            <w:pPr>
              <w:jc w:val="right"/>
            </w:pPr>
            <w:r/>
            <w:r>
              <w:rPr>
                <w:color w:val="1A1D21"/>
                <w:sz w:val="17"/>
              </w:rPr>
              <w:t>34</w:t>
            </w:r>
          </w:p>
        </w:tc>
        <w:tc>
          <w:tcPr>
            <w:tcW w:type="dxa" w:w="964"/>
          </w:tcPr>
          <w:p>
            <w:pPr>
              <w:jc w:val="right"/>
            </w:pPr>
            <w:r/>
            <w:r>
              <w:rPr>
                <w:color w:val="1A1D21"/>
                <w:sz w:val="17"/>
              </w:rPr>
              <w:t>29</w:t>
            </w:r>
          </w:p>
        </w:tc>
        <w:tc>
          <w:tcPr>
            <w:tcW w:type="dxa" w:w="964"/>
          </w:tcPr>
          <w:p>
            <w:pPr>
              <w:jc w:val="right"/>
            </w:pPr>
            <w:r/>
            <w:r>
              <w:rPr>
                <w:color w:val="1A1D21"/>
                <w:sz w:val="17"/>
              </w:rPr>
              <w:t>25</w:t>
            </w:r>
          </w:p>
        </w:tc>
        <w:tc>
          <w:tcPr>
            <w:tcW w:type="dxa" w:w="964"/>
          </w:tcPr>
          <w:p>
            <w:pPr>
              <w:jc w:val="right"/>
            </w:pPr>
            <w:r/>
            <w:r>
              <w:rPr>
                <w:color w:val="1A1D21"/>
                <w:sz w:val="17"/>
              </w:rPr>
              <w:t>18</w:t>
            </w:r>
          </w:p>
        </w:tc>
        <w:tc>
          <w:tcPr>
            <w:tcW w:type="dxa" w:w="964"/>
          </w:tcPr>
          <w:p>
            <w:pPr>
              <w:jc w:val="right"/>
            </w:pPr>
            <w:r/>
            <w:r>
              <w:rPr>
                <w:color w:val="1A1D21"/>
                <w:sz w:val="17"/>
              </w:rPr>
              <w:t>19</w:t>
            </w:r>
          </w:p>
        </w:tc>
      </w:tr>
      <w:tr>
        <w:trPr>
          <w:cantSplit/>
        </w:trPr>
        <w:tc>
          <w:tcPr>
            <w:tcW w:type="dxa" w:w="2421"/>
          </w:tcPr>
          <w:p>
            <w:r/>
            <w:r>
              <w:rPr>
                <w:color w:val="1A1D21"/>
                <w:sz w:val="17"/>
              </w:rPr>
              <w:t>Customer advances, share of the order book</w:t>
            </w:r>
          </w:p>
        </w:tc>
        <w:tc>
          <w:tcPr>
            <w:tcW w:type="dxa" w:w="964"/>
          </w:tcPr>
          <w:p>
            <w:pPr>
              <w:jc w:val="right"/>
            </w:pPr>
            <w:r/>
            <w:r>
              <w:rPr>
                <w:color w:val="1A1D21"/>
                <w:sz w:val="17"/>
              </w:rPr>
              <w:t>19.5%</w:t>
            </w:r>
          </w:p>
        </w:tc>
        <w:tc>
          <w:tcPr>
            <w:tcW w:type="dxa" w:w="964"/>
          </w:tcPr>
          <w:p>
            <w:pPr>
              <w:jc w:val="right"/>
            </w:pPr>
            <w:r/>
            <w:r>
              <w:rPr>
                <w:color w:val="1A1D21"/>
                <w:sz w:val="17"/>
              </w:rPr>
              <w:t>15.5%</w:t>
            </w:r>
          </w:p>
        </w:tc>
        <w:tc>
          <w:tcPr>
            <w:tcW w:type="dxa" w:w="964"/>
          </w:tcPr>
          <w:p>
            <w:pPr>
              <w:jc w:val="right"/>
            </w:pPr>
            <w:r/>
            <w:r>
              <w:rPr>
                <w:color w:val="1A1D21"/>
                <w:sz w:val="17"/>
              </w:rPr>
              <w:t>13.0%</w:t>
            </w:r>
          </w:p>
        </w:tc>
        <w:tc>
          <w:tcPr>
            <w:tcW w:type="dxa" w:w="964"/>
          </w:tcPr>
          <w:p>
            <w:pPr>
              <w:jc w:val="right"/>
            </w:pPr>
            <w:r/>
            <w:r>
              <w:rPr>
                <w:color w:val="1A1D21"/>
                <w:sz w:val="17"/>
              </w:rPr>
              <w:t>11.3%</w:t>
            </w:r>
          </w:p>
        </w:tc>
        <w:tc>
          <w:tcPr>
            <w:tcW w:type="dxa" w:w="964"/>
          </w:tcPr>
          <w:p>
            <w:pPr>
              <w:jc w:val="right"/>
            </w:pPr>
            <w:r/>
            <w:r>
              <w:rPr>
                <w:color w:val="1A1D21"/>
                <w:sz w:val="17"/>
              </w:rPr>
              <w:t>10.2%</w:t>
            </w:r>
          </w:p>
        </w:tc>
        <w:tc>
          <w:tcPr>
            <w:tcW w:type="dxa" w:w="964"/>
          </w:tcPr>
          <w:p>
            <w:pPr>
              <w:jc w:val="right"/>
            </w:pPr>
            <w:r/>
            <w:r>
              <w:rPr>
                <w:color w:val="1A1D21"/>
                <w:sz w:val="17"/>
              </w:rPr>
              <w:t>8.8%</w:t>
            </w:r>
          </w:p>
        </w:tc>
        <w:tc>
          <w:tcPr>
            <w:tcW w:type="dxa" w:w="964"/>
          </w:tcPr>
          <w:p>
            <w:pPr>
              <w:jc w:val="right"/>
            </w:pPr>
            <w:r/>
            <w:r>
              <w:rPr>
                <w:color w:val="1A1D21"/>
                <w:sz w:val="17"/>
              </w:rPr>
              <w:t>9.1%</w:t>
            </w:r>
          </w:p>
        </w:tc>
      </w:tr>
      <w:tr>
        <w:trPr>
          <w:cantSplit/>
        </w:trPr>
        <w:tc>
          <w:tcPr>
            <w:tcW w:type="dxa" w:w="2421"/>
          </w:tcPr>
          <w:p>
            <w:r/>
            <w:r>
              <w:rPr>
                <w:color w:val="1A1D21"/>
                <w:sz w:val="17"/>
              </w:rPr>
              <w:t>Net working capital</w:t>
            </w:r>
          </w:p>
        </w:tc>
        <w:tc>
          <w:tcPr>
            <w:tcW w:type="dxa" w:w="964"/>
          </w:tcPr>
          <w:p>
            <w:pPr>
              <w:jc w:val="right"/>
            </w:pPr>
            <w:r/>
            <w:r>
              <w:rPr>
                <w:color w:val="1A1D21"/>
                <w:sz w:val="17"/>
              </w:rPr>
              <w:t>61,870</w:t>
            </w:r>
          </w:p>
        </w:tc>
        <w:tc>
          <w:tcPr>
            <w:tcW w:type="dxa" w:w="964"/>
          </w:tcPr>
          <w:p>
            <w:pPr>
              <w:jc w:val="right"/>
            </w:pPr>
            <w:r/>
            <w:r>
              <w:rPr>
                <w:color w:val="1A1D21"/>
                <w:sz w:val="17"/>
              </w:rPr>
              <w:t>62,032</w:t>
            </w:r>
          </w:p>
        </w:tc>
        <w:tc>
          <w:tcPr>
            <w:tcW w:type="dxa" w:w="964"/>
          </w:tcPr>
          <w:p>
            <w:pPr>
              <w:jc w:val="right"/>
            </w:pPr>
            <w:r/>
            <w:r>
              <w:rPr>
                <w:color w:val="1A1D21"/>
                <w:sz w:val="17"/>
              </w:rPr>
              <w:t>62,848</w:t>
            </w:r>
          </w:p>
        </w:tc>
        <w:tc>
          <w:tcPr>
            <w:tcW w:type="dxa" w:w="964"/>
          </w:tcPr>
          <w:p>
            <w:pPr>
              <w:jc w:val="right"/>
            </w:pPr>
            <w:r/>
            <w:r>
              <w:rPr>
                <w:color w:val="1A1D21"/>
                <w:sz w:val="17"/>
              </w:rPr>
              <w:t>64,360</w:t>
            </w:r>
          </w:p>
        </w:tc>
        <w:tc>
          <w:tcPr>
            <w:tcW w:type="dxa" w:w="964"/>
          </w:tcPr>
          <w:p>
            <w:pPr>
              <w:jc w:val="right"/>
            </w:pPr>
            <w:r/>
            <w:r>
              <w:rPr>
                <w:color w:val="1A1D21"/>
                <w:sz w:val="17"/>
              </w:rPr>
              <w:t>66,621</w:t>
            </w:r>
          </w:p>
        </w:tc>
        <w:tc>
          <w:tcPr>
            <w:tcW w:type="dxa" w:w="964"/>
          </w:tcPr>
          <w:p>
            <w:pPr>
              <w:jc w:val="right"/>
            </w:pPr>
            <w:r/>
            <w:r>
              <w:rPr>
                <w:color w:val="1A1D21"/>
                <w:sz w:val="17"/>
              </w:rPr>
              <w:t>90,575</w:t>
            </w:r>
          </w:p>
        </w:tc>
        <w:tc>
          <w:tcPr>
            <w:tcW w:type="dxa" w:w="964"/>
          </w:tcPr>
          <w:p>
            <w:pPr>
              <w:jc w:val="right"/>
            </w:pPr>
            <w:r/>
            <w:r>
              <w:rPr>
                <w:color w:val="1A1D21"/>
                <w:sz w:val="17"/>
              </w:rPr>
              <w:t>134,460</w:t>
            </w:r>
          </w:p>
        </w:tc>
      </w:tr>
      <w:tr>
        <w:trPr>
          <w:cantSplit/>
        </w:trPr>
        <w:tc>
          <w:tcPr>
            <w:tcW w:type="dxa" w:w="2421"/>
          </w:tcPr>
          <w:p>
            <w:r/>
            <w:r>
              <w:rPr>
                <w:color w:val="1A1D21"/>
                <w:sz w:val="17"/>
              </w:rPr>
              <w:t xml:space="preserve">  as a multiple of revenue</w:t>
            </w:r>
          </w:p>
        </w:tc>
        <w:tc>
          <w:tcPr>
            <w:tcW w:type="dxa" w:w="964"/>
          </w:tcPr>
          <w:p>
            <w:pPr>
              <w:jc w:val="right"/>
            </w:pPr>
            <w:r/>
            <w:r>
              <w:rPr>
                <w:color w:val="1A1D21"/>
                <w:sz w:val="17"/>
              </w:rPr>
              <w:t>1.54</w:t>
            </w:r>
          </w:p>
        </w:tc>
        <w:tc>
          <w:tcPr>
            <w:tcW w:type="dxa" w:w="964"/>
          </w:tcPr>
          <w:p>
            <w:pPr>
              <w:jc w:val="right"/>
            </w:pPr>
            <w:r/>
            <w:r>
              <w:rPr>
                <w:color w:val="1A1D21"/>
                <w:sz w:val="17"/>
              </w:rPr>
              <w:t>1.20</w:t>
            </w:r>
          </w:p>
        </w:tc>
        <w:tc>
          <w:tcPr>
            <w:tcW w:type="dxa" w:w="964"/>
          </w:tcPr>
          <w:p>
            <w:pPr>
              <w:jc w:val="right"/>
            </w:pPr>
            <w:r/>
            <w:r>
              <w:rPr>
                <w:color w:val="1A1D21"/>
                <w:sz w:val="17"/>
              </w:rPr>
              <w:t>0.98</w:t>
            </w:r>
          </w:p>
        </w:tc>
        <w:tc>
          <w:tcPr>
            <w:tcW w:type="dxa" w:w="964"/>
          </w:tcPr>
          <w:p>
            <w:pPr>
              <w:jc w:val="right"/>
            </w:pPr>
            <w:r/>
            <w:r>
              <w:rPr>
                <w:color w:val="1A1D21"/>
                <w:sz w:val="17"/>
              </w:rPr>
              <w:t>0.83</w:t>
            </w:r>
          </w:p>
        </w:tc>
        <w:tc>
          <w:tcPr>
            <w:tcW w:type="dxa" w:w="964"/>
          </w:tcPr>
          <w:p>
            <w:pPr>
              <w:jc w:val="right"/>
            </w:pPr>
            <w:r/>
            <w:r>
              <w:rPr>
                <w:color w:val="1A1D21"/>
                <w:sz w:val="17"/>
              </w:rPr>
              <w:t>0.73</w:t>
            </w:r>
          </w:p>
        </w:tc>
        <w:tc>
          <w:tcPr>
            <w:tcW w:type="dxa" w:w="964"/>
          </w:tcPr>
          <w:p>
            <w:pPr>
              <w:jc w:val="right"/>
            </w:pPr>
            <w:r/>
            <w:r>
              <w:rPr>
                <w:color w:val="1A1D21"/>
                <w:sz w:val="17"/>
              </w:rPr>
              <w:t>0.53</w:t>
            </w:r>
          </w:p>
        </w:tc>
        <w:tc>
          <w:tcPr>
            <w:tcW w:type="dxa" w:w="964"/>
          </w:tcPr>
          <w:p>
            <w:pPr>
              <w:jc w:val="right"/>
            </w:pPr>
            <w:r/>
            <w:r>
              <w:rPr>
                <w:color w:val="1A1D21"/>
                <w:sz w:val="17"/>
              </w:rPr>
              <w:t>0.55</w:t>
            </w:r>
          </w:p>
        </w:tc>
      </w:tr>
    </w:tbl>
    <w:p>
      <w:pPr>
        <w:spacing w:after="200"/>
      </w:pPr>
      <w:r>
        <w:rPr>
          <w:b w:val="0"/>
          <w:i/>
          <w:color w:val="5B6570"/>
          <w:sz w:val="16"/>
        </w:rPr>
        <w:t>The collection period falls from 931 days to 334 over five years. That is what this reading requires, and it is a large improvement to take on trust — which is exactly why the other reading is printed too.</w:t>
      </w:r>
    </w:p>
    <w:tbl>
      <w:tblPr>
        <w:tblStyle w:val="TableGrid"/>
        <w:tblW w:type="auto" w:w="0"/>
        <w:jc w:val="center"/>
        <w:tblLayout w:type="fixed"/>
        <w:tblLook w:firstColumn="1" w:firstRow="1" w:lastColumn="0" w:lastRow="0" w:noHBand="0" w:noVBand="1" w:val="04A0"/>
        <w:tblLayout w:type="fixed"/>
      </w:tblPr>
      <w:tblGrid>
        <w:gridCol w:w="3215"/>
        <w:gridCol w:w="850"/>
        <w:gridCol w:w="850"/>
        <w:gridCol w:w="850"/>
        <w:gridCol w:w="850"/>
        <w:gridCol w:w="850"/>
        <w:gridCol w:w="850"/>
        <w:gridCol w:w="850"/>
      </w:tblGrid>
      <w:tr>
        <w:trPr>
          <w:tblHeader w:val="true"/>
        </w:trPr>
        <w:tc>
          <w:tcPr>
            <w:tcW w:type="dxa" w:w="3214"/>
          </w:tcPr>
          <w:p>
            <w:r/>
            <w:r>
              <w:rPr>
                <w:b/>
                <w:color w:val="5B6570"/>
                <w:sz w:val="17"/>
              </w:rPr>
              <w:t>Free cash flow to the firm, EGP million</w:t>
            </w:r>
          </w:p>
        </w:tc>
        <w:tc>
          <w:tcPr>
            <w:tcW w:type="dxa" w:w="850"/>
          </w:tcPr>
          <w:p>
            <w:r/>
            <w:r>
              <w:rPr>
                <w:b/>
                <w:color w:val="5B6570"/>
                <w:sz w:val="17"/>
              </w:rPr>
              <w:t>2026</w:t>
            </w:r>
          </w:p>
        </w:tc>
        <w:tc>
          <w:tcPr>
            <w:tcW w:type="dxa" w:w="850"/>
          </w:tcPr>
          <w:p>
            <w:r/>
            <w:r>
              <w:rPr>
                <w:b/>
                <w:color w:val="5B6570"/>
                <w:sz w:val="17"/>
              </w:rPr>
              <w:t>2027</w:t>
            </w:r>
          </w:p>
        </w:tc>
        <w:tc>
          <w:tcPr>
            <w:tcW w:type="dxa" w:w="850"/>
          </w:tcPr>
          <w:p>
            <w:r/>
            <w:r>
              <w:rPr>
                <w:b/>
                <w:color w:val="5B6570"/>
                <w:sz w:val="17"/>
              </w:rPr>
              <w:t>2028</w:t>
            </w:r>
          </w:p>
        </w:tc>
        <w:tc>
          <w:tcPr>
            <w:tcW w:type="dxa" w:w="850"/>
          </w:tcPr>
          <w:p>
            <w:r/>
            <w:r>
              <w:rPr>
                <w:b/>
                <w:color w:val="5B6570"/>
                <w:sz w:val="17"/>
              </w:rPr>
              <w:t>2029</w:t>
            </w:r>
          </w:p>
        </w:tc>
        <w:tc>
          <w:tcPr>
            <w:tcW w:type="dxa" w:w="850"/>
          </w:tcPr>
          <w:p>
            <w:r/>
            <w:r>
              <w:rPr>
                <w:b/>
                <w:color w:val="5B6570"/>
                <w:sz w:val="17"/>
              </w:rPr>
              <w:t>2030</w:t>
            </w:r>
          </w:p>
        </w:tc>
        <w:tc>
          <w:tcPr>
            <w:tcW w:type="dxa" w:w="850"/>
          </w:tcPr>
          <w:p>
            <w:r/>
            <w:r>
              <w:rPr>
                <w:b/>
                <w:color w:val="5B6570"/>
                <w:sz w:val="17"/>
              </w:rPr>
              <w:t>2035</w:t>
            </w:r>
          </w:p>
        </w:tc>
        <w:tc>
          <w:tcPr>
            <w:tcW w:type="dxa" w:w="850"/>
          </w:tcPr>
          <w:p>
            <w:r/>
            <w:r>
              <w:rPr>
                <w:b/>
                <w:color w:val="5B6570"/>
                <w:sz w:val="17"/>
              </w:rPr>
              <w:t>2040</w:t>
            </w:r>
          </w:p>
        </w:tc>
      </w:tr>
      <w:tr>
        <w:trPr>
          <w:cantSplit/>
        </w:trPr>
        <w:tc>
          <w:tcPr>
            <w:tcW w:type="dxa" w:w="3214"/>
          </w:tcPr>
          <w:p>
            <w:r/>
            <w:r>
              <w:rPr>
                <w:color w:val="1A1D21"/>
                <w:sz w:val="17"/>
              </w:rPr>
              <w:t>Cash from operations</w:t>
            </w:r>
          </w:p>
        </w:tc>
        <w:tc>
          <w:tcPr>
            <w:tcW w:type="dxa" w:w="850"/>
          </w:tcPr>
          <w:p>
            <w:pPr>
              <w:jc w:val="right"/>
            </w:pPr>
            <w:r/>
            <w:r>
              <w:rPr>
                <w:color w:val="1A1D21"/>
                <w:sz w:val="17"/>
              </w:rPr>
              <w:t>3,510</w:t>
            </w:r>
          </w:p>
        </w:tc>
        <w:tc>
          <w:tcPr>
            <w:tcW w:type="dxa" w:w="850"/>
          </w:tcPr>
          <w:p>
            <w:pPr>
              <w:jc w:val="right"/>
            </w:pPr>
            <w:r/>
            <w:r>
              <w:rPr>
                <w:color w:val="1A1D21"/>
                <w:sz w:val="17"/>
              </w:rPr>
              <w:t>4,521</w:t>
            </w:r>
          </w:p>
        </w:tc>
        <w:tc>
          <w:tcPr>
            <w:tcW w:type="dxa" w:w="850"/>
          </w:tcPr>
          <w:p>
            <w:pPr>
              <w:jc w:val="right"/>
            </w:pPr>
            <w:r/>
            <w:r>
              <w:rPr>
                <w:color w:val="1A1D21"/>
                <w:sz w:val="17"/>
              </w:rPr>
              <w:t>5,593</w:t>
            </w:r>
          </w:p>
        </w:tc>
        <w:tc>
          <w:tcPr>
            <w:tcW w:type="dxa" w:w="850"/>
          </w:tcPr>
          <w:p>
            <w:pPr>
              <w:jc w:val="right"/>
            </w:pPr>
            <w:r/>
            <w:r>
              <w:rPr>
                <w:color w:val="1A1D21"/>
                <w:sz w:val="17"/>
              </w:rPr>
              <w:t>6,734</w:t>
            </w:r>
          </w:p>
        </w:tc>
        <w:tc>
          <w:tcPr>
            <w:tcW w:type="dxa" w:w="850"/>
          </w:tcPr>
          <w:p>
            <w:pPr>
              <w:jc w:val="right"/>
            </w:pPr>
            <w:r/>
            <w:r>
              <w:rPr>
                <w:color w:val="1A1D21"/>
                <w:sz w:val="17"/>
              </w:rPr>
              <w:t>7,961</w:t>
            </w:r>
          </w:p>
        </w:tc>
        <w:tc>
          <w:tcPr>
            <w:tcW w:type="dxa" w:w="850"/>
          </w:tcPr>
          <w:p>
            <w:pPr>
              <w:jc w:val="right"/>
            </w:pPr>
            <w:r/>
            <w:r>
              <w:rPr>
                <w:color w:val="1A1D21"/>
                <w:sz w:val="17"/>
              </w:rPr>
              <w:t>14,928</w:t>
            </w:r>
          </w:p>
        </w:tc>
        <w:tc>
          <w:tcPr>
            <w:tcW w:type="dxa" w:w="850"/>
          </w:tcPr>
          <w:p>
            <w:pPr>
              <w:jc w:val="right"/>
            </w:pPr>
            <w:r/>
            <w:r>
              <w:rPr>
                <w:color w:val="1A1D21"/>
                <w:sz w:val="17"/>
              </w:rPr>
              <w:t>21,251</w:t>
            </w:r>
          </w:p>
        </w:tc>
      </w:tr>
      <w:tr>
        <w:trPr>
          <w:cantSplit/>
        </w:trPr>
        <w:tc>
          <w:tcPr>
            <w:tcW w:type="dxa" w:w="3214"/>
          </w:tcPr>
          <w:p>
            <w:r/>
            <w:r>
              <w:rPr>
                <w:color w:val="1A1D21"/>
                <w:sz w:val="17"/>
              </w:rPr>
              <w:t>plus finance cost, after tax</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c>
          <w:tcPr>
            <w:tcW w:type="dxa" w:w="850"/>
          </w:tcPr>
          <w:p>
            <w:pPr>
              <w:jc w:val="right"/>
            </w:pPr>
            <w:r/>
            <w:r>
              <w:rPr>
                <w:color w:val="1A1D21"/>
                <w:sz w:val="17"/>
              </w:rPr>
              <w:t>2,594</w:t>
            </w:r>
          </w:p>
        </w:tc>
      </w:tr>
      <w:tr>
        <w:trPr>
          <w:cantSplit/>
        </w:trPr>
        <w:tc>
          <w:tcPr>
            <w:tcW w:type="dxa" w:w="3214"/>
          </w:tcPr>
          <w:p>
            <w:r/>
            <w:r>
              <w:rPr>
                <w:color w:val="1A1D21"/>
                <w:sz w:val="17"/>
              </w:rPr>
              <w:t>less capital expenditure</w:t>
            </w:r>
          </w:p>
        </w:tc>
        <w:tc>
          <w:tcPr>
            <w:tcW w:type="dxa" w:w="850"/>
          </w:tcPr>
          <w:p>
            <w:pPr>
              <w:jc w:val="right"/>
            </w:pPr>
            <w:r/>
            <w:r>
              <w:rPr>
                <w:color w:val="1A1D21"/>
                <w:sz w:val="17"/>
              </w:rPr>
              <w:t>-403</w:t>
            </w:r>
          </w:p>
        </w:tc>
        <w:tc>
          <w:tcPr>
            <w:tcW w:type="dxa" w:w="850"/>
          </w:tcPr>
          <w:p>
            <w:pPr>
              <w:jc w:val="right"/>
            </w:pPr>
            <w:r/>
            <w:r>
              <w:rPr>
                <w:color w:val="1A1D21"/>
                <w:sz w:val="17"/>
              </w:rPr>
              <w:t>-519</w:t>
            </w:r>
          </w:p>
        </w:tc>
        <w:tc>
          <w:tcPr>
            <w:tcW w:type="dxa" w:w="850"/>
          </w:tcPr>
          <w:p>
            <w:pPr>
              <w:jc w:val="right"/>
            </w:pPr>
            <w:r/>
            <w:r>
              <w:rPr>
                <w:color w:val="1A1D21"/>
                <w:sz w:val="17"/>
              </w:rPr>
              <w:t>-642</w:t>
            </w:r>
          </w:p>
        </w:tc>
        <w:tc>
          <w:tcPr>
            <w:tcW w:type="dxa" w:w="850"/>
          </w:tcPr>
          <w:p>
            <w:pPr>
              <w:jc w:val="right"/>
            </w:pPr>
            <w:r/>
            <w:r>
              <w:rPr>
                <w:color w:val="1A1D21"/>
                <w:sz w:val="17"/>
              </w:rPr>
              <w:t>-773</w:t>
            </w:r>
          </w:p>
        </w:tc>
        <w:tc>
          <w:tcPr>
            <w:tcW w:type="dxa" w:w="850"/>
          </w:tcPr>
          <w:p>
            <w:pPr>
              <w:jc w:val="right"/>
            </w:pPr>
            <w:r/>
            <w:r>
              <w:rPr>
                <w:color w:val="1A1D21"/>
                <w:sz w:val="17"/>
              </w:rPr>
              <w:t>-914</w:t>
            </w:r>
          </w:p>
        </w:tc>
        <w:tc>
          <w:tcPr>
            <w:tcW w:type="dxa" w:w="850"/>
          </w:tcPr>
          <w:p>
            <w:pPr>
              <w:jc w:val="right"/>
            </w:pPr>
            <w:r/>
            <w:r>
              <w:rPr>
                <w:color w:val="1A1D21"/>
                <w:sz w:val="17"/>
              </w:rPr>
              <w:t>-1,713</w:t>
            </w:r>
          </w:p>
        </w:tc>
        <w:tc>
          <w:tcPr>
            <w:tcW w:type="dxa" w:w="850"/>
          </w:tcPr>
          <w:p>
            <w:pPr>
              <w:jc w:val="right"/>
            </w:pPr>
            <w:r/>
            <w:r>
              <w:rPr>
                <w:color w:val="1A1D21"/>
                <w:sz w:val="17"/>
              </w:rPr>
              <w:t>-2,439</w:t>
            </w:r>
          </w:p>
        </w:tc>
      </w:tr>
      <w:tr>
        <w:trPr>
          <w:cantSplit/>
        </w:trPr>
        <w:tc>
          <w:tcPr>
            <w:tcW w:type="dxa" w:w="3214"/>
          </w:tcPr>
          <w:p>
            <w:r/>
            <w:r>
              <w:rPr>
                <w:color w:val="1A1D21"/>
                <w:sz w:val="17"/>
              </w:rPr>
              <w:t>Free cash flow to the firm</w:t>
            </w:r>
          </w:p>
        </w:tc>
        <w:tc>
          <w:tcPr>
            <w:tcW w:type="dxa" w:w="850"/>
          </w:tcPr>
          <w:p>
            <w:pPr>
              <w:jc w:val="right"/>
            </w:pPr>
            <w:r/>
            <w:r>
              <w:rPr>
                <w:color w:val="1A1D21"/>
                <w:sz w:val="17"/>
              </w:rPr>
              <w:t>5,701</w:t>
            </w:r>
          </w:p>
        </w:tc>
        <w:tc>
          <w:tcPr>
            <w:tcW w:type="dxa" w:w="850"/>
          </w:tcPr>
          <w:p>
            <w:pPr>
              <w:jc w:val="right"/>
            </w:pPr>
            <w:r/>
            <w:r>
              <w:rPr>
                <w:color w:val="1A1D21"/>
                <w:sz w:val="17"/>
              </w:rPr>
              <w:t>6,596</w:t>
            </w:r>
          </w:p>
        </w:tc>
        <w:tc>
          <w:tcPr>
            <w:tcW w:type="dxa" w:w="850"/>
          </w:tcPr>
          <w:p>
            <w:pPr>
              <w:jc w:val="right"/>
            </w:pPr>
            <w:r/>
            <w:r>
              <w:rPr>
                <w:color w:val="1A1D21"/>
                <w:sz w:val="17"/>
              </w:rPr>
              <w:t>7,545</w:t>
            </w:r>
          </w:p>
        </w:tc>
        <w:tc>
          <w:tcPr>
            <w:tcW w:type="dxa" w:w="850"/>
          </w:tcPr>
          <w:p>
            <w:pPr>
              <w:jc w:val="right"/>
            </w:pPr>
            <w:r/>
            <w:r>
              <w:rPr>
                <w:color w:val="1A1D21"/>
                <w:sz w:val="17"/>
              </w:rPr>
              <w:t>8,555</w:t>
            </w:r>
          </w:p>
        </w:tc>
        <w:tc>
          <w:tcPr>
            <w:tcW w:type="dxa" w:w="850"/>
          </w:tcPr>
          <w:p>
            <w:pPr>
              <w:jc w:val="right"/>
            </w:pPr>
            <w:r/>
            <w:r>
              <w:rPr>
                <w:color w:val="1A1D21"/>
                <w:sz w:val="17"/>
              </w:rPr>
              <w:t>9,642</w:t>
            </w:r>
          </w:p>
        </w:tc>
        <w:tc>
          <w:tcPr>
            <w:tcW w:type="dxa" w:w="850"/>
          </w:tcPr>
          <w:p>
            <w:pPr>
              <w:jc w:val="right"/>
            </w:pPr>
            <w:r/>
            <w:r>
              <w:rPr>
                <w:color w:val="1A1D21"/>
                <w:sz w:val="17"/>
              </w:rPr>
              <w:t>15,809</w:t>
            </w:r>
          </w:p>
        </w:tc>
        <w:tc>
          <w:tcPr>
            <w:tcW w:type="dxa" w:w="850"/>
          </w:tcPr>
          <w:p>
            <w:pPr>
              <w:jc w:val="right"/>
            </w:pPr>
            <w:r/>
            <w:r>
              <w:rPr>
                <w:color w:val="1A1D21"/>
                <w:sz w:val="17"/>
              </w:rPr>
              <w:t>21,407</w:t>
            </w:r>
          </w:p>
        </w:tc>
      </w:tr>
      <w:tr>
        <w:trPr>
          <w:cantSplit/>
        </w:trPr>
        <w:tc>
          <w:tcPr>
            <w:tcW w:type="dxa" w:w="3214"/>
          </w:tcPr>
          <w:p>
            <w:r/>
            <w:r>
              <w:rPr>
                <w:color w:val="1A1D21"/>
                <w:sz w:val="17"/>
              </w:rPr>
              <w:t>Present value, on the schedule</w:t>
            </w:r>
          </w:p>
        </w:tc>
        <w:tc>
          <w:tcPr>
            <w:tcW w:type="dxa" w:w="850"/>
          </w:tcPr>
          <w:p>
            <w:pPr>
              <w:jc w:val="right"/>
            </w:pPr>
            <w:r/>
            <w:r>
              <w:rPr>
                <w:color w:val="1A1D21"/>
                <w:sz w:val="17"/>
              </w:rPr>
              <w:t>4,562</w:t>
            </w:r>
          </w:p>
        </w:tc>
        <w:tc>
          <w:tcPr>
            <w:tcW w:type="dxa" w:w="850"/>
          </w:tcPr>
          <w:p>
            <w:pPr>
              <w:jc w:val="right"/>
            </w:pPr>
            <w:r/>
            <w:r>
              <w:rPr>
                <w:color w:val="1A1D21"/>
                <w:sz w:val="17"/>
              </w:rPr>
              <w:t>4,348</w:t>
            </w:r>
          </w:p>
        </w:tc>
        <w:tc>
          <w:tcPr>
            <w:tcW w:type="dxa" w:w="850"/>
          </w:tcPr>
          <w:p>
            <w:pPr>
              <w:jc w:val="right"/>
            </w:pPr>
            <w:r/>
            <w:r>
              <w:rPr>
                <w:color w:val="1A1D21"/>
                <w:sz w:val="17"/>
              </w:rPr>
              <w:t>4,196</w:t>
            </w:r>
          </w:p>
        </w:tc>
        <w:tc>
          <w:tcPr>
            <w:tcW w:type="dxa" w:w="850"/>
          </w:tcPr>
          <w:p>
            <w:pPr>
              <w:jc w:val="right"/>
            </w:pPr>
            <w:r/>
            <w:r>
              <w:rPr>
                <w:color w:val="1A1D21"/>
                <w:sz w:val="17"/>
              </w:rPr>
              <w:t>4,087</w:t>
            </w:r>
          </w:p>
        </w:tc>
        <w:tc>
          <w:tcPr>
            <w:tcW w:type="dxa" w:w="850"/>
          </w:tcPr>
          <w:p>
            <w:pPr>
              <w:jc w:val="right"/>
            </w:pPr>
            <w:r/>
            <w:r>
              <w:rPr>
                <w:color w:val="1A1D21"/>
                <w:sz w:val="17"/>
              </w:rPr>
              <w:t>4,006</w:t>
            </w:r>
          </w:p>
        </w:tc>
        <w:tc>
          <w:tcPr>
            <w:tcW w:type="dxa" w:w="850"/>
          </w:tcPr>
          <w:p>
            <w:pPr>
              <w:jc w:val="right"/>
            </w:pPr>
            <w:r/>
            <w:r>
              <w:rPr>
                <w:color w:val="1A1D21"/>
                <w:sz w:val="17"/>
              </w:rPr>
              <w:t>3,269</w:t>
            </w:r>
          </w:p>
        </w:tc>
        <w:tc>
          <w:tcPr>
            <w:tcW w:type="dxa" w:w="850"/>
          </w:tcPr>
          <w:p>
            <w:pPr>
              <w:jc w:val="right"/>
            </w:pPr>
            <w:r/>
            <w:r>
              <w:rPr>
                <w:color w:val="1A1D21"/>
                <w:sz w:val="17"/>
              </w:rPr>
              <w:t>2,204</w:t>
            </w:r>
          </w:p>
        </w:tc>
      </w:tr>
    </w:tbl>
    <w:p>
      <w:pPr>
        <w:spacing w:after="200"/>
      </w:pPr>
      <w:r>
        <w:rPr>
          <w:b w:val="0"/>
          <w:i/>
          <w:color w:val="5B6570"/>
          <w:sz w:val="16"/>
        </w:rPr>
        <w:t>These are the figures discounted in section 1.1, shown again here beside the statements they come out of.</w:t>
      </w:r>
    </w:p>
    <w:p>
      <w:pPr>
        <w:pStyle w:val="Heading3"/>
      </w:pPr>
      <w:r>
        <w:t>If the collection cycle holds</w:t>
      </w:r>
    </w:p>
    <w:tbl>
      <w:tblPr>
        <w:tblStyle w:val="TableGrid"/>
        <w:tblW w:type="auto" w:w="0"/>
        <w:jc w:val="center"/>
        <w:tblLayout w:type="fixed"/>
        <w:tblLook w:firstColumn="1" w:firstRow="1" w:lastColumn="0" w:lastRow="0" w:noHBand="0" w:noVBand="1" w:val="04A0"/>
        <w:tblLayout w:type="fixed"/>
      </w:tblPr>
      <w:tblGrid>
        <w:gridCol w:w="2421"/>
        <w:gridCol w:w="964"/>
        <w:gridCol w:w="964"/>
        <w:gridCol w:w="964"/>
        <w:gridCol w:w="964"/>
        <w:gridCol w:w="964"/>
        <w:gridCol w:w="964"/>
        <w:gridCol w:w="964"/>
      </w:tblGrid>
      <w:tr>
        <w:trPr>
          <w:tblHeader w:val="true"/>
        </w:trPr>
        <w:tc>
          <w:tcPr>
            <w:tcW w:type="dxa" w:w="2421"/>
          </w:tcPr>
          <w:p>
            <w:r/>
            <w:r>
              <w:rPr>
                <w:b/>
                <w:color w:val="5B6570"/>
                <w:sz w:val="17"/>
              </w:rPr>
              <w:t>Forecast balance sheet, EGP million</w:t>
            </w:r>
          </w:p>
        </w:tc>
        <w:tc>
          <w:tcPr>
            <w:tcW w:type="dxa" w:w="964"/>
          </w:tcPr>
          <w:p>
            <w:r/>
            <w:r>
              <w:rPr>
                <w:b/>
                <w:color w:val="5B6570"/>
                <w:sz w:val="17"/>
              </w:rPr>
              <w:t>2026</w:t>
            </w:r>
          </w:p>
        </w:tc>
        <w:tc>
          <w:tcPr>
            <w:tcW w:type="dxa" w:w="964"/>
          </w:tcPr>
          <w:p>
            <w:r/>
            <w:r>
              <w:rPr>
                <w:b/>
                <w:color w:val="5B6570"/>
                <w:sz w:val="17"/>
              </w:rPr>
              <w:t>2027</w:t>
            </w:r>
          </w:p>
        </w:tc>
        <w:tc>
          <w:tcPr>
            <w:tcW w:type="dxa" w:w="964"/>
          </w:tcPr>
          <w:p>
            <w:r/>
            <w:r>
              <w:rPr>
                <w:b/>
                <w:color w:val="5B6570"/>
                <w:sz w:val="17"/>
              </w:rPr>
              <w:t>2028</w:t>
            </w:r>
          </w:p>
        </w:tc>
        <w:tc>
          <w:tcPr>
            <w:tcW w:type="dxa" w:w="964"/>
          </w:tcPr>
          <w:p>
            <w:r/>
            <w:r>
              <w:rPr>
                <w:b/>
                <w:color w:val="5B6570"/>
                <w:sz w:val="17"/>
              </w:rPr>
              <w:t>2029</w:t>
            </w:r>
          </w:p>
        </w:tc>
        <w:tc>
          <w:tcPr>
            <w:tcW w:type="dxa" w:w="964"/>
          </w:tcPr>
          <w:p>
            <w:r/>
            <w:r>
              <w:rPr>
                <w:b/>
                <w:color w:val="5B6570"/>
                <w:sz w:val="17"/>
              </w:rPr>
              <w:t>2030</w:t>
            </w:r>
          </w:p>
        </w:tc>
        <w:tc>
          <w:tcPr>
            <w:tcW w:type="dxa" w:w="964"/>
          </w:tcPr>
          <w:p>
            <w:r/>
            <w:r>
              <w:rPr>
                <w:b/>
                <w:color w:val="5B6570"/>
                <w:sz w:val="17"/>
              </w:rPr>
              <w:t>2035</w:t>
            </w:r>
          </w:p>
        </w:tc>
        <w:tc>
          <w:tcPr>
            <w:tcW w:type="dxa" w:w="964"/>
          </w:tcPr>
          <w:p>
            <w:r/>
            <w:r>
              <w:rPr>
                <w:b/>
                <w:color w:val="5B6570"/>
                <w:sz w:val="17"/>
              </w:rPr>
              <w:t>2040</w:t>
            </w:r>
          </w:p>
        </w:tc>
      </w:tr>
      <w:tr>
        <w:trPr>
          <w:cantSplit/>
        </w:trPr>
        <w:tc>
          <w:tcPr>
            <w:tcW w:type="dxa" w:w="2421"/>
          </w:tcPr>
          <w:p>
            <w:r/>
            <w:r>
              <w:rPr>
                <w:color w:val="1A1D21"/>
                <w:sz w:val="17"/>
              </w:rPr>
              <w:t>Trade and notes receivable</w:t>
            </w:r>
          </w:p>
        </w:tc>
        <w:tc>
          <w:tcPr>
            <w:tcW w:type="dxa" w:w="964"/>
          </w:tcPr>
          <w:p>
            <w:pPr>
              <w:jc w:val="right"/>
            </w:pPr>
            <w:r/>
            <w:r>
              <w:rPr>
                <w:color w:val="1A1D21"/>
                <w:sz w:val="17"/>
              </w:rPr>
              <w:t>115,272</w:t>
            </w:r>
          </w:p>
        </w:tc>
        <w:tc>
          <w:tcPr>
            <w:tcW w:type="dxa" w:w="964"/>
          </w:tcPr>
          <w:p>
            <w:pPr>
              <w:jc w:val="right"/>
            </w:pPr>
            <w:r/>
            <w:r>
              <w:rPr>
                <w:color w:val="1A1D21"/>
                <w:sz w:val="17"/>
              </w:rPr>
              <w:t>148,470</w:t>
            </w:r>
          </w:p>
        </w:tc>
        <w:tc>
          <w:tcPr>
            <w:tcW w:type="dxa" w:w="964"/>
          </w:tcPr>
          <w:p>
            <w:pPr>
              <w:jc w:val="right"/>
            </w:pPr>
            <w:r/>
            <w:r>
              <w:rPr>
                <w:color w:val="1A1D21"/>
                <w:sz w:val="17"/>
              </w:rPr>
              <w:t>183,680</w:t>
            </w:r>
          </w:p>
        </w:tc>
        <w:tc>
          <w:tcPr>
            <w:tcW w:type="dxa" w:w="964"/>
          </w:tcPr>
          <w:p>
            <w:pPr>
              <w:jc w:val="right"/>
            </w:pPr>
            <w:r/>
            <w:r>
              <w:rPr>
                <w:color w:val="1A1D21"/>
                <w:sz w:val="17"/>
              </w:rPr>
              <w:t>221,151</w:t>
            </w:r>
          </w:p>
        </w:tc>
        <w:tc>
          <w:tcPr>
            <w:tcW w:type="dxa" w:w="964"/>
          </w:tcPr>
          <w:p>
            <w:pPr>
              <w:jc w:val="right"/>
            </w:pPr>
            <w:r/>
            <w:r>
              <w:rPr>
                <w:color w:val="1A1D21"/>
                <w:sz w:val="17"/>
              </w:rPr>
              <w:t>261,478</w:t>
            </w:r>
          </w:p>
        </w:tc>
        <w:tc>
          <w:tcPr>
            <w:tcW w:type="dxa" w:w="964"/>
          </w:tcPr>
          <w:p>
            <w:pPr>
              <w:jc w:val="right"/>
            </w:pPr>
            <w:r/>
            <w:r>
              <w:rPr>
                <w:color w:val="1A1D21"/>
                <w:sz w:val="17"/>
              </w:rPr>
              <w:t>490,284</w:t>
            </w:r>
          </w:p>
        </w:tc>
        <w:tc>
          <w:tcPr>
            <w:tcW w:type="dxa" w:w="964"/>
          </w:tcPr>
          <w:p>
            <w:pPr>
              <w:jc w:val="right"/>
            </w:pPr>
            <w:r/>
            <w:r>
              <w:rPr>
                <w:color w:val="1A1D21"/>
                <w:sz w:val="17"/>
              </w:rPr>
              <w:t>697,964</w:t>
            </w:r>
          </w:p>
        </w:tc>
      </w:tr>
      <w:tr>
        <w:trPr>
          <w:cantSplit/>
        </w:trPr>
        <w:tc>
          <w:tcPr>
            <w:tcW w:type="dxa" w:w="2421"/>
          </w:tcPr>
          <w:p>
            <w:r/>
            <w:r>
              <w:rPr>
                <w:color w:val="1A1D21"/>
                <w:sz w:val="17"/>
              </w:rPr>
              <w:t>Work in progress</w:t>
            </w:r>
          </w:p>
        </w:tc>
        <w:tc>
          <w:tcPr>
            <w:tcW w:type="dxa" w:w="964"/>
          </w:tcPr>
          <w:p>
            <w:pPr>
              <w:jc w:val="right"/>
            </w:pPr>
            <w:r/>
            <w:r>
              <w:rPr>
                <w:color w:val="1A1D21"/>
                <w:sz w:val="17"/>
              </w:rPr>
              <w:t>19,567</w:t>
            </w:r>
          </w:p>
        </w:tc>
        <w:tc>
          <w:tcPr>
            <w:tcW w:type="dxa" w:w="964"/>
          </w:tcPr>
          <w:p>
            <w:pPr>
              <w:jc w:val="right"/>
            </w:pPr>
            <w:r/>
            <w:r>
              <w:rPr>
                <w:color w:val="1A1D21"/>
                <w:sz w:val="17"/>
              </w:rPr>
              <w:t>25,203</w:t>
            </w:r>
          </w:p>
        </w:tc>
        <w:tc>
          <w:tcPr>
            <w:tcW w:type="dxa" w:w="964"/>
          </w:tcPr>
          <w:p>
            <w:pPr>
              <w:jc w:val="right"/>
            </w:pPr>
            <w:r/>
            <w:r>
              <w:rPr>
                <w:color w:val="1A1D21"/>
                <w:sz w:val="17"/>
              </w:rPr>
              <w:t>31,180</w:t>
            </w:r>
          </w:p>
        </w:tc>
        <w:tc>
          <w:tcPr>
            <w:tcW w:type="dxa" w:w="964"/>
          </w:tcPr>
          <w:p>
            <w:pPr>
              <w:jc w:val="right"/>
            </w:pPr>
            <w:r/>
            <w:r>
              <w:rPr>
                <w:color w:val="1A1D21"/>
                <w:sz w:val="17"/>
              </w:rPr>
              <w:t>37,540</w:t>
            </w:r>
          </w:p>
        </w:tc>
        <w:tc>
          <w:tcPr>
            <w:tcW w:type="dxa" w:w="964"/>
          </w:tcPr>
          <w:p>
            <w:pPr>
              <w:jc w:val="right"/>
            </w:pPr>
            <w:r/>
            <w:r>
              <w:rPr>
                <w:color w:val="1A1D21"/>
                <w:sz w:val="17"/>
              </w:rPr>
              <w:t>44,386</w:t>
            </w:r>
          </w:p>
        </w:tc>
        <w:tc>
          <w:tcPr>
            <w:tcW w:type="dxa" w:w="964"/>
          </w:tcPr>
          <w:p>
            <w:pPr>
              <w:jc w:val="right"/>
            </w:pPr>
            <w:r/>
            <w:r>
              <w:rPr>
                <w:color w:val="1A1D21"/>
                <w:sz w:val="17"/>
              </w:rPr>
              <w:t>83,225</w:t>
            </w:r>
          </w:p>
        </w:tc>
        <w:tc>
          <w:tcPr>
            <w:tcW w:type="dxa" w:w="964"/>
          </w:tcPr>
          <w:p>
            <w:pPr>
              <w:jc w:val="right"/>
            </w:pPr>
            <w:r/>
            <w:r>
              <w:rPr>
                <w:color w:val="1A1D21"/>
                <w:sz w:val="17"/>
              </w:rPr>
              <w:t>118,479</w:t>
            </w:r>
          </w:p>
        </w:tc>
      </w:tr>
      <w:tr>
        <w:trPr>
          <w:cantSplit/>
        </w:trPr>
        <w:tc>
          <w:tcPr>
            <w:tcW w:type="dxa" w:w="2421"/>
          </w:tcPr>
          <w:p>
            <w:r/>
            <w:r>
              <w:rPr>
                <w:color w:val="1A1D21"/>
                <w:sz w:val="17"/>
              </w:rPr>
              <w:t>Other receivables and prepayments</w:t>
            </w:r>
          </w:p>
        </w:tc>
        <w:tc>
          <w:tcPr>
            <w:tcW w:type="dxa" w:w="964"/>
          </w:tcPr>
          <w:p>
            <w:pPr>
              <w:jc w:val="right"/>
            </w:pPr>
            <w:r/>
            <w:r>
              <w:rPr>
                <w:color w:val="1A1D21"/>
                <w:sz w:val="17"/>
              </w:rPr>
              <w:t>14,390</w:t>
            </w:r>
          </w:p>
        </w:tc>
        <w:tc>
          <w:tcPr>
            <w:tcW w:type="dxa" w:w="964"/>
          </w:tcPr>
          <w:p>
            <w:pPr>
              <w:jc w:val="right"/>
            </w:pPr>
            <w:r/>
            <w:r>
              <w:rPr>
                <w:color w:val="1A1D21"/>
                <w:sz w:val="17"/>
              </w:rPr>
              <w:t>18,535</w:t>
            </w:r>
          </w:p>
        </w:tc>
        <w:tc>
          <w:tcPr>
            <w:tcW w:type="dxa" w:w="964"/>
          </w:tcPr>
          <w:p>
            <w:pPr>
              <w:jc w:val="right"/>
            </w:pPr>
            <w:r/>
            <w:r>
              <w:rPr>
                <w:color w:val="1A1D21"/>
                <w:sz w:val="17"/>
              </w:rPr>
              <w:t>22,930</w:t>
            </w:r>
          </w:p>
        </w:tc>
        <w:tc>
          <w:tcPr>
            <w:tcW w:type="dxa" w:w="964"/>
          </w:tcPr>
          <w:p>
            <w:pPr>
              <w:jc w:val="right"/>
            </w:pPr>
            <w:r/>
            <w:r>
              <w:rPr>
                <w:color w:val="1A1D21"/>
                <w:sz w:val="17"/>
              </w:rPr>
              <w:t>27,608</w:t>
            </w:r>
          </w:p>
        </w:tc>
        <w:tc>
          <w:tcPr>
            <w:tcW w:type="dxa" w:w="964"/>
          </w:tcPr>
          <w:p>
            <w:pPr>
              <w:jc w:val="right"/>
            </w:pPr>
            <w:r/>
            <w:r>
              <w:rPr>
                <w:color w:val="1A1D21"/>
                <w:sz w:val="17"/>
              </w:rPr>
              <w:t>32,642</w:t>
            </w:r>
          </w:p>
        </w:tc>
        <w:tc>
          <w:tcPr>
            <w:tcW w:type="dxa" w:w="964"/>
          </w:tcPr>
          <w:p>
            <w:pPr>
              <w:jc w:val="right"/>
            </w:pPr>
            <w:r/>
            <w:r>
              <w:rPr>
                <w:color w:val="1A1D21"/>
                <w:sz w:val="17"/>
              </w:rPr>
              <w:t>61,206</w:t>
            </w:r>
          </w:p>
        </w:tc>
        <w:tc>
          <w:tcPr>
            <w:tcW w:type="dxa" w:w="964"/>
          </w:tcPr>
          <w:p>
            <w:pPr>
              <w:jc w:val="right"/>
            </w:pPr>
            <w:r/>
            <w:r>
              <w:rPr>
                <w:color w:val="1A1D21"/>
                <w:sz w:val="17"/>
              </w:rPr>
              <w:t>87,132</w:t>
            </w:r>
          </w:p>
        </w:tc>
      </w:tr>
      <w:tr>
        <w:trPr>
          <w:cantSplit/>
        </w:trPr>
        <w:tc>
          <w:tcPr>
            <w:tcW w:type="dxa" w:w="2421"/>
          </w:tcPr>
          <w:p>
            <w:r/>
            <w:r>
              <w:rPr>
                <w:color w:val="1A1D21"/>
                <w:sz w:val="17"/>
              </w:rPr>
              <w:t>Advances to suppliers</w:t>
            </w:r>
          </w:p>
        </w:tc>
        <w:tc>
          <w:tcPr>
            <w:tcW w:type="dxa" w:w="964"/>
          </w:tcPr>
          <w:p>
            <w:pPr>
              <w:jc w:val="right"/>
            </w:pPr>
            <w:r/>
            <w:r>
              <w:rPr>
                <w:color w:val="1A1D21"/>
                <w:sz w:val="17"/>
              </w:rPr>
              <w:t>10,085</w:t>
            </w:r>
          </w:p>
        </w:tc>
        <w:tc>
          <w:tcPr>
            <w:tcW w:type="dxa" w:w="964"/>
          </w:tcPr>
          <w:p>
            <w:pPr>
              <w:jc w:val="right"/>
            </w:pPr>
            <w:r/>
            <w:r>
              <w:rPr>
                <w:color w:val="1A1D21"/>
                <w:sz w:val="17"/>
              </w:rPr>
              <w:t>12,990</w:t>
            </w:r>
          </w:p>
        </w:tc>
        <w:tc>
          <w:tcPr>
            <w:tcW w:type="dxa" w:w="964"/>
          </w:tcPr>
          <w:p>
            <w:pPr>
              <w:jc w:val="right"/>
            </w:pPr>
            <w:r/>
            <w:r>
              <w:rPr>
                <w:color w:val="1A1D21"/>
                <w:sz w:val="17"/>
              </w:rPr>
              <w:t>16,070</w:t>
            </w:r>
          </w:p>
        </w:tc>
        <w:tc>
          <w:tcPr>
            <w:tcW w:type="dxa" w:w="964"/>
          </w:tcPr>
          <w:p>
            <w:pPr>
              <w:jc w:val="right"/>
            </w:pPr>
            <w:r/>
            <w:r>
              <w:rPr>
                <w:color w:val="1A1D21"/>
                <w:sz w:val="17"/>
              </w:rPr>
              <w:t>19,349</w:t>
            </w:r>
          </w:p>
        </w:tc>
        <w:tc>
          <w:tcPr>
            <w:tcW w:type="dxa" w:w="964"/>
          </w:tcPr>
          <w:p>
            <w:pPr>
              <w:jc w:val="right"/>
            </w:pPr>
            <w:r/>
            <w:r>
              <w:rPr>
                <w:color w:val="1A1D21"/>
                <w:sz w:val="17"/>
              </w:rPr>
              <w:t>22,877</w:t>
            </w:r>
          </w:p>
        </w:tc>
        <w:tc>
          <w:tcPr>
            <w:tcW w:type="dxa" w:w="964"/>
          </w:tcPr>
          <w:p>
            <w:pPr>
              <w:jc w:val="right"/>
            </w:pPr>
            <w:r/>
            <w:r>
              <w:rPr>
                <w:color w:val="1A1D21"/>
                <w:sz w:val="17"/>
              </w:rPr>
              <w:t>42,895</w:t>
            </w:r>
          </w:p>
        </w:tc>
        <w:tc>
          <w:tcPr>
            <w:tcW w:type="dxa" w:w="964"/>
          </w:tcPr>
          <w:p>
            <w:pPr>
              <w:jc w:val="right"/>
            </w:pPr>
            <w:r/>
            <w:r>
              <w:rPr>
                <w:color w:val="1A1D21"/>
                <w:sz w:val="17"/>
              </w:rPr>
              <w:t>61,065</w:t>
            </w:r>
          </w:p>
        </w:tc>
      </w:tr>
      <w:tr>
        <w:trPr>
          <w:cantSplit/>
        </w:trPr>
        <w:tc>
          <w:tcPr>
            <w:tcW w:type="dxa" w:w="2421"/>
          </w:tcPr>
          <w:p>
            <w:r/>
            <w:r>
              <w:rPr>
                <w:color w:val="1A1D21"/>
                <w:sz w:val="17"/>
              </w:rPr>
              <w:t>Cash and equivalents</w:t>
            </w:r>
          </w:p>
        </w:tc>
        <w:tc>
          <w:tcPr>
            <w:tcW w:type="dxa" w:w="964"/>
          </w:tcPr>
          <w:p>
            <w:pPr>
              <w:jc w:val="right"/>
            </w:pPr>
            <w:r/>
            <w:r>
              <w:rPr>
                <w:color w:val="1A1D21"/>
                <w:sz w:val="17"/>
              </w:rPr>
              <w:t>4,991</w:t>
            </w:r>
          </w:p>
        </w:tc>
        <w:tc>
          <w:tcPr>
            <w:tcW w:type="dxa" w:w="964"/>
          </w:tcPr>
          <w:p>
            <w:pPr>
              <w:jc w:val="right"/>
            </w:pPr>
            <w:r/>
            <w:r>
              <w:rPr>
                <w:color w:val="1A1D21"/>
                <w:sz w:val="17"/>
              </w:rPr>
              <w:t>2,355</w:t>
            </w:r>
          </w:p>
        </w:tc>
        <w:tc>
          <w:tcPr>
            <w:tcW w:type="dxa" w:w="964"/>
          </w:tcPr>
          <w:p>
            <w:pPr>
              <w:jc w:val="right"/>
            </w:pPr>
            <w:r/>
            <w:r>
              <w:rPr>
                <w:color w:val="1A1D21"/>
                <w:sz w:val="17"/>
              </w:rPr>
              <w:t>2,355</w:t>
            </w:r>
          </w:p>
        </w:tc>
        <w:tc>
          <w:tcPr>
            <w:tcW w:type="dxa" w:w="964"/>
          </w:tcPr>
          <w:p>
            <w:pPr>
              <w:jc w:val="right"/>
            </w:pPr>
            <w:r/>
            <w:r>
              <w:rPr>
                <w:color w:val="1A1D21"/>
                <w:sz w:val="17"/>
              </w:rPr>
              <w:t>2,355</w:t>
            </w:r>
          </w:p>
        </w:tc>
        <w:tc>
          <w:tcPr>
            <w:tcW w:type="dxa" w:w="964"/>
          </w:tcPr>
          <w:p>
            <w:pPr>
              <w:jc w:val="right"/>
            </w:pPr>
            <w:r/>
            <w:r>
              <w:rPr>
                <w:color w:val="1A1D21"/>
                <w:sz w:val="17"/>
              </w:rPr>
              <w:t>2,355</w:t>
            </w:r>
          </w:p>
        </w:tc>
        <w:tc>
          <w:tcPr>
            <w:tcW w:type="dxa" w:w="964"/>
          </w:tcPr>
          <w:p>
            <w:pPr>
              <w:jc w:val="right"/>
            </w:pPr>
            <w:r/>
            <w:r>
              <w:rPr>
                <w:color w:val="1A1D21"/>
                <w:sz w:val="17"/>
              </w:rPr>
              <w:t>2,355</w:t>
            </w:r>
          </w:p>
        </w:tc>
        <w:tc>
          <w:tcPr>
            <w:tcW w:type="dxa" w:w="964"/>
          </w:tcPr>
          <w:p>
            <w:pPr>
              <w:jc w:val="right"/>
            </w:pPr>
            <w:r/>
            <w:r>
              <w:rPr>
                <w:color w:val="1A1D21"/>
                <w:sz w:val="17"/>
              </w:rPr>
              <w:t>7,488</w:t>
            </w:r>
          </w:p>
        </w:tc>
      </w:tr>
      <w:tr>
        <w:trPr>
          <w:cantSplit/>
        </w:trPr>
        <w:tc>
          <w:tcPr>
            <w:tcW w:type="dxa" w:w="2421"/>
          </w:tcPr>
          <w:p>
            <w:r/>
            <w:r>
              <w:rPr>
                <w:color w:val="1A1D21"/>
                <w:sz w:val="17"/>
              </w:rPr>
              <w:t>Property and equipment</w:t>
            </w:r>
          </w:p>
        </w:tc>
        <w:tc>
          <w:tcPr>
            <w:tcW w:type="dxa" w:w="964"/>
          </w:tcPr>
          <w:p>
            <w:pPr>
              <w:jc w:val="right"/>
            </w:pPr>
            <w:r/>
            <w:r>
              <w:rPr>
                <w:color w:val="1A1D21"/>
                <w:sz w:val="17"/>
              </w:rPr>
              <w:t>4,531</w:t>
            </w:r>
          </w:p>
        </w:tc>
        <w:tc>
          <w:tcPr>
            <w:tcW w:type="dxa" w:w="964"/>
          </w:tcPr>
          <w:p>
            <w:pPr>
              <w:jc w:val="right"/>
            </w:pPr>
            <w:r/>
            <w:r>
              <w:rPr>
                <w:color w:val="1A1D21"/>
                <w:sz w:val="17"/>
              </w:rPr>
              <w:t>4,542</w:t>
            </w:r>
          </w:p>
        </w:tc>
        <w:tc>
          <w:tcPr>
            <w:tcW w:type="dxa" w:w="964"/>
          </w:tcPr>
          <w:p>
            <w:pPr>
              <w:jc w:val="right"/>
            </w:pPr>
            <w:r/>
            <w:r>
              <w:rPr>
                <w:color w:val="1A1D21"/>
                <w:sz w:val="17"/>
              </w:rPr>
              <w:t>4,557</w:t>
            </w:r>
          </w:p>
        </w:tc>
        <w:tc>
          <w:tcPr>
            <w:tcW w:type="dxa" w:w="964"/>
          </w:tcPr>
          <w:p>
            <w:pPr>
              <w:jc w:val="right"/>
            </w:pPr>
            <w:r/>
            <w:r>
              <w:rPr>
                <w:color w:val="1A1D21"/>
                <w:sz w:val="17"/>
              </w:rPr>
              <w:t>4,574</w:t>
            </w:r>
          </w:p>
        </w:tc>
        <w:tc>
          <w:tcPr>
            <w:tcW w:type="dxa" w:w="964"/>
          </w:tcPr>
          <w:p>
            <w:pPr>
              <w:jc w:val="right"/>
            </w:pPr>
            <w:r/>
            <w:r>
              <w:rPr>
                <w:color w:val="1A1D21"/>
                <w:sz w:val="17"/>
              </w:rPr>
              <w:t>4,594</w:t>
            </w:r>
          </w:p>
        </w:tc>
        <w:tc>
          <w:tcPr>
            <w:tcW w:type="dxa" w:w="964"/>
          </w:tcPr>
          <w:p>
            <w:pPr>
              <w:jc w:val="right"/>
            </w:pPr>
            <w:r/>
            <w:r>
              <w:rPr>
                <w:color w:val="1A1D21"/>
                <w:sz w:val="17"/>
              </w:rPr>
              <w:t>4,747</w:t>
            </w:r>
          </w:p>
        </w:tc>
        <w:tc>
          <w:tcPr>
            <w:tcW w:type="dxa" w:w="964"/>
          </w:tcPr>
          <w:p>
            <w:pPr>
              <w:jc w:val="right"/>
            </w:pPr>
            <w:r/>
            <w:r>
              <w:rPr>
                <w:color w:val="1A1D21"/>
                <w:sz w:val="17"/>
              </w:rPr>
              <w:t>4,984</w:t>
            </w:r>
          </w:p>
        </w:tc>
      </w:tr>
      <w:tr>
        <w:trPr>
          <w:cantSplit/>
        </w:trPr>
        <w:tc>
          <w:tcPr>
            <w:tcW w:type="dxa" w:w="2421"/>
          </w:tcPr>
          <w:p>
            <w:r/>
            <w:r>
              <w:rPr>
                <w:color w:val="1A1D21"/>
                <w:sz w:val="17"/>
              </w:rPr>
              <w:t>Other assets, held at the 2025 level</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c>
          <w:tcPr>
            <w:tcW w:type="dxa" w:w="964"/>
          </w:tcPr>
          <w:p>
            <w:pPr>
              <w:jc w:val="right"/>
            </w:pPr>
            <w:r/>
            <w:r>
              <w:rPr>
                <w:color w:val="1A1D21"/>
                <w:sz w:val="17"/>
              </w:rPr>
              <w:t>15,128</w:t>
            </w:r>
          </w:p>
        </w:tc>
      </w:tr>
      <w:tr>
        <w:trPr>
          <w:cantSplit/>
        </w:trPr>
        <w:tc>
          <w:tcPr>
            <w:tcW w:type="dxa" w:w="2421"/>
          </w:tcPr>
          <w:p>
            <w:r/>
            <w:r>
              <w:rPr>
                <w:color w:val="1A1D21"/>
                <w:sz w:val="17"/>
              </w:rPr>
              <w:t>Total assets</w:t>
            </w:r>
          </w:p>
        </w:tc>
        <w:tc>
          <w:tcPr>
            <w:tcW w:type="dxa" w:w="964"/>
          </w:tcPr>
          <w:p>
            <w:pPr>
              <w:jc w:val="right"/>
            </w:pPr>
            <w:r/>
            <w:r>
              <w:rPr>
                <w:color w:val="1A1D21"/>
                <w:sz w:val="17"/>
              </w:rPr>
              <w:t>183,965</w:t>
            </w:r>
          </w:p>
        </w:tc>
        <w:tc>
          <w:tcPr>
            <w:tcW w:type="dxa" w:w="964"/>
          </w:tcPr>
          <w:p>
            <w:pPr>
              <w:jc w:val="right"/>
            </w:pPr>
            <w:r/>
            <w:r>
              <w:rPr>
                <w:color w:val="1A1D21"/>
                <w:sz w:val="17"/>
              </w:rPr>
              <w:t>227,223</w:t>
            </w:r>
          </w:p>
        </w:tc>
        <w:tc>
          <w:tcPr>
            <w:tcW w:type="dxa" w:w="964"/>
          </w:tcPr>
          <w:p>
            <w:pPr>
              <w:jc w:val="right"/>
            </w:pPr>
            <w:r/>
            <w:r>
              <w:rPr>
                <w:color w:val="1A1D21"/>
                <w:sz w:val="17"/>
              </w:rPr>
              <w:t>275,900</w:t>
            </w:r>
          </w:p>
        </w:tc>
        <w:tc>
          <w:tcPr>
            <w:tcW w:type="dxa" w:w="964"/>
          </w:tcPr>
          <w:p>
            <w:pPr>
              <w:jc w:val="right"/>
            </w:pPr>
            <w:r/>
            <w:r>
              <w:rPr>
                <w:color w:val="1A1D21"/>
                <w:sz w:val="17"/>
              </w:rPr>
              <w:t>327,704</w:t>
            </w:r>
          </w:p>
        </w:tc>
        <w:tc>
          <w:tcPr>
            <w:tcW w:type="dxa" w:w="964"/>
          </w:tcPr>
          <w:p>
            <w:pPr>
              <w:jc w:val="right"/>
            </w:pPr>
            <w:r/>
            <w:r>
              <w:rPr>
                <w:color w:val="1A1D21"/>
                <w:sz w:val="17"/>
              </w:rPr>
              <w:t>383,459</w:t>
            </w:r>
          </w:p>
        </w:tc>
        <w:tc>
          <w:tcPr>
            <w:tcW w:type="dxa" w:w="964"/>
          </w:tcPr>
          <w:p>
            <w:pPr>
              <w:jc w:val="right"/>
            </w:pPr>
            <w:r/>
            <w:r>
              <w:rPr>
                <w:color w:val="1A1D21"/>
                <w:sz w:val="17"/>
              </w:rPr>
              <w:t>699,841</w:t>
            </w:r>
          </w:p>
        </w:tc>
        <w:tc>
          <w:tcPr>
            <w:tcW w:type="dxa" w:w="964"/>
          </w:tcPr>
          <w:p>
            <w:pPr>
              <w:jc w:val="right"/>
            </w:pPr>
            <w:r/>
            <w:r>
              <w:rPr>
                <w:color w:val="1A1D21"/>
                <w:sz w:val="17"/>
              </w:rPr>
              <w:t>992,240</w:t>
            </w:r>
          </w:p>
        </w:tc>
      </w:tr>
      <w:tr>
        <w:trPr>
          <w:cantSplit/>
        </w:trPr>
        <w:tc>
          <w:tcPr>
            <w:tcW w:type="dxa" w:w="2421"/>
          </w:tcPr>
          <w:p>
            <w:r/>
            <w:r>
              <w:rPr>
                <w:color w:val="1A1D21"/>
                <w:sz w:val="17"/>
              </w:rPr>
              <w:t>Customer advances</w:t>
            </w:r>
          </w:p>
        </w:tc>
        <w:tc>
          <w:tcPr>
            <w:tcW w:type="dxa" w:w="964"/>
          </w:tcPr>
          <w:p>
            <w:pPr>
              <w:jc w:val="right"/>
            </w:pPr>
            <w:r/>
            <w:r>
              <w:rPr>
                <w:color w:val="1A1D21"/>
                <w:sz w:val="17"/>
              </w:rPr>
              <w:t>77,234</w:t>
            </w:r>
          </w:p>
        </w:tc>
        <w:tc>
          <w:tcPr>
            <w:tcW w:type="dxa" w:w="964"/>
          </w:tcPr>
          <w:p>
            <w:pPr>
              <w:jc w:val="right"/>
            </w:pPr>
            <w:r/>
            <w:r>
              <w:rPr>
                <w:color w:val="1A1D21"/>
                <w:sz w:val="17"/>
              </w:rPr>
              <w:t>99,478</w:t>
            </w:r>
          </w:p>
        </w:tc>
        <w:tc>
          <w:tcPr>
            <w:tcW w:type="dxa" w:w="964"/>
          </w:tcPr>
          <w:p>
            <w:pPr>
              <w:jc w:val="right"/>
            </w:pPr>
            <w:r/>
            <w:r>
              <w:rPr>
                <w:color w:val="1A1D21"/>
                <w:sz w:val="17"/>
              </w:rPr>
              <w:t>123,069</w:t>
            </w:r>
          </w:p>
        </w:tc>
        <w:tc>
          <w:tcPr>
            <w:tcW w:type="dxa" w:w="964"/>
          </w:tcPr>
          <w:p>
            <w:pPr>
              <w:jc w:val="right"/>
            </w:pPr>
            <w:r/>
            <w:r>
              <w:rPr>
                <w:color w:val="1A1D21"/>
                <w:sz w:val="17"/>
              </w:rPr>
              <w:t>148,175</w:t>
            </w:r>
          </w:p>
        </w:tc>
        <w:tc>
          <w:tcPr>
            <w:tcW w:type="dxa" w:w="964"/>
          </w:tcPr>
          <w:p>
            <w:pPr>
              <w:jc w:val="right"/>
            </w:pPr>
            <w:r/>
            <w:r>
              <w:rPr>
                <w:color w:val="1A1D21"/>
                <w:sz w:val="17"/>
              </w:rPr>
              <w:t>175,195</w:t>
            </w:r>
          </w:p>
        </w:tc>
        <w:tc>
          <w:tcPr>
            <w:tcW w:type="dxa" w:w="964"/>
          </w:tcPr>
          <w:p>
            <w:pPr>
              <w:jc w:val="right"/>
            </w:pPr>
            <w:r/>
            <w:r>
              <w:rPr>
                <w:color w:val="1A1D21"/>
                <w:sz w:val="17"/>
              </w:rPr>
              <w:t>328,499</w:t>
            </w:r>
          </w:p>
        </w:tc>
        <w:tc>
          <w:tcPr>
            <w:tcW w:type="dxa" w:w="964"/>
          </w:tcPr>
          <w:p>
            <w:pPr>
              <w:jc w:val="right"/>
            </w:pPr>
            <w:r/>
            <w:r>
              <w:rPr>
                <w:color w:val="1A1D21"/>
                <w:sz w:val="17"/>
              </w:rPr>
              <w:t>467,648</w:t>
            </w:r>
          </w:p>
        </w:tc>
      </w:tr>
      <w:tr>
        <w:trPr>
          <w:cantSplit/>
        </w:trPr>
        <w:tc>
          <w:tcPr>
            <w:tcW w:type="dxa" w:w="2421"/>
          </w:tcPr>
          <w:p>
            <w:r/>
            <w:r>
              <w:rPr>
                <w:color w:val="1A1D21"/>
                <w:sz w:val="17"/>
              </w:rPr>
              <w:t>Suppliers</w:t>
            </w:r>
          </w:p>
        </w:tc>
        <w:tc>
          <w:tcPr>
            <w:tcW w:type="dxa" w:w="964"/>
          </w:tcPr>
          <w:p>
            <w:pPr>
              <w:jc w:val="right"/>
            </w:pPr>
            <w:r/>
            <w:r>
              <w:rPr>
                <w:color w:val="1A1D21"/>
                <w:sz w:val="17"/>
              </w:rPr>
              <w:t>4,240</w:t>
            </w:r>
          </w:p>
        </w:tc>
        <w:tc>
          <w:tcPr>
            <w:tcW w:type="dxa" w:w="964"/>
          </w:tcPr>
          <w:p>
            <w:pPr>
              <w:jc w:val="right"/>
            </w:pPr>
            <w:r/>
            <w:r>
              <w:rPr>
                <w:color w:val="1A1D21"/>
                <w:sz w:val="17"/>
              </w:rPr>
              <w:t>5,461</w:t>
            </w:r>
          </w:p>
        </w:tc>
        <w:tc>
          <w:tcPr>
            <w:tcW w:type="dxa" w:w="964"/>
          </w:tcPr>
          <w:p>
            <w:pPr>
              <w:jc w:val="right"/>
            </w:pPr>
            <w:r/>
            <w:r>
              <w:rPr>
                <w:color w:val="1A1D21"/>
                <w:sz w:val="17"/>
              </w:rPr>
              <w:t>6,756</w:t>
            </w:r>
          </w:p>
        </w:tc>
        <w:tc>
          <w:tcPr>
            <w:tcW w:type="dxa" w:w="964"/>
          </w:tcPr>
          <w:p>
            <w:pPr>
              <w:jc w:val="right"/>
            </w:pPr>
            <w:r/>
            <w:r>
              <w:rPr>
                <w:color w:val="1A1D21"/>
                <w:sz w:val="17"/>
              </w:rPr>
              <w:t>8,134</w:t>
            </w:r>
          </w:p>
        </w:tc>
        <w:tc>
          <w:tcPr>
            <w:tcW w:type="dxa" w:w="964"/>
          </w:tcPr>
          <w:p>
            <w:pPr>
              <w:jc w:val="right"/>
            </w:pPr>
            <w:r/>
            <w:r>
              <w:rPr>
                <w:color w:val="1A1D21"/>
                <w:sz w:val="17"/>
              </w:rPr>
              <w:t>9,617</w:t>
            </w:r>
          </w:p>
        </w:tc>
        <w:tc>
          <w:tcPr>
            <w:tcW w:type="dxa" w:w="964"/>
          </w:tcPr>
          <w:p>
            <w:pPr>
              <w:jc w:val="right"/>
            </w:pPr>
            <w:r/>
            <w:r>
              <w:rPr>
                <w:color w:val="1A1D21"/>
                <w:sz w:val="17"/>
              </w:rPr>
              <w:t>18,032</w:t>
            </w:r>
          </w:p>
        </w:tc>
        <w:tc>
          <w:tcPr>
            <w:tcW w:type="dxa" w:w="964"/>
          </w:tcPr>
          <w:p>
            <w:pPr>
              <w:jc w:val="right"/>
            </w:pPr>
            <w:r/>
            <w:r>
              <w:rPr>
                <w:color w:val="1A1D21"/>
                <w:sz w:val="17"/>
              </w:rPr>
              <w:t>25,670</w:t>
            </w:r>
          </w:p>
        </w:tc>
      </w:tr>
      <w:tr>
        <w:trPr>
          <w:cantSplit/>
        </w:trPr>
        <w:tc>
          <w:tcPr>
            <w:tcW w:type="dxa" w:w="2421"/>
          </w:tcPr>
          <w:p>
            <w:r/>
            <w:r>
              <w:rPr>
                <w:color w:val="1A1D21"/>
                <w:sz w:val="17"/>
              </w:rPr>
              <w:t>Other creditors</w:t>
            </w:r>
          </w:p>
        </w:tc>
        <w:tc>
          <w:tcPr>
            <w:tcW w:type="dxa" w:w="964"/>
          </w:tcPr>
          <w:p>
            <w:pPr>
              <w:jc w:val="right"/>
            </w:pPr>
            <w:r/>
            <w:r>
              <w:rPr>
                <w:color w:val="1A1D21"/>
                <w:sz w:val="17"/>
              </w:rPr>
              <w:t>5,704</w:t>
            </w:r>
          </w:p>
        </w:tc>
        <w:tc>
          <w:tcPr>
            <w:tcW w:type="dxa" w:w="964"/>
          </w:tcPr>
          <w:p>
            <w:pPr>
              <w:jc w:val="right"/>
            </w:pPr>
            <w:r/>
            <w:r>
              <w:rPr>
                <w:color w:val="1A1D21"/>
                <w:sz w:val="17"/>
              </w:rPr>
              <w:t>7,346</w:t>
            </w:r>
          </w:p>
        </w:tc>
        <w:tc>
          <w:tcPr>
            <w:tcW w:type="dxa" w:w="964"/>
          </w:tcPr>
          <w:p>
            <w:pPr>
              <w:jc w:val="right"/>
            </w:pPr>
            <w:r/>
            <w:r>
              <w:rPr>
                <w:color w:val="1A1D21"/>
                <w:sz w:val="17"/>
              </w:rPr>
              <w:t>9,088</w:t>
            </w:r>
          </w:p>
        </w:tc>
        <w:tc>
          <w:tcPr>
            <w:tcW w:type="dxa" w:w="964"/>
          </w:tcPr>
          <w:p>
            <w:pPr>
              <w:jc w:val="right"/>
            </w:pPr>
            <w:r/>
            <w:r>
              <w:rPr>
                <w:color w:val="1A1D21"/>
                <w:sz w:val="17"/>
              </w:rPr>
              <w:t>10,943</w:t>
            </w:r>
          </w:p>
        </w:tc>
        <w:tc>
          <w:tcPr>
            <w:tcW w:type="dxa" w:w="964"/>
          </w:tcPr>
          <w:p>
            <w:pPr>
              <w:jc w:val="right"/>
            </w:pPr>
            <w:r/>
            <w:r>
              <w:rPr>
                <w:color w:val="1A1D21"/>
                <w:sz w:val="17"/>
              </w:rPr>
              <w:t>12,938</w:t>
            </w:r>
          </w:p>
        </w:tc>
        <w:tc>
          <w:tcPr>
            <w:tcW w:type="dxa" w:w="964"/>
          </w:tcPr>
          <w:p>
            <w:pPr>
              <w:jc w:val="right"/>
            </w:pPr>
            <w:r/>
            <w:r>
              <w:rPr>
                <w:color w:val="1A1D21"/>
                <w:sz w:val="17"/>
              </w:rPr>
              <w:t>24,259</w:t>
            </w:r>
          </w:p>
        </w:tc>
        <w:tc>
          <w:tcPr>
            <w:tcW w:type="dxa" w:w="964"/>
          </w:tcPr>
          <w:p>
            <w:pPr>
              <w:jc w:val="right"/>
            </w:pPr>
            <w:r/>
            <w:r>
              <w:rPr>
                <w:color w:val="1A1D21"/>
                <w:sz w:val="17"/>
              </w:rPr>
              <w:t>34,535</w:t>
            </w:r>
          </w:p>
        </w:tc>
      </w:tr>
      <w:tr>
        <w:trPr>
          <w:cantSplit/>
        </w:trPr>
        <w:tc>
          <w:tcPr>
            <w:tcW w:type="dxa" w:w="2421"/>
          </w:tcPr>
          <w:p>
            <w:r/>
            <w:r>
              <w:rPr>
                <w:color w:val="1A1D21"/>
                <w:sz w:val="17"/>
              </w:rPr>
              <w:t>Cheques under collection</w:t>
            </w:r>
          </w:p>
        </w:tc>
        <w:tc>
          <w:tcPr>
            <w:tcW w:type="dxa" w:w="964"/>
          </w:tcPr>
          <w:p>
            <w:pPr>
              <w:jc w:val="right"/>
            </w:pPr>
            <w:r/>
            <w:r>
              <w:rPr>
                <w:color w:val="1A1D21"/>
                <w:sz w:val="17"/>
              </w:rPr>
              <w:t>2,732</w:t>
            </w:r>
          </w:p>
        </w:tc>
        <w:tc>
          <w:tcPr>
            <w:tcW w:type="dxa" w:w="964"/>
          </w:tcPr>
          <w:p>
            <w:pPr>
              <w:jc w:val="right"/>
            </w:pPr>
            <w:r/>
            <w:r>
              <w:rPr>
                <w:color w:val="1A1D21"/>
                <w:sz w:val="17"/>
              </w:rPr>
              <w:t>3,519</w:t>
            </w:r>
          </w:p>
        </w:tc>
        <w:tc>
          <w:tcPr>
            <w:tcW w:type="dxa" w:w="964"/>
          </w:tcPr>
          <w:p>
            <w:pPr>
              <w:jc w:val="right"/>
            </w:pPr>
            <w:r/>
            <w:r>
              <w:rPr>
                <w:color w:val="1A1D21"/>
                <w:sz w:val="17"/>
              </w:rPr>
              <w:t>4,354</w:t>
            </w:r>
          </w:p>
        </w:tc>
        <w:tc>
          <w:tcPr>
            <w:tcW w:type="dxa" w:w="964"/>
          </w:tcPr>
          <w:p>
            <w:pPr>
              <w:jc w:val="right"/>
            </w:pPr>
            <w:r/>
            <w:r>
              <w:rPr>
                <w:color w:val="1A1D21"/>
                <w:sz w:val="17"/>
              </w:rPr>
              <w:t>5,242</w:t>
            </w:r>
          </w:p>
        </w:tc>
        <w:tc>
          <w:tcPr>
            <w:tcW w:type="dxa" w:w="964"/>
          </w:tcPr>
          <w:p>
            <w:pPr>
              <w:jc w:val="right"/>
            </w:pPr>
            <w:r/>
            <w:r>
              <w:rPr>
                <w:color w:val="1A1D21"/>
                <w:sz w:val="17"/>
              </w:rPr>
              <w:t>6,198</w:t>
            </w:r>
          </w:p>
        </w:tc>
        <w:tc>
          <w:tcPr>
            <w:tcW w:type="dxa" w:w="964"/>
          </w:tcPr>
          <w:p>
            <w:pPr>
              <w:jc w:val="right"/>
            </w:pPr>
            <w:r/>
            <w:r>
              <w:rPr>
                <w:color w:val="1A1D21"/>
                <w:sz w:val="17"/>
              </w:rPr>
              <w:t>11,622</w:t>
            </w:r>
          </w:p>
        </w:tc>
        <w:tc>
          <w:tcPr>
            <w:tcW w:type="dxa" w:w="964"/>
          </w:tcPr>
          <w:p>
            <w:pPr>
              <w:jc w:val="right"/>
            </w:pPr>
            <w:r/>
            <w:r>
              <w:rPr>
                <w:color w:val="1A1D21"/>
                <w:sz w:val="17"/>
              </w:rPr>
              <w:t>16,545</w:t>
            </w:r>
          </w:p>
        </w:tc>
      </w:tr>
      <w:tr>
        <w:trPr>
          <w:cantSplit/>
        </w:trPr>
        <w:tc>
          <w:tcPr>
            <w:tcW w:type="dxa" w:w="2421"/>
          </w:tcPr>
          <w:p>
            <w:r/>
            <w:r>
              <w:rPr>
                <w:color w:val="1A1D21"/>
                <w:sz w:val="17"/>
              </w:rPr>
              <w:t>Borrowings</w:t>
            </w:r>
          </w:p>
        </w:tc>
        <w:tc>
          <w:tcPr>
            <w:tcW w:type="dxa" w:w="964"/>
          </w:tcPr>
          <w:p>
            <w:pPr>
              <w:jc w:val="right"/>
            </w:pPr>
            <w:r/>
            <w:r>
              <w:rPr>
                <w:color w:val="1A1D21"/>
                <w:sz w:val="17"/>
              </w:rPr>
              <w:t>33,553</w:t>
            </w:r>
          </w:p>
        </w:tc>
        <w:tc>
          <w:tcPr>
            <w:tcW w:type="dxa" w:w="964"/>
          </w:tcPr>
          <w:p>
            <w:pPr>
              <w:jc w:val="right"/>
            </w:pPr>
            <w:r/>
            <w:r>
              <w:rPr>
                <w:color w:val="1A1D21"/>
                <w:sz w:val="17"/>
              </w:rPr>
              <w:t>46,741</w:t>
            </w:r>
          </w:p>
        </w:tc>
        <w:tc>
          <w:tcPr>
            <w:tcW w:type="dxa" w:w="964"/>
          </w:tcPr>
          <w:p>
            <w:pPr>
              <w:jc w:val="right"/>
            </w:pPr>
            <w:r/>
            <w:r>
              <w:rPr>
                <w:color w:val="1A1D21"/>
                <w:sz w:val="17"/>
              </w:rPr>
              <w:t>62,173</w:t>
            </w:r>
          </w:p>
        </w:tc>
        <w:tc>
          <w:tcPr>
            <w:tcW w:type="dxa" w:w="964"/>
          </w:tcPr>
          <w:p>
            <w:pPr>
              <w:jc w:val="right"/>
            </w:pPr>
            <w:r/>
            <w:r>
              <w:rPr>
                <w:color w:val="1A1D21"/>
                <w:sz w:val="17"/>
              </w:rPr>
              <w:t>77,262</w:t>
            </w:r>
          </w:p>
        </w:tc>
        <w:tc>
          <w:tcPr>
            <w:tcW w:type="dxa" w:w="964"/>
          </w:tcPr>
          <w:p>
            <w:pPr>
              <w:jc w:val="right"/>
            </w:pPr>
            <w:r/>
            <w:r>
              <w:rPr>
                <w:color w:val="1A1D21"/>
                <w:sz w:val="17"/>
              </w:rPr>
              <w:t>92,234</w:t>
            </w:r>
          </w:p>
        </w:tc>
        <w:tc>
          <w:tcPr>
            <w:tcW w:type="dxa" w:w="964"/>
          </w:tcPr>
          <w:p>
            <w:pPr>
              <w:jc w:val="right"/>
            </w:pPr>
            <w:r/>
            <w:r>
              <w:rPr>
                <w:color w:val="1A1D21"/>
                <w:sz w:val="17"/>
              </w:rPr>
              <w:t>152,439</w:t>
            </w:r>
          </w:p>
        </w:tc>
        <w:tc>
          <w:tcPr>
            <w:tcW w:type="dxa" w:w="964"/>
          </w:tcPr>
          <w:p>
            <w:pPr>
              <w:jc w:val="right"/>
            </w:pPr>
            <w:r/>
            <w:r>
              <w:rPr>
                <w:color w:val="1A1D21"/>
                <w:sz w:val="17"/>
              </w:rPr>
              <w:t>156,197</w:t>
            </w:r>
          </w:p>
        </w:tc>
      </w:tr>
      <w:tr>
        <w:trPr>
          <w:cantSplit/>
        </w:trPr>
        <w:tc>
          <w:tcPr>
            <w:tcW w:type="dxa" w:w="2421"/>
          </w:tcPr>
          <w:p>
            <w:r/>
            <w:r>
              <w:rPr>
                <w:color w:val="1A1D21"/>
                <w:sz w:val="17"/>
              </w:rPr>
              <w:t>Other liabilities, held at the 2025 level</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c>
          <w:tcPr>
            <w:tcW w:type="dxa" w:w="964"/>
          </w:tcPr>
          <w:p>
            <w:pPr>
              <w:jc w:val="right"/>
            </w:pPr>
            <w:r/>
            <w:r>
              <w:rPr>
                <w:color w:val="1A1D21"/>
                <w:sz w:val="17"/>
              </w:rPr>
              <w:t>39,075</w:t>
            </w:r>
          </w:p>
        </w:tc>
      </w:tr>
      <w:tr>
        <w:trPr>
          <w:cantSplit/>
        </w:trPr>
        <w:tc>
          <w:tcPr>
            <w:tcW w:type="dxa" w:w="2421"/>
          </w:tcPr>
          <w:p>
            <w:r/>
            <w:r>
              <w:rPr>
                <w:color w:val="1A1D21"/>
                <w:sz w:val="17"/>
              </w:rPr>
              <w:t>Total liabilities</w:t>
            </w:r>
          </w:p>
        </w:tc>
        <w:tc>
          <w:tcPr>
            <w:tcW w:type="dxa" w:w="964"/>
          </w:tcPr>
          <w:p>
            <w:pPr>
              <w:jc w:val="right"/>
            </w:pPr>
            <w:r/>
            <w:r>
              <w:rPr>
                <w:color w:val="1A1D21"/>
                <w:sz w:val="17"/>
              </w:rPr>
              <w:t>162,538</w:t>
            </w:r>
          </w:p>
        </w:tc>
        <w:tc>
          <w:tcPr>
            <w:tcW w:type="dxa" w:w="964"/>
          </w:tcPr>
          <w:p>
            <w:pPr>
              <w:jc w:val="right"/>
            </w:pPr>
            <w:r/>
            <w:r>
              <w:rPr>
                <w:color w:val="1A1D21"/>
                <w:sz w:val="17"/>
              </w:rPr>
              <w:t>201,620</w:t>
            </w:r>
          </w:p>
        </w:tc>
        <w:tc>
          <w:tcPr>
            <w:tcW w:type="dxa" w:w="964"/>
          </w:tcPr>
          <w:p>
            <w:pPr>
              <w:jc w:val="right"/>
            </w:pPr>
            <w:r/>
            <w:r>
              <w:rPr>
                <w:color w:val="1A1D21"/>
                <w:sz w:val="17"/>
              </w:rPr>
              <w:t>244,515</w:t>
            </w:r>
          </w:p>
        </w:tc>
        <w:tc>
          <w:tcPr>
            <w:tcW w:type="dxa" w:w="964"/>
          </w:tcPr>
          <w:p>
            <w:pPr>
              <w:jc w:val="right"/>
            </w:pPr>
            <w:r/>
            <w:r>
              <w:rPr>
                <w:color w:val="1A1D21"/>
                <w:sz w:val="17"/>
              </w:rPr>
              <w:t>288,830</w:t>
            </w:r>
          </w:p>
        </w:tc>
        <w:tc>
          <w:tcPr>
            <w:tcW w:type="dxa" w:w="964"/>
          </w:tcPr>
          <w:p>
            <w:pPr>
              <w:jc w:val="right"/>
            </w:pPr>
            <w:r/>
            <w:r>
              <w:rPr>
                <w:color w:val="1A1D21"/>
                <w:sz w:val="17"/>
              </w:rPr>
              <w:t>335,256</w:t>
            </w:r>
          </w:p>
        </w:tc>
        <w:tc>
          <w:tcPr>
            <w:tcW w:type="dxa" w:w="964"/>
          </w:tcPr>
          <w:p>
            <w:pPr>
              <w:jc w:val="right"/>
            </w:pPr>
            <w:r/>
            <w:r>
              <w:rPr>
                <w:color w:val="1A1D21"/>
                <w:sz w:val="17"/>
              </w:rPr>
              <w:t>573,926</w:t>
            </w:r>
          </w:p>
        </w:tc>
        <w:tc>
          <w:tcPr>
            <w:tcW w:type="dxa" w:w="964"/>
          </w:tcPr>
          <w:p>
            <w:pPr>
              <w:jc w:val="right"/>
            </w:pPr>
            <w:r/>
            <w:r>
              <w:rPr>
                <w:color w:val="1A1D21"/>
                <w:sz w:val="17"/>
              </w:rPr>
              <w:t>739,670</w:t>
            </w:r>
          </w:p>
        </w:tc>
      </w:tr>
      <w:tr>
        <w:trPr>
          <w:cantSplit/>
        </w:trPr>
        <w:tc>
          <w:tcPr>
            <w:tcW w:type="dxa" w:w="2421"/>
          </w:tcPr>
          <w:p>
            <w:r/>
            <w:r>
              <w:rPr>
                <w:color w:val="1A1D21"/>
                <w:sz w:val="17"/>
              </w:rPr>
              <w:t>Shareholders' funds</w:t>
            </w:r>
          </w:p>
        </w:tc>
        <w:tc>
          <w:tcPr>
            <w:tcW w:type="dxa" w:w="964"/>
          </w:tcPr>
          <w:p>
            <w:pPr>
              <w:jc w:val="right"/>
            </w:pPr>
            <w:r/>
            <w:r>
              <w:rPr>
                <w:color w:val="1A1D21"/>
                <w:sz w:val="17"/>
              </w:rPr>
              <w:t>21,428</w:t>
            </w:r>
          </w:p>
        </w:tc>
        <w:tc>
          <w:tcPr>
            <w:tcW w:type="dxa" w:w="964"/>
          </w:tcPr>
          <w:p>
            <w:pPr>
              <w:jc w:val="right"/>
            </w:pPr>
            <w:r/>
            <w:r>
              <w:rPr>
                <w:color w:val="1A1D21"/>
                <w:sz w:val="17"/>
              </w:rPr>
              <w:t>25,603</w:t>
            </w:r>
          </w:p>
        </w:tc>
        <w:tc>
          <w:tcPr>
            <w:tcW w:type="dxa" w:w="964"/>
          </w:tcPr>
          <w:p>
            <w:pPr>
              <w:jc w:val="right"/>
            </w:pPr>
            <w:r/>
            <w:r>
              <w:rPr>
                <w:color w:val="1A1D21"/>
                <w:sz w:val="17"/>
              </w:rPr>
              <w:t>31,384</w:t>
            </w:r>
          </w:p>
        </w:tc>
        <w:tc>
          <w:tcPr>
            <w:tcW w:type="dxa" w:w="964"/>
          </w:tcPr>
          <w:p>
            <w:pPr>
              <w:jc w:val="right"/>
            </w:pPr>
            <w:r/>
            <w:r>
              <w:rPr>
                <w:color w:val="1A1D21"/>
                <w:sz w:val="17"/>
              </w:rPr>
              <w:t>38,874</w:t>
            </w:r>
          </w:p>
        </w:tc>
        <w:tc>
          <w:tcPr>
            <w:tcW w:type="dxa" w:w="964"/>
          </w:tcPr>
          <w:p>
            <w:pPr>
              <w:jc w:val="right"/>
            </w:pPr>
            <w:r/>
            <w:r>
              <w:rPr>
                <w:color w:val="1A1D21"/>
                <w:sz w:val="17"/>
              </w:rPr>
              <w:t>48,203</w:t>
            </w:r>
          </w:p>
        </w:tc>
        <w:tc>
          <w:tcPr>
            <w:tcW w:type="dxa" w:w="964"/>
          </w:tcPr>
          <w:p>
            <w:pPr>
              <w:jc w:val="right"/>
            </w:pPr>
            <w:r/>
            <w:r>
              <w:rPr>
                <w:color w:val="1A1D21"/>
                <w:sz w:val="17"/>
              </w:rPr>
              <w:t>125,915</w:t>
            </w:r>
          </w:p>
        </w:tc>
        <w:tc>
          <w:tcPr>
            <w:tcW w:type="dxa" w:w="964"/>
          </w:tcPr>
          <w:p>
            <w:pPr>
              <w:jc w:val="right"/>
            </w:pPr>
            <w:r/>
            <w:r>
              <w:rPr>
                <w:color w:val="1A1D21"/>
                <w:sz w:val="17"/>
              </w:rPr>
              <w:t>252,570</w:t>
            </w:r>
          </w:p>
        </w:tc>
      </w:tr>
      <w:tr>
        <w:trPr>
          <w:cantSplit/>
        </w:trPr>
        <w:tc>
          <w:tcPr>
            <w:tcW w:type="dxa" w:w="2421"/>
          </w:tcPr>
          <w:p>
            <w:r/>
            <w:r>
              <w:rPr>
                <w:color w:val="1A1D21"/>
                <w:sz w:val="17"/>
              </w:rPr>
              <w:t>Total liabilities and equity</w:t>
            </w:r>
          </w:p>
        </w:tc>
        <w:tc>
          <w:tcPr>
            <w:tcW w:type="dxa" w:w="964"/>
          </w:tcPr>
          <w:p>
            <w:pPr>
              <w:jc w:val="right"/>
            </w:pPr>
            <w:r/>
            <w:r>
              <w:rPr>
                <w:color w:val="1A1D21"/>
                <w:sz w:val="17"/>
              </w:rPr>
              <w:t>183,965</w:t>
            </w:r>
          </w:p>
        </w:tc>
        <w:tc>
          <w:tcPr>
            <w:tcW w:type="dxa" w:w="964"/>
          </w:tcPr>
          <w:p>
            <w:pPr>
              <w:jc w:val="right"/>
            </w:pPr>
            <w:r/>
            <w:r>
              <w:rPr>
                <w:color w:val="1A1D21"/>
                <w:sz w:val="17"/>
              </w:rPr>
              <w:t>227,223</w:t>
            </w:r>
          </w:p>
        </w:tc>
        <w:tc>
          <w:tcPr>
            <w:tcW w:type="dxa" w:w="964"/>
          </w:tcPr>
          <w:p>
            <w:pPr>
              <w:jc w:val="right"/>
            </w:pPr>
            <w:r/>
            <w:r>
              <w:rPr>
                <w:color w:val="1A1D21"/>
                <w:sz w:val="17"/>
              </w:rPr>
              <w:t>275,900</w:t>
            </w:r>
          </w:p>
        </w:tc>
        <w:tc>
          <w:tcPr>
            <w:tcW w:type="dxa" w:w="964"/>
          </w:tcPr>
          <w:p>
            <w:pPr>
              <w:jc w:val="right"/>
            </w:pPr>
            <w:r/>
            <w:r>
              <w:rPr>
                <w:color w:val="1A1D21"/>
                <w:sz w:val="17"/>
              </w:rPr>
              <w:t>327,704</w:t>
            </w:r>
          </w:p>
        </w:tc>
        <w:tc>
          <w:tcPr>
            <w:tcW w:type="dxa" w:w="964"/>
          </w:tcPr>
          <w:p>
            <w:pPr>
              <w:jc w:val="right"/>
            </w:pPr>
            <w:r/>
            <w:r>
              <w:rPr>
                <w:color w:val="1A1D21"/>
                <w:sz w:val="17"/>
              </w:rPr>
              <w:t>383,459</w:t>
            </w:r>
          </w:p>
        </w:tc>
        <w:tc>
          <w:tcPr>
            <w:tcW w:type="dxa" w:w="964"/>
          </w:tcPr>
          <w:p>
            <w:pPr>
              <w:jc w:val="right"/>
            </w:pPr>
            <w:r/>
            <w:r>
              <w:rPr>
                <w:color w:val="1A1D21"/>
                <w:sz w:val="17"/>
              </w:rPr>
              <w:t>699,841</w:t>
            </w:r>
          </w:p>
        </w:tc>
        <w:tc>
          <w:tcPr>
            <w:tcW w:type="dxa" w:w="964"/>
          </w:tcPr>
          <w:p>
            <w:pPr>
              <w:jc w:val="right"/>
            </w:pPr>
            <w:r/>
            <w:r>
              <w:rPr>
                <w:color w:val="1A1D21"/>
                <w:sz w:val="17"/>
              </w:rPr>
              <w:t>992,240</w:t>
            </w:r>
          </w:p>
        </w:tc>
      </w:tr>
    </w:tbl>
    <w:p>
      <w:pPr>
        <w:spacing w:after="200"/>
      </w:pPr>
      <w:r>
        <w:rPr>
          <w:b w:val="0"/>
          <w:i/>
          <w:color w:val="5B6570"/>
          <w:sz w:val="16"/>
        </w:rPr>
        <w:t>Assets equal liabilities plus shareholders' funds in every year, to the same tenth of a million the audited 2025 sheet itself foots to.</w:t>
      </w:r>
    </w:p>
    <w:tbl>
      <w:tblPr>
        <w:tblStyle w:val="TableGrid"/>
        <w:tblW w:type="auto" w:w="0"/>
        <w:jc w:val="center"/>
        <w:tblLayout w:type="fixed"/>
        <w:tblLook w:firstColumn="1" w:firstRow="1" w:lastColumn="0" w:lastRow="0" w:noHBand="0" w:noVBand="1" w:val="04A0"/>
        <w:tblLayout w:type="fixed"/>
      </w:tblPr>
      <w:tblGrid>
        <w:gridCol w:w="2818"/>
        <w:gridCol w:w="907"/>
        <w:gridCol w:w="907"/>
        <w:gridCol w:w="907"/>
        <w:gridCol w:w="907"/>
        <w:gridCol w:w="907"/>
        <w:gridCol w:w="907"/>
        <w:gridCol w:w="907"/>
      </w:tblGrid>
      <w:tr>
        <w:trPr>
          <w:tblHeader w:val="true"/>
        </w:trPr>
        <w:tc>
          <w:tcPr>
            <w:tcW w:type="dxa" w:w="2818"/>
          </w:tcPr>
          <w:p>
            <w:r/>
            <w:r>
              <w:rPr>
                <w:b/>
                <w:color w:val="5B6570"/>
                <w:sz w:val="17"/>
              </w:rPr>
              <w:t>Forecast cash flow, EGP million</w:t>
            </w:r>
          </w:p>
        </w:tc>
        <w:tc>
          <w:tcPr>
            <w:tcW w:type="dxa" w:w="907"/>
          </w:tcPr>
          <w:p>
            <w:r/>
            <w:r>
              <w:rPr>
                <w:b/>
                <w:color w:val="5B6570"/>
                <w:sz w:val="17"/>
              </w:rPr>
              <w:t>2026</w:t>
            </w:r>
          </w:p>
        </w:tc>
        <w:tc>
          <w:tcPr>
            <w:tcW w:type="dxa" w:w="907"/>
          </w:tcPr>
          <w:p>
            <w:r/>
            <w:r>
              <w:rPr>
                <w:b/>
                <w:color w:val="5B6570"/>
                <w:sz w:val="17"/>
              </w:rPr>
              <w:t>2027</w:t>
            </w:r>
          </w:p>
        </w:tc>
        <w:tc>
          <w:tcPr>
            <w:tcW w:type="dxa" w:w="907"/>
          </w:tcPr>
          <w:p>
            <w:r/>
            <w:r>
              <w:rPr>
                <w:b/>
                <w:color w:val="5B6570"/>
                <w:sz w:val="17"/>
              </w:rPr>
              <w:t>2028</w:t>
            </w:r>
          </w:p>
        </w:tc>
        <w:tc>
          <w:tcPr>
            <w:tcW w:type="dxa" w:w="907"/>
          </w:tcPr>
          <w:p>
            <w:r/>
            <w:r>
              <w:rPr>
                <w:b/>
                <w:color w:val="5B6570"/>
                <w:sz w:val="17"/>
              </w:rPr>
              <w:t>2029</w:t>
            </w:r>
          </w:p>
        </w:tc>
        <w:tc>
          <w:tcPr>
            <w:tcW w:type="dxa" w:w="907"/>
          </w:tcPr>
          <w:p>
            <w:r/>
            <w:r>
              <w:rPr>
                <w:b/>
                <w:color w:val="5B6570"/>
                <w:sz w:val="17"/>
              </w:rPr>
              <w:t>2030</w:t>
            </w:r>
          </w:p>
        </w:tc>
        <w:tc>
          <w:tcPr>
            <w:tcW w:type="dxa" w:w="907"/>
          </w:tcPr>
          <w:p>
            <w:r/>
            <w:r>
              <w:rPr>
                <w:b/>
                <w:color w:val="5B6570"/>
                <w:sz w:val="17"/>
              </w:rPr>
              <w:t>2035</w:t>
            </w:r>
          </w:p>
        </w:tc>
        <w:tc>
          <w:tcPr>
            <w:tcW w:type="dxa" w:w="907"/>
          </w:tcPr>
          <w:p>
            <w:r/>
            <w:r>
              <w:rPr>
                <w:b/>
                <w:color w:val="5B6570"/>
                <w:sz w:val="17"/>
              </w:rPr>
              <w:t>2040</w:t>
            </w:r>
          </w:p>
        </w:tc>
      </w:tr>
      <w:tr>
        <w:trPr>
          <w:cantSplit/>
        </w:trPr>
        <w:tc>
          <w:tcPr>
            <w:tcW w:type="dxa" w:w="2818"/>
          </w:tcPr>
          <w:p>
            <w:r/>
            <w:r>
              <w:rPr>
                <w:color w:val="1A1D21"/>
                <w:sz w:val="17"/>
              </w:rPr>
              <w:t>Net profit</w:t>
            </w:r>
          </w:p>
        </w:tc>
        <w:tc>
          <w:tcPr>
            <w:tcW w:type="dxa" w:w="907"/>
          </w:tcPr>
          <w:p>
            <w:pPr>
              <w:jc w:val="right"/>
            </w:pPr>
            <w:r/>
            <w:r>
              <w:rPr>
                <w:color w:val="1A1D21"/>
                <w:sz w:val="17"/>
              </w:rPr>
              <w:t>2,662</w:t>
            </w:r>
          </w:p>
        </w:tc>
        <w:tc>
          <w:tcPr>
            <w:tcW w:type="dxa" w:w="907"/>
          </w:tcPr>
          <w:p>
            <w:pPr>
              <w:jc w:val="right"/>
            </w:pPr>
            <w:r/>
            <w:r>
              <w:rPr>
                <w:color w:val="1A1D21"/>
                <w:sz w:val="17"/>
              </w:rPr>
              <w:t>4,176</w:t>
            </w:r>
          </w:p>
        </w:tc>
        <w:tc>
          <w:tcPr>
            <w:tcW w:type="dxa" w:w="907"/>
          </w:tcPr>
          <w:p>
            <w:pPr>
              <w:jc w:val="right"/>
            </w:pPr>
            <w:r/>
            <w:r>
              <w:rPr>
                <w:color w:val="1A1D21"/>
                <w:sz w:val="17"/>
              </w:rPr>
              <w:t>5,781</w:t>
            </w:r>
          </w:p>
        </w:tc>
        <w:tc>
          <w:tcPr>
            <w:tcW w:type="dxa" w:w="907"/>
          </w:tcPr>
          <w:p>
            <w:pPr>
              <w:jc w:val="right"/>
            </w:pPr>
            <w:r/>
            <w:r>
              <w:rPr>
                <w:color w:val="1A1D21"/>
                <w:sz w:val="17"/>
              </w:rPr>
              <w:t>7,490</w:t>
            </w:r>
          </w:p>
        </w:tc>
        <w:tc>
          <w:tcPr>
            <w:tcW w:type="dxa" w:w="907"/>
          </w:tcPr>
          <w:p>
            <w:pPr>
              <w:jc w:val="right"/>
            </w:pPr>
            <w:r/>
            <w:r>
              <w:rPr>
                <w:color w:val="1A1D21"/>
                <w:sz w:val="17"/>
              </w:rPr>
              <w:t>9,329</w:t>
            </w:r>
          </w:p>
        </w:tc>
        <w:tc>
          <w:tcPr>
            <w:tcW w:type="dxa" w:w="907"/>
          </w:tcPr>
          <w:p>
            <w:pPr>
              <w:jc w:val="right"/>
            </w:pPr>
            <w:r/>
            <w:r>
              <w:rPr>
                <w:color w:val="1A1D21"/>
                <w:sz w:val="17"/>
              </w:rPr>
              <w:t>19,762</w:t>
            </w:r>
          </w:p>
        </w:tc>
        <w:tc>
          <w:tcPr>
            <w:tcW w:type="dxa" w:w="907"/>
          </w:tcPr>
          <w:p>
            <w:pPr>
              <w:jc w:val="right"/>
            </w:pPr>
            <w:r/>
            <w:r>
              <w:rPr>
                <w:color w:val="1A1D21"/>
                <w:sz w:val="17"/>
              </w:rPr>
              <w:t>29,232</w:t>
            </w:r>
          </w:p>
        </w:tc>
      </w:tr>
      <w:tr>
        <w:trPr>
          <w:cantSplit/>
        </w:trPr>
        <w:tc>
          <w:tcPr>
            <w:tcW w:type="dxa" w:w="2818"/>
          </w:tcPr>
          <w:p>
            <w:r/>
            <w:r>
              <w:rPr>
                <w:color w:val="1A1D21"/>
                <w:sz w:val="17"/>
              </w:rPr>
              <w:t>Depreciation and amortisation</w:t>
            </w:r>
          </w:p>
        </w:tc>
        <w:tc>
          <w:tcPr>
            <w:tcW w:type="dxa" w:w="907"/>
          </w:tcPr>
          <w:p>
            <w:pPr>
              <w:jc w:val="right"/>
            </w:pPr>
            <w:r/>
            <w:r>
              <w:rPr>
                <w:color w:val="1A1D21"/>
                <w:sz w:val="17"/>
              </w:rPr>
              <w:t>394</w:t>
            </w:r>
          </w:p>
        </w:tc>
        <w:tc>
          <w:tcPr>
            <w:tcW w:type="dxa" w:w="907"/>
          </w:tcPr>
          <w:p>
            <w:pPr>
              <w:jc w:val="right"/>
            </w:pPr>
            <w:r/>
            <w:r>
              <w:rPr>
                <w:color w:val="1A1D21"/>
                <w:sz w:val="17"/>
              </w:rPr>
              <w:t>507</w:t>
            </w:r>
          </w:p>
        </w:tc>
        <w:tc>
          <w:tcPr>
            <w:tcW w:type="dxa" w:w="907"/>
          </w:tcPr>
          <w:p>
            <w:pPr>
              <w:jc w:val="right"/>
            </w:pPr>
            <w:r/>
            <w:r>
              <w:rPr>
                <w:color w:val="1A1D21"/>
                <w:sz w:val="17"/>
              </w:rPr>
              <w:t>628</w:t>
            </w:r>
          </w:p>
        </w:tc>
        <w:tc>
          <w:tcPr>
            <w:tcW w:type="dxa" w:w="907"/>
          </w:tcPr>
          <w:p>
            <w:pPr>
              <w:jc w:val="right"/>
            </w:pPr>
            <w:r/>
            <w:r>
              <w:rPr>
                <w:color w:val="1A1D21"/>
                <w:sz w:val="17"/>
              </w:rPr>
              <w:t>756</w:t>
            </w:r>
          </w:p>
        </w:tc>
        <w:tc>
          <w:tcPr>
            <w:tcW w:type="dxa" w:w="907"/>
          </w:tcPr>
          <w:p>
            <w:pPr>
              <w:jc w:val="right"/>
            </w:pPr>
            <w:r/>
            <w:r>
              <w:rPr>
                <w:color w:val="1A1D21"/>
                <w:sz w:val="17"/>
              </w:rPr>
              <w:t>893</w:t>
            </w:r>
          </w:p>
        </w:tc>
        <w:tc>
          <w:tcPr>
            <w:tcW w:type="dxa" w:w="907"/>
          </w:tcPr>
          <w:p>
            <w:pPr>
              <w:jc w:val="right"/>
            </w:pPr>
            <w:r/>
            <w:r>
              <w:rPr>
                <w:color w:val="1A1D21"/>
                <w:sz w:val="17"/>
              </w:rPr>
              <w:t>1,675</w:t>
            </w:r>
          </w:p>
        </w:tc>
        <w:tc>
          <w:tcPr>
            <w:tcW w:type="dxa" w:w="907"/>
          </w:tcPr>
          <w:p>
            <w:pPr>
              <w:jc w:val="right"/>
            </w:pPr>
            <w:r/>
            <w:r>
              <w:rPr>
                <w:color w:val="1A1D21"/>
                <w:sz w:val="17"/>
              </w:rPr>
              <w:t>2,385</w:t>
            </w:r>
          </w:p>
        </w:tc>
      </w:tr>
      <w:tr>
        <w:trPr>
          <w:cantSplit/>
        </w:trPr>
        <w:tc>
          <w:tcPr>
            <w:tcW w:type="dxa" w:w="2818"/>
          </w:tcPr>
          <w:p>
            <w:r/>
            <w:r>
              <w:rPr>
                <w:color w:val="1A1D21"/>
                <w:sz w:val="17"/>
              </w:rPr>
              <w:t>Change in working capital, cash effect</w:t>
            </w:r>
          </w:p>
        </w:tc>
        <w:tc>
          <w:tcPr>
            <w:tcW w:type="dxa" w:w="907"/>
          </w:tcPr>
          <w:p>
            <w:pPr>
              <w:jc w:val="right"/>
            </w:pPr>
            <w:r/>
            <w:r>
              <w:rPr>
                <w:color w:val="1A1D21"/>
                <w:sz w:val="17"/>
              </w:rPr>
              <w:t>-7,081</w:t>
            </w:r>
          </w:p>
        </w:tc>
        <w:tc>
          <w:tcPr>
            <w:tcW w:type="dxa" w:w="907"/>
          </w:tcPr>
          <w:p>
            <w:pPr>
              <w:jc w:val="right"/>
            </w:pPr>
            <w:r/>
            <w:r>
              <w:rPr>
                <w:color w:val="1A1D21"/>
                <w:sz w:val="17"/>
              </w:rPr>
              <w:t>-19,989</w:t>
            </w:r>
          </w:p>
        </w:tc>
        <w:tc>
          <w:tcPr>
            <w:tcW w:type="dxa" w:w="907"/>
          </w:tcPr>
          <w:p>
            <w:pPr>
              <w:jc w:val="right"/>
            </w:pPr>
            <w:r/>
            <w:r>
              <w:rPr>
                <w:color w:val="1A1D21"/>
                <w:sz w:val="17"/>
              </w:rPr>
              <w:t>-21,200</w:t>
            </w:r>
          </w:p>
        </w:tc>
        <w:tc>
          <w:tcPr>
            <w:tcW w:type="dxa" w:w="907"/>
          </w:tcPr>
          <w:p>
            <w:pPr>
              <w:jc w:val="right"/>
            </w:pPr>
            <w:r/>
            <w:r>
              <w:rPr>
                <w:color w:val="1A1D21"/>
                <w:sz w:val="17"/>
              </w:rPr>
              <w:t>-22,561</w:t>
            </w:r>
          </w:p>
        </w:tc>
        <w:tc>
          <w:tcPr>
            <w:tcW w:type="dxa" w:w="907"/>
          </w:tcPr>
          <w:p>
            <w:pPr>
              <w:jc w:val="right"/>
            </w:pPr>
            <w:r/>
            <w:r>
              <w:rPr>
                <w:color w:val="1A1D21"/>
                <w:sz w:val="17"/>
              </w:rPr>
              <w:t>-24,281</w:t>
            </w:r>
          </w:p>
        </w:tc>
        <w:tc>
          <w:tcPr>
            <w:tcW w:type="dxa" w:w="907"/>
          </w:tcPr>
          <w:p>
            <w:pPr>
              <w:jc w:val="right"/>
            </w:pPr>
            <w:r/>
            <w:r>
              <w:rPr>
                <w:color w:val="1A1D21"/>
                <w:sz w:val="17"/>
              </w:rPr>
              <w:t>-27,348</w:t>
            </w:r>
          </w:p>
        </w:tc>
        <w:tc>
          <w:tcPr>
            <w:tcW w:type="dxa" w:w="907"/>
          </w:tcPr>
          <w:p>
            <w:pPr>
              <w:jc w:val="right"/>
            </w:pPr>
            <w:r/>
            <w:r>
              <w:rPr>
                <w:color w:val="1A1D21"/>
                <w:sz w:val="17"/>
              </w:rPr>
              <w:t>-27,492</w:t>
            </w:r>
          </w:p>
        </w:tc>
      </w:tr>
      <w:tr>
        <w:trPr>
          <w:cantSplit/>
        </w:trPr>
        <w:tc>
          <w:tcPr>
            <w:tcW w:type="dxa" w:w="2818"/>
          </w:tcPr>
          <w:p>
            <w:r/>
            <w:r>
              <w:rPr>
                <w:color w:val="1A1D21"/>
                <w:sz w:val="17"/>
              </w:rPr>
              <w:t>Cash from operations</w:t>
            </w:r>
          </w:p>
        </w:tc>
        <w:tc>
          <w:tcPr>
            <w:tcW w:type="dxa" w:w="907"/>
          </w:tcPr>
          <w:p>
            <w:pPr>
              <w:jc w:val="right"/>
            </w:pPr>
            <w:r/>
            <w:r>
              <w:rPr>
                <w:color w:val="1A1D21"/>
                <w:sz w:val="17"/>
              </w:rPr>
              <w:t>-4,026</w:t>
            </w:r>
          </w:p>
        </w:tc>
        <w:tc>
          <w:tcPr>
            <w:tcW w:type="dxa" w:w="907"/>
          </w:tcPr>
          <w:p>
            <w:pPr>
              <w:jc w:val="right"/>
            </w:pPr>
            <w:r/>
            <w:r>
              <w:rPr>
                <w:color w:val="1A1D21"/>
                <w:sz w:val="17"/>
              </w:rPr>
              <w:t>-15,306</w:t>
            </w:r>
          </w:p>
        </w:tc>
        <w:tc>
          <w:tcPr>
            <w:tcW w:type="dxa" w:w="907"/>
          </w:tcPr>
          <w:p>
            <w:pPr>
              <w:jc w:val="right"/>
            </w:pPr>
            <w:r/>
            <w:r>
              <w:rPr>
                <w:color w:val="1A1D21"/>
                <w:sz w:val="17"/>
              </w:rPr>
              <w:t>-14,791</w:t>
            </w:r>
          </w:p>
        </w:tc>
        <w:tc>
          <w:tcPr>
            <w:tcW w:type="dxa" w:w="907"/>
          </w:tcPr>
          <w:p>
            <w:pPr>
              <w:jc w:val="right"/>
            </w:pPr>
            <w:r/>
            <w:r>
              <w:rPr>
                <w:color w:val="1A1D21"/>
                <w:sz w:val="17"/>
              </w:rPr>
              <w:t>-14,316</w:t>
            </w:r>
          </w:p>
        </w:tc>
        <w:tc>
          <w:tcPr>
            <w:tcW w:type="dxa" w:w="907"/>
          </w:tcPr>
          <w:p>
            <w:pPr>
              <w:jc w:val="right"/>
            </w:pPr>
            <w:r/>
            <w:r>
              <w:rPr>
                <w:color w:val="1A1D21"/>
                <w:sz w:val="17"/>
              </w:rPr>
              <w:t>-14,059</w:t>
            </w:r>
          </w:p>
        </w:tc>
        <w:tc>
          <w:tcPr>
            <w:tcW w:type="dxa" w:w="907"/>
          </w:tcPr>
          <w:p>
            <w:pPr>
              <w:jc w:val="right"/>
            </w:pPr>
            <w:r/>
            <w:r>
              <w:rPr>
                <w:color w:val="1A1D21"/>
                <w:sz w:val="17"/>
              </w:rPr>
              <w:t>-5,910</w:t>
            </w:r>
          </w:p>
        </w:tc>
        <w:tc>
          <w:tcPr>
            <w:tcW w:type="dxa" w:w="907"/>
          </w:tcPr>
          <w:p>
            <w:pPr>
              <w:jc w:val="right"/>
            </w:pPr>
            <w:r/>
            <w:r>
              <w:rPr>
                <w:color w:val="1A1D21"/>
                <w:sz w:val="17"/>
              </w:rPr>
              <w:t>4,124</w:t>
            </w:r>
          </w:p>
        </w:tc>
      </w:tr>
      <w:tr>
        <w:trPr>
          <w:cantSplit/>
        </w:trPr>
        <w:tc>
          <w:tcPr>
            <w:tcW w:type="dxa" w:w="2818"/>
          </w:tcPr>
          <w:p>
            <w:r/>
            <w:r>
              <w:rPr>
                <w:color w:val="1A1D21"/>
                <w:sz w:val="17"/>
              </w:rPr>
              <w:t xml:space="preserve">  as a share of revenue</w:t>
            </w:r>
          </w:p>
        </w:tc>
        <w:tc>
          <w:tcPr>
            <w:tcW w:type="dxa" w:w="907"/>
          </w:tcPr>
          <w:p>
            <w:pPr>
              <w:jc w:val="right"/>
            </w:pPr>
            <w:r/>
            <w:r>
              <w:rPr>
                <w:color w:val="1A1D21"/>
                <w:sz w:val="17"/>
              </w:rPr>
              <w:t>-10.0%</w:t>
            </w:r>
          </w:p>
        </w:tc>
        <w:tc>
          <w:tcPr>
            <w:tcW w:type="dxa" w:w="907"/>
          </w:tcPr>
          <w:p>
            <w:pPr>
              <w:jc w:val="right"/>
            </w:pPr>
            <w:r/>
            <w:r>
              <w:rPr>
                <w:color w:val="1A1D21"/>
                <w:sz w:val="17"/>
              </w:rPr>
              <w:t>-29.5%</w:t>
            </w:r>
          </w:p>
        </w:tc>
        <w:tc>
          <w:tcPr>
            <w:tcW w:type="dxa" w:w="907"/>
          </w:tcPr>
          <w:p>
            <w:pPr>
              <w:jc w:val="right"/>
            </w:pPr>
            <w:r/>
            <w:r>
              <w:rPr>
                <w:color w:val="1A1D21"/>
                <w:sz w:val="17"/>
              </w:rPr>
              <w:t>-23.0%</w:t>
            </w:r>
          </w:p>
        </w:tc>
        <w:tc>
          <w:tcPr>
            <w:tcW w:type="dxa" w:w="907"/>
          </w:tcPr>
          <w:p>
            <w:pPr>
              <w:jc w:val="right"/>
            </w:pPr>
            <w:r/>
            <w:r>
              <w:rPr>
                <w:color w:val="1A1D21"/>
                <w:sz w:val="17"/>
              </w:rPr>
              <w:t>-18.5%</w:t>
            </w:r>
          </w:p>
        </w:tc>
        <w:tc>
          <w:tcPr>
            <w:tcW w:type="dxa" w:w="907"/>
          </w:tcPr>
          <w:p>
            <w:pPr>
              <w:jc w:val="right"/>
            </w:pPr>
            <w:r/>
            <w:r>
              <w:rPr>
                <w:color w:val="1A1D21"/>
                <w:sz w:val="17"/>
              </w:rPr>
              <w:t>-15.4%</w:t>
            </w:r>
          </w:p>
        </w:tc>
        <w:tc>
          <w:tcPr>
            <w:tcW w:type="dxa" w:w="907"/>
          </w:tcPr>
          <w:p>
            <w:pPr>
              <w:jc w:val="right"/>
            </w:pPr>
            <w:r/>
            <w:r>
              <w:rPr>
                <w:color w:val="1A1D21"/>
                <w:sz w:val="17"/>
              </w:rPr>
              <w:t>-3.4%</w:t>
            </w:r>
          </w:p>
        </w:tc>
        <w:tc>
          <w:tcPr>
            <w:tcW w:type="dxa" w:w="907"/>
          </w:tcPr>
          <w:p>
            <w:pPr>
              <w:jc w:val="right"/>
            </w:pPr>
            <w:r/>
            <w:r>
              <w:rPr>
                <w:color w:val="1A1D21"/>
                <w:sz w:val="17"/>
              </w:rPr>
              <w:t>1.7%</w:t>
            </w:r>
          </w:p>
        </w:tc>
      </w:tr>
      <w:tr>
        <w:trPr>
          <w:cantSplit/>
        </w:trPr>
        <w:tc>
          <w:tcPr>
            <w:tcW w:type="dxa" w:w="2818"/>
          </w:tcPr>
          <w:p>
            <w:r/>
            <w:r>
              <w:rPr>
                <w:color w:val="1A1D21"/>
                <w:sz w:val="17"/>
              </w:rPr>
              <w:t>Capital expenditure</w:t>
            </w:r>
          </w:p>
        </w:tc>
        <w:tc>
          <w:tcPr>
            <w:tcW w:type="dxa" w:w="907"/>
          </w:tcPr>
          <w:p>
            <w:pPr>
              <w:jc w:val="right"/>
            </w:pPr>
            <w:r/>
            <w:r>
              <w:rPr>
                <w:color w:val="1A1D21"/>
                <w:sz w:val="17"/>
              </w:rPr>
              <w:t>-403</w:t>
            </w:r>
          </w:p>
        </w:tc>
        <w:tc>
          <w:tcPr>
            <w:tcW w:type="dxa" w:w="907"/>
          </w:tcPr>
          <w:p>
            <w:pPr>
              <w:jc w:val="right"/>
            </w:pPr>
            <w:r/>
            <w:r>
              <w:rPr>
                <w:color w:val="1A1D21"/>
                <w:sz w:val="17"/>
              </w:rPr>
              <w:t>-519</w:t>
            </w:r>
          </w:p>
        </w:tc>
        <w:tc>
          <w:tcPr>
            <w:tcW w:type="dxa" w:w="907"/>
          </w:tcPr>
          <w:p>
            <w:pPr>
              <w:jc w:val="right"/>
            </w:pPr>
            <w:r/>
            <w:r>
              <w:rPr>
                <w:color w:val="1A1D21"/>
                <w:sz w:val="17"/>
              </w:rPr>
              <w:t>-642</w:t>
            </w:r>
          </w:p>
        </w:tc>
        <w:tc>
          <w:tcPr>
            <w:tcW w:type="dxa" w:w="907"/>
          </w:tcPr>
          <w:p>
            <w:pPr>
              <w:jc w:val="right"/>
            </w:pPr>
            <w:r/>
            <w:r>
              <w:rPr>
                <w:color w:val="1A1D21"/>
                <w:sz w:val="17"/>
              </w:rPr>
              <w:t>-773</w:t>
            </w:r>
          </w:p>
        </w:tc>
        <w:tc>
          <w:tcPr>
            <w:tcW w:type="dxa" w:w="907"/>
          </w:tcPr>
          <w:p>
            <w:pPr>
              <w:jc w:val="right"/>
            </w:pPr>
            <w:r/>
            <w:r>
              <w:rPr>
                <w:color w:val="1A1D21"/>
                <w:sz w:val="17"/>
              </w:rPr>
              <w:t>-914</w:t>
            </w:r>
          </w:p>
        </w:tc>
        <w:tc>
          <w:tcPr>
            <w:tcW w:type="dxa" w:w="907"/>
          </w:tcPr>
          <w:p>
            <w:pPr>
              <w:jc w:val="right"/>
            </w:pPr>
            <w:r/>
            <w:r>
              <w:rPr>
                <w:color w:val="1A1D21"/>
                <w:sz w:val="17"/>
              </w:rPr>
              <w:t>-1,713</w:t>
            </w:r>
          </w:p>
        </w:tc>
        <w:tc>
          <w:tcPr>
            <w:tcW w:type="dxa" w:w="907"/>
          </w:tcPr>
          <w:p>
            <w:pPr>
              <w:jc w:val="right"/>
            </w:pPr>
            <w:r/>
            <w:r>
              <w:rPr>
                <w:color w:val="1A1D21"/>
                <w:sz w:val="17"/>
              </w:rPr>
              <w:t>-2,439</w:t>
            </w:r>
          </w:p>
        </w:tc>
      </w:tr>
      <w:tr>
        <w:trPr>
          <w:cantSplit/>
        </w:trPr>
        <w:tc>
          <w:tcPr>
            <w:tcW w:type="dxa" w:w="2818"/>
          </w:tcPr>
          <w:p>
            <w:r/>
            <w:r>
              <w:rPr>
                <w:color w:val="1A1D21"/>
                <w:sz w:val="17"/>
              </w:rPr>
              <w:t>New borrowing drawn</w:t>
            </w:r>
          </w:p>
        </w:tc>
        <w:tc>
          <w:tcPr>
            <w:tcW w:type="dxa" w:w="907"/>
          </w:tcPr>
          <w:p>
            <w:pPr>
              <w:jc w:val="right"/>
            </w:pPr>
            <w:r/>
            <w:r>
              <w:rPr>
                <w:color w:val="1A1D21"/>
                <w:sz w:val="17"/>
              </w:rPr>
              <w:t>0</w:t>
            </w:r>
          </w:p>
        </w:tc>
        <w:tc>
          <w:tcPr>
            <w:tcW w:type="dxa" w:w="907"/>
          </w:tcPr>
          <w:p>
            <w:pPr>
              <w:jc w:val="right"/>
            </w:pPr>
            <w:r/>
            <w:r>
              <w:rPr>
                <w:color w:val="1A1D21"/>
                <w:sz w:val="17"/>
              </w:rPr>
              <w:t>13,188</w:t>
            </w:r>
          </w:p>
        </w:tc>
        <w:tc>
          <w:tcPr>
            <w:tcW w:type="dxa" w:w="907"/>
          </w:tcPr>
          <w:p>
            <w:pPr>
              <w:jc w:val="right"/>
            </w:pPr>
            <w:r/>
            <w:r>
              <w:rPr>
                <w:color w:val="1A1D21"/>
                <w:sz w:val="17"/>
              </w:rPr>
              <w:t>15,433</w:t>
            </w:r>
          </w:p>
        </w:tc>
        <w:tc>
          <w:tcPr>
            <w:tcW w:type="dxa" w:w="907"/>
          </w:tcPr>
          <w:p>
            <w:pPr>
              <w:jc w:val="right"/>
            </w:pPr>
            <w:r/>
            <w:r>
              <w:rPr>
                <w:color w:val="1A1D21"/>
                <w:sz w:val="17"/>
              </w:rPr>
              <w:t>15,088</w:t>
            </w:r>
          </w:p>
        </w:tc>
        <w:tc>
          <w:tcPr>
            <w:tcW w:type="dxa" w:w="907"/>
          </w:tcPr>
          <w:p>
            <w:pPr>
              <w:jc w:val="right"/>
            </w:pPr>
            <w:r/>
            <w:r>
              <w:rPr>
                <w:color w:val="1A1D21"/>
                <w:sz w:val="17"/>
              </w:rPr>
              <w:t>14,972</w:t>
            </w:r>
          </w:p>
        </w:tc>
        <w:tc>
          <w:tcPr>
            <w:tcW w:type="dxa" w:w="907"/>
          </w:tcPr>
          <w:p>
            <w:pPr>
              <w:jc w:val="right"/>
            </w:pPr>
            <w:r/>
            <w:r>
              <w:rPr>
                <w:color w:val="1A1D21"/>
                <w:sz w:val="17"/>
              </w:rPr>
              <w:t>7,624</w:t>
            </w:r>
          </w:p>
        </w:tc>
        <w:tc>
          <w:tcPr>
            <w:tcW w:type="dxa" w:w="907"/>
          </w:tcPr>
          <w:p>
            <w:pPr>
              <w:jc w:val="right"/>
            </w:pPr>
            <w:r/>
            <w:r>
              <w:rPr>
                <w:color w:val="1A1D21"/>
                <w:sz w:val="17"/>
              </w:rPr>
              <w:t>0</w:t>
            </w:r>
          </w:p>
        </w:tc>
      </w:tr>
      <w:tr>
        <w:trPr>
          <w:cantSplit/>
        </w:trPr>
        <w:tc>
          <w:tcPr>
            <w:tcW w:type="dxa" w:w="2818"/>
          </w:tcPr>
          <w:p>
            <w:r/>
            <w:r>
              <w:rPr>
                <w:color w:val="1A1D21"/>
                <w:sz w:val="17"/>
              </w:rPr>
              <w:t>Closing cash</w:t>
            </w:r>
          </w:p>
        </w:tc>
        <w:tc>
          <w:tcPr>
            <w:tcW w:type="dxa" w:w="907"/>
          </w:tcPr>
          <w:p>
            <w:pPr>
              <w:jc w:val="right"/>
            </w:pPr>
            <w:r/>
            <w:r>
              <w:rPr>
                <w:color w:val="1A1D21"/>
                <w:sz w:val="17"/>
              </w:rPr>
              <w:t>4,991</w:t>
            </w:r>
          </w:p>
        </w:tc>
        <w:tc>
          <w:tcPr>
            <w:tcW w:type="dxa" w:w="907"/>
          </w:tcPr>
          <w:p>
            <w:pPr>
              <w:jc w:val="right"/>
            </w:pPr>
            <w:r/>
            <w:r>
              <w:rPr>
                <w:color w:val="1A1D21"/>
                <w:sz w:val="17"/>
              </w:rPr>
              <w:t>2,355</w:t>
            </w:r>
          </w:p>
        </w:tc>
        <w:tc>
          <w:tcPr>
            <w:tcW w:type="dxa" w:w="907"/>
          </w:tcPr>
          <w:p>
            <w:pPr>
              <w:jc w:val="right"/>
            </w:pPr>
            <w:r/>
            <w:r>
              <w:rPr>
                <w:color w:val="1A1D21"/>
                <w:sz w:val="17"/>
              </w:rPr>
              <w:t>2,355</w:t>
            </w:r>
          </w:p>
        </w:tc>
        <w:tc>
          <w:tcPr>
            <w:tcW w:type="dxa" w:w="907"/>
          </w:tcPr>
          <w:p>
            <w:pPr>
              <w:jc w:val="right"/>
            </w:pPr>
            <w:r/>
            <w:r>
              <w:rPr>
                <w:color w:val="1A1D21"/>
                <w:sz w:val="17"/>
              </w:rPr>
              <w:t>2,355</w:t>
            </w:r>
          </w:p>
        </w:tc>
        <w:tc>
          <w:tcPr>
            <w:tcW w:type="dxa" w:w="907"/>
          </w:tcPr>
          <w:p>
            <w:pPr>
              <w:jc w:val="right"/>
            </w:pPr>
            <w:r/>
            <w:r>
              <w:rPr>
                <w:color w:val="1A1D21"/>
                <w:sz w:val="17"/>
              </w:rPr>
              <w:t>2,355</w:t>
            </w:r>
          </w:p>
        </w:tc>
        <w:tc>
          <w:tcPr>
            <w:tcW w:type="dxa" w:w="907"/>
          </w:tcPr>
          <w:p>
            <w:pPr>
              <w:jc w:val="right"/>
            </w:pPr>
            <w:r/>
            <w:r>
              <w:rPr>
                <w:color w:val="1A1D21"/>
                <w:sz w:val="17"/>
              </w:rPr>
              <w:t>2,355</w:t>
            </w:r>
          </w:p>
        </w:tc>
        <w:tc>
          <w:tcPr>
            <w:tcW w:type="dxa" w:w="907"/>
          </w:tcPr>
          <w:p>
            <w:pPr>
              <w:jc w:val="right"/>
            </w:pPr>
            <w:r/>
            <w:r>
              <w:rPr>
                <w:color w:val="1A1D21"/>
                <w:sz w:val="17"/>
              </w:rPr>
              <w:t>7,488</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2421"/>
        <w:gridCol w:w="964"/>
        <w:gridCol w:w="964"/>
        <w:gridCol w:w="964"/>
        <w:gridCol w:w="964"/>
        <w:gridCol w:w="964"/>
        <w:gridCol w:w="964"/>
        <w:gridCol w:w="964"/>
      </w:tblGrid>
      <w:tr>
        <w:trPr>
          <w:tblHeader w:val="true"/>
        </w:trPr>
        <w:tc>
          <w:tcPr>
            <w:tcW w:type="dxa" w:w="2421"/>
          </w:tcPr>
          <w:p>
            <w:r/>
            <w:r>
              <w:rPr>
                <w:b/>
                <w:color w:val="5B6570"/>
                <w:sz w:val="17"/>
              </w:rPr>
              <w:t>The cycle this implies</w:t>
            </w:r>
          </w:p>
        </w:tc>
        <w:tc>
          <w:tcPr>
            <w:tcW w:type="dxa" w:w="964"/>
          </w:tcPr>
          <w:p>
            <w:r/>
            <w:r>
              <w:rPr>
                <w:b/>
                <w:color w:val="5B6570"/>
                <w:sz w:val="17"/>
              </w:rPr>
              <w:t>2026</w:t>
            </w:r>
          </w:p>
        </w:tc>
        <w:tc>
          <w:tcPr>
            <w:tcW w:type="dxa" w:w="964"/>
          </w:tcPr>
          <w:p>
            <w:r/>
            <w:r>
              <w:rPr>
                <w:b/>
                <w:color w:val="5B6570"/>
                <w:sz w:val="17"/>
              </w:rPr>
              <w:t>2027</w:t>
            </w:r>
          </w:p>
        </w:tc>
        <w:tc>
          <w:tcPr>
            <w:tcW w:type="dxa" w:w="964"/>
          </w:tcPr>
          <w:p>
            <w:r/>
            <w:r>
              <w:rPr>
                <w:b/>
                <w:color w:val="5B6570"/>
                <w:sz w:val="17"/>
              </w:rPr>
              <w:t>2028</w:t>
            </w:r>
          </w:p>
        </w:tc>
        <w:tc>
          <w:tcPr>
            <w:tcW w:type="dxa" w:w="964"/>
          </w:tcPr>
          <w:p>
            <w:r/>
            <w:r>
              <w:rPr>
                <w:b/>
                <w:color w:val="5B6570"/>
                <w:sz w:val="17"/>
              </w:rPr>
              <w:t>2029</w:t>
            </w:r>
          </w:p>
        </w:tc>
        <w:tc>
          <w:tcPr>
            <w:tcW w:type="dxa" w:w="964"/>
          </w:tcPr>
          <w:p>
            <w:r/>
            <w:r>
              <w:rPr>
                <w:b/>
                <w:color w:val="5B6570"/>
                <w:sz w:val="17"/>
              </w:rPr>
              <w:t>2030</w:t>
            </w:r>
          </w:p>
        </w:tc>
        <w:tc>
          <w:tcPr>
            <w:tcW w:type="dxa" w:w="964"/>
          </w:tcPr>
          <w:p>
            <w:r/>
            <w:r>
              <w:rPr>
                <w:b/>
                <w:color w:val="5B6570"/>
                <w:sz w:val="17"/>
              </w:rPr>
              <w:t>2035</w:t>
            </w:r>
          </w:p>
        </w:tc>
        <w:tc>
          <w:tcPr>
            <w:tcW w:type="dxa" w:w="964"/>
          </w:tcPr>
          <w:p>
            <w:r/>
            <w:r>
              <w:rPr>
                <w:b/>
                <w:color w:val="5B6570"/>
                <w:sz w:val="17"/>
              </w:rPr>
              <w:t>2040</w:t>
            </w:r>
          </w:p>
        </w:tc>
      </w:tr>
      <w:tr>
        <w:trPr>
          <w:cantSplit/>
        </w:trPr>
        <w:tc>
          <w:tcPr>
            <w:tcW w:type="dxa" w:w="2421"/>
          </w:tcPr>
          <w:p>
            <w:r/>
            <w:r>
              <w:rPr>
                <w:color w:val="1A1D21"/>
                <w:sz w:val="17"/>
              </w:rPr>
              <w:t>Collection period, days</w:t>
            </w:r>
          </w:p>
        </w:tc>
        <w:tc>
          <w:tcPr>
            <w:tcW w:type="dxa" w:w="964"/>
          </w:tcPr>
          <w:p>
            <w:pPr>
              <w:jc w:val="right"/>
            </w:pPr>
            <w:r/>
            <w:r>
              <w:rPr>
                <w:color w:val="1A1D21"/>
                <w:sz w:val="17"/>
              </w:rPr>
              <w:t>1045</w:t>
            </w:r>
          </w:p>
        </w:tc>
        <w:tc>
          <w:tcPr>
            <w:tcW w:type="dxa" w:w="964"/>
          </w:tcPr>
          <w:p>
            <w:pPr>
              <w:jc w:val="right"/>
            </w:pPr>
            <w:r/>
            <w:r>
              <w:rPr>
                <w:color w:val="1A1D21"/>
                <w:sz w:val="17"/>
              </w:rPr>
              <w:t>1045</w:t>
            </w:r>
          </w:p>
        </w:tc>
        <w:tc>
          <w:tcPr>
            <w:tcW w:type="dxa" w:w="964"/>
          </w:tcPr>
          <w:p>
            <w:pPr>
              <w:jc w:val="right"/>
            </w:pPr>
            <w:r/>
            <w:r>
              <w:rPr>
                <w:color w:val="1A1D21"/>
                <w:sz w:val="17"/>
              </w:rPr>
              <w:t>1045</w:t>
            </w:r>
          </w:p>
        </w:tc>
        <w:tc>
          <w:tcPr>
            <w:tcW w:type="dxa" w:w="964"/>
          </w:tcPr>
          <w:p>
            <w:pPr>
              <w:jc w:val="right"/>
            </w:pPr>
            <w:r/>
            <w:r>
              <w:rPr>
                <w:color w:val="1A1D21"/>
                <w:sz w:val="17"/>
              </w:rPr>
              <w:t>1045</w:t>
            </w:r>
          </w:p>
        </w:tc>
        <w:tc>
          <w:tcPr>
            <w:tcW w:type="dxa" w:w="964"/>
          </w:tcPr>
          <w:p>
            <w:pPr>
              <w:jc w:val="right"/>
            </w:pPr>
            <w:r/>
            <w:r>
              <w:rPr>
                <w:color w:val="1A1D21"/>
                <w:sz w:val="17"/>
              </w:rPr>
              <w:t>1045</w:t>
            </w:r>
          </w:p>
        </w:tc>
        <w:tc>
          <w:tcPr>
            <w:tcW w:type="dxa" w:w="964"/>
          </w:tcPr>
          <w:p>
            <w:pPr>
              <w:jc w:val="right"/>
            </w:pPr>
            <w:r/>
            <w:r>
              <w:rPr>
                <w:color w:val="1A1D21"/>
                <w:sz w:val="17"/>
              </w:rPr>
              <w:t>1045</w:t>
            </w:r>
          </w:p>
        </w:tc>
        <w:tc>
          <w:tcPr>
            <w:tcW w:type="dxa" w:w="964"/>
          </w:tcPr>
          <w:p>
            <w:pPr>
              <w:jc w:val="right"/>
            </w:pPr>
            <w:r/>
            <w:r>
              <w:rPr>
                <w:color w:val="1A1D21"/>
                <w:sz w:val="17"/>
              </w:rPr>
              <w:t>1045</w:t>
            </w:r>
          </w:p>
        </w:tc>
      </w:tr>
      <w:tr>
        <w:trPr>
          <w:cantSplit/>
        </w:trPr>
        <w:tc>
          <w:tcPr>
            <w:tcW w:type="dxa" w:w="2421"/>
          </w:tcPr>
          <w:p>
            <w:r/>
            <w:r>
              <w:rPr>
                <w:color w:val="1A1D21"/>
                <w:sz w:val="17"/>
              </w:rPr>
              <w:t>Work in progress, days of cost</w:t>
            </w:r>
          </w:p>
        </w:tc>
        <w:tc>
          <w:tcPr>
            <w:tcW w:type="dxa" w:w="964"/>
          </w:tcPr>
          <w:p>
            <w:pPr>
              <w:jc w:val="right"/>
            </w:pPr>
            <w:r/>
            <w:r>
              <w:rPr>
                <w:color w:val="1A1D21"/>
                <w:sz w:val="17"/>
              </w:rPr>
              <w:t>275</w:t>
            </w:r>
          </w:p>
        </w:tc>
        <w:tc>
          <w:tcPr>
            <w:tcW w:type="dxa" w:w="964"/>
          </w:tcPr>
          <w:p>
            <w:pPr>
              <w:jc w:val="right"/>
            </w:pPr>
            <w:r/>
            <w:r>
              <w:rPr>
                <w:color w:val="1A1D21"/>
                <w:sz w:val="17"/>
              </w:rPr>
              <w:t>275</w:t>
            </w:r>
          </w:p>
        </w:tc>
        <w:tc>
          <w:tcPr>
            <w:tcW w:type="dxa" w:w="964"/>
          </w:tcPr>
          <w:p>
            <w:pPr>
              <w:jc w:val="right"/>
            </w:pPr>
            <w:r/>
            <w:r>
              <w:rPr>
                <w:color w:val="1A1D21"/>
                <w:sz w:val="17"/>
              </w:rPr>
              <w:t>275</w:t>
            </w:r>
          </w:p>
        </w:tc>
        <w:tc>
          <w:tcPr>
            <w:tcW w:type="dxa" w:w="964"/>
          </w:tcPr>
          <w:p>
            <w:pPr>
              <w:jc w:val="right"/>
            </w:pPr>
            <w:r/>
            <w:r>
              <w:rPr>
                <w:color w:val="1A1D21"/>
                <w:sz w:val="17"/>
              </w:rPr>
              <w:t>275</w:t>
            </w:r>
          </w:p>
        </w:tc>
        <w:tc>
          <w:tcPr>
            <w:tcW w:type="dxa" w:w="964"/>
          </w:tcPr>
          <w:p>
            <w:pPr>
              <w:jc w:val="right"/>
            </w:pPr>
            <w:r/>
            <w:r>
              <w:rPr>
                <w:color w:val="1A1D21"/>
                <w:sz w:val="17"/>
              </w:rPr>
              <w:t>275</w:t>
            </w:r>
          </w:p>
        </w:tc>
        <w:tc>
          <w:tcPr>
            <w:tcW w:type="dxa" w:w="964"/>
          </w:tcPr>
          <w:p>
            <w:pPr>
              <w:jc w:val="right"/>
            </w:pPr>
            <w:r/>
            <w:r>
              <w:rPr>
                <w:color w:val="1A1D21"/>
                <w:sz w:val="17"/>
              </w:rPr>
              <w:t>275</w:t>
            </w:r>
          </w:p>
        </w:tc>
        <w:tc>
          <w:tcPr>
            <w:tcW w:type="dxa" w:w="964"/>
          </w:tcPr>
          <w:p>
            <w:pPr>
              <w:jc w:val="right"/>
            </w:pPr>
            <w:r/>
            <w:r>
              <w:rPr>
                <w:color w:val="1A1D21"/>
                <w:sz w:val="17"/>
              </w:rPr>
              <w:t>275</w:t>
            </w:r>
          </w:p>
        </w:tc>
      </w:tr>
      <w:tr>
        <w:trPr>
          <w:cantSplit/>
        </w:trPr>
        <w:tc>
          <w:tcPr>
            <w:tcW w:type="dxa" w:w="2421"/>
          </w:tcPr>
          <w:p>
            <w:r/>
            <w:r>
              <w:rPr>
                <w:color w:val="1A1D21"/>
                <w:sz w:val="17"/>
              </w:rPr>
              <w:t>Suppliers, days of cost</w:t>
            </w:r>
          </w:p>
        </w:tc>
        <w:tc>
          <w:tcPr>
            <w:tcW w:type="dxa" w:w="964"/>
          </w:tcPr>
          <w:p>
            <w:pPr>
              <w:jc w:val="right"/>
            </w:pPr>
            <w:r/>
            <w:r>
              <w:rPr>
                <w:color w:val="1A1D21"/>
                <w:sz w:val="17"/>
              </w:rPr>
              <w:t>59</w:t>
            </w:r>
          </w:p>
        </w:tc>
        <w:tc>
          <w:tcPr>
            <w:tcW w:type="dxa" w:w="964"/>
          </w:tcPr>
          <w:p>
            <w:pPr>
              <w:jc w:val="right"/>
            </w:pPr>
            <w:r/>
            <w:r>
              <w:rPr>
                <w:color w:val="1A1D21"/>
                <w:sz w:val="17"/>
              </w:rPr>
              <w:t>59</w:t>
            </w:r>
          </w:p>
        </w:tc>
        <w:tc>
          <w:tcPr>
            <w:tcW w:type="dxa" w:w="964"/>
          </w:tcPr>
          <w:p>
            <w:pPr>
              <w:jc w:val="right"/>
            </w:pPr>
            <w:r/>
            <w:r>
              <w:rPr>
                <w:color w:val="1A1D21"/>
                <w:sz w:val="17"/>
              </w:rPr>
              <w:t>59</w:t>
            </w:r>
          </w:p>
        </w:tc>
        <w:tc>
          <w:tcPr>
            <w:tcW w:type="dxa" w:w="964"/>
          </w:tcPr>
          <w:p>
            <w:pPr>
              <w:jc w:val="right"/>
            </w:pPr>
            <w:r/>
            <w:r>
              <w:rPr>
                <w:color w:val="1A1D21"/>
                <w:sz w:val="17"/>
              </w:rPr>
              <w:t>59</w:t>
            </w:r>
          </w:p>
        </w:tc>
        <w:tc>
          <w:tcPr>
            <w:tcW w:type="dxa" w:w="964"/>
          </w:tcPr>
          <w:p>
            <w:pPr>
              <w:jc w:val="right"/>
            </w:pPr>
            <w:r/>
            <w:r>
              <w:rPr>
                <w:color w:val="1A1D21"/>
                <w:sz w:val="17"/>
              </w:rPr>
              <w:t>59</w:t>
            </w:r>
          </w:p>
        </w:tc>
        <w:tc>
          <w:tcPr>
            <w:tcW w:type="dxa" w:w="964"/>
          </w:tcPr>
          <w:p>
            <w:pPr>
              <w:jc w:val="right"/>
            </w:pPr>
            <w:r/>
            <w:r>
              <w:rPr>
                <w:color w:val="1A1D21"/>
                <w:sz w:val="17"/>
              </w:rPr>
              <w:t>59</w:t>
            </w:r>
          </w:p>
        </w:tc>
        <w:tc>
          <w:tcPr>
            <w:tcW w:type="dxa" w:w="964"/>
          </w:tcPr>
          <w:p>
            <w:pPr>
              <w:jc w:val="right"/>
            </w:pPr>
            <w:r/>
            <w:r>
              <w:rPr>
                <w:color w:val="1A1D21"/>
                <w:sz w:val="17"/>
              </w:rPr>
              <w:t>59</w:t>
            </w:r>
          </w:p>
        </w:tc>
      </w:tr>
      <w:tr>
        <w:trPr>
          <w:cantSplit/>
        </w:trPr>
        <w:tc>
          <w:tcPr>
            <w:tcW w:type="dxa" w:w="2421"/>
          </w:tcPr>
          <w:p>
            <w:r/>
            <w:r>
              <w:rPr>
                <w:color w:val="1A1D21"/>
                <w:sz w:val="17"/>
              </w:rPr>
              <w:t>Customer advances, share of the order book</w:t>
            </w:r>
          </w:p>
        </w:tc>
        <w:tc>
          <w:tcPr>
            <w:tcW w:type="dxa" w:w="964"/>
          </w:tcPr>
          <w:p>
            <w:pPr>
              <w:jc w:val="right"/>
            </w:pPr>
            <w:r/>
            <w:r>
              <w:rPr>
                <w:color w:val="1A1D21"/>
                <w:sz w:val="17"/>
              </w:rPr>
              <w:t>21.9%</w:t>
            </w:r>
          </w:p>
        </w:tc>
        <w:tc>
          <w:tcPr>
            <w:tcW w:type="dxa" w:w="964"/>
          </w:tcPr>
          <w:p>
            <w:pPr>
              <w:jc w:val="right"/>
            </w:pPr>
            <w:r/>
            <w:r>
              <w:rPr>
                <w:color w:val="1A1D21"/>
                <w:sz w:val="17"/>
              </w:rPr>
              <w:t>22.3%</w:t>
            </w:r>
          </w:p>
        </w:tc>
        <w:tc>
          <w:tcPr>
            <w:tcW w:type="dxa" w:w="964"/>
          </w:tcPr>
          <w:p>
            <w:pPr>
              <w:jc w:val="right"/>
            </w:pPr>
            <w:r/>
            <w:r>
              <w:rPr>
                <w:color w:val="1A1D21"/>
                <w:sz w:val="17"/>
              </w:rPr>
              <w:t>22.8%</w:t>
            </w:r>
          </w:p>
        </w:tc>
        <w:tc>
          <w:tcPr>
            <w:tcW w:type="dxa" w:w="964"/>
          </w:tcPr>
          <w:p>
            <w:pPr>
              <w:jc w:val="right"/>
            </w:pPr>
            <w:r/>
            <w:r>
              <w:rPr>
                <w:color w:val="1A1D21"/>
                <w:sz w:val="17"/>
              </w:rPr>
              <w:t>23.4%</w:t>
            </w:r>
          </w:p>
        </w:tc>
        <w:tc>
          <w:tcPr>
            <w:tcW w:type="dxa" w:w="964"/>
          </w:tcPr>
          <w:p>
            <w:pPr>
              <w:jc w:val="right"/>
            </w:pPr>
            <w:r/>
            <w:r>
              <w:rPr>
                <w:color w:val="1A1D21"/>
                <w:sz w:val="17"/>
              </w:rPr>
              <w:t>24.2%</w:t>
            </w:r>
          </w:p>
        </w:tc>
        <w:tc>
          <w:tcPr>
            <w:tcW w:type="dxa" w:w="964"/>
          </w:tcPr>
          <w:p>
            <w:pPr>
              <w:jc w:val="right"/>
            </w:pPr>
            <w:r/>
            <w:r>
              <w:rPr>
                <w:color w:val="1A1D21"/>
                <w:sz w:val="17"/>
              </w:rPr>
              <w:t>28.6%</w:t>
            </w:r>
          </w:p>
        </w:tc>
        <w:tc>
          <w:tcPr>
            <w:tcW w:type="dxa" w:w="964"/>
          </w:tcPr>
          <w:p>
            <w:pPr>
              <w:jc w:val="right"/>
            </w:pPr>
            <w:r/>
            <w:r>
              <w:rPr>
                <w:color w:val="1A1D21"/>
                <w:sz w:val="17"/>
              </w:rPr>
              <w:t>28.3%</w:t>
            </w:r>
          </w:p>
        </w:tc>
      </w:tr>
      <w:tr>
        <w:trPr>
          <w:cantSplit/>
        </w:trPr>
        <w:tc>
          <w:tcPr>
            <w:tcW w:type="dxa" w:w="2421"/>
          </w:tcPr>
          <w:p>
            <w:r/>
            <w:r>
              <w:rPr>
                <w:color w:val="1A1D21"/>
                <w:sz w:val="17"/>
              </w:rPr>
              <w:t>Net working capital</w:t>
            </w:r>
          </w:p>
        </w:tc>
        <w:tc>
          <w:tcPr>
            <w:tcW w:type="dxa" w:w="964"/>
          </w:tcPr>
          <w:p>
            <w:pPr>
              <w:jc w:val="right"/>
            </w:pPr>
            <w:r/>
            <w:r>
              <w:rPr>
                <w:color w:val="1A1D21"/>
                <w:sz w:val="17"/>
              </w:rPr>
              <w:t>69,405</w:t>
            </w:r>
          </w:p>
        </w:tc>
        <w:tc>
          <w:tcPr>
            <w:tcW w:type="dxa" w:w="964"/>
          </w:tcPr>
          <w:p>
            <w:pPr>
              <w:jc w:val="right"/>
            </w:pPr>
            <w:r/>
            <w:r>
              <w:rPr>
                <w:color w:val="1A1D21"/>
                <w:sz w:val="17"/>
              </w:rPr>
              <w:t>89,393</w:t>
            </w:r>
          </w:p>
        </w:tc>
        <w:tc>
          <w:tcPr>
            <w:tcW w:type="dxa" w:w="964"/>
          </w:tcPr>
          <w:p>
            <w:pPr>
              <w:jc w:val="right"/>
            </w:pPr>
            <w:r/>
            <w:r>
              <w:rPr>
                <w:color w:val="1A1D21"/>
                <w:sz w:val="17"/>
              </w:rPr>
              <w:t>110,593</w:t>
            </w:r>
          </w:p>
        </w:tc>
        <w:tc>
          <w:tcPr>
            <w:tcW w:type="dxa" w:w="964"/>
          </w:tcPr>
          <w:p>
            <w:pPr>
              <w:jc w:val="right"/>
            </w:pPr>
            <w:r/>
            <w:r>
              <w:rPr>
                <w:color w:val="1A1D21"/>
                <w:sz w:val="17"/>
              </w:rPr>
              <w:t>133,154</w:t>
            </w:r>
          </w:p>
        </w:tc>
        <w:tc>
          <w:tcPr>
            <w:tcW w:type="dxa" w:w="964"/>
          </w:tcPr>
          <w:p>
            <w:pPr>
              <w:jc w:val="right"/>
            </w:pPr>
            <w:r/>
            <w:r>
              <w:rPr>
                <w:color w:val="1A1D21"/>
                <w:sz w:val="17"/>
              </w:rPr>
              <w:t>157,435</w:t>
            </w:r>
          </w:p>
        </w:tc>
        <w:tc>
          <w:tcPr>
            <w:tcW w:type="dxa" w:w="964"/>
          </w:tcPr>
          <w:p>
            <w:pPr>
              <w:jc w:val="right"/>
            </w:pPr>
            <w:r/>
            <w:r>
              <w:rPr>
                <w:color w:val="1A1D21"/>
                <w:sz w:val="17"/>
              </w:rPr>
              <w:t>295,198</w:t>
            </w:r>
          </w:p>
        </w:tc>
        <w:tc>
          <w:tcPr>
            <w:tcW w:type="dxa" w:w="964"/>
          </w:tcPr>
          <w:p>
            <w:pPr>
              <w:jc w:val="right"/>
            </w:pPr>
            <w:r/>
            <w:r>
              <w:rPr>
                <w:color w:val="1A1D21"/>
                <w:sz w:val="17"/>
              </w:rPr>
              <w:t>420,241</w:t>
            </w:r>
          </w:p>
        </w:tc>
      </w:tr>
      <w:tr>
        <w:trPr>
          <w:cantSplit/>
        </w:trPr>
        <w:tc>
          <w:tcPr>
            <w:tcW w:type="dxa" w:w="2421"/>
          </w:tcPr>
          <w:p>
            <w:r/>
            <w:r>
              <w:rPr>
                <w:color w:val="1A1D21"/>
                <w:sz w:val="17"/>
              </w:rPr>
              <w:t xml:space="preserve">  as a multiple of revenue</w:t>
            </w:r>
          </w:p>
        </w:tc>
        <w:tc>
          <w:tcPr>
            <w:tcW w:type="dxa" w:w="964"/>
          </w:tcPr>
          <w:p>
            <w:pPr>
              <w:jc w:val="right"/>
            </w:pPr>
            <w:r/>
            <w:r>
              <w:rPr>
                <w:color w:val="1A1D21"/>
                <w:sz w:val="17"/>
              </w:rPr>
              <w:t>1.72</w:t>
            </w:r>
          </w:p>
        </w:tc>
        <w:tc>
          <w:tcPr>
            <w:tcW w:type="dxa" w:w="964"/>
          </w:tcPr>
          <w:p>
            <w:pPr>
              <w:jc w:val="right"/>
            </w:pPr>
            <w:r/>
            <w:r>
              <w:rPr>
                <w:color w:val="1A1D21"/>
                <w:sz w:val="17"/>
              </w:rPr>
              <w:t>1.72</w:t>
            </w:r>
          </w:p>
        </w:tc>
        <w:tc>
          <w:tcPr>
            <w:tcW w:type="dxa" w:w="964"/>
          </w:tcPr>
          <w:p>
            <w:pPr>
              <w:jc w:val="right"/>
            </w:pPr>
            <w:r/>
            <w:r>
              <w:rPr>
                <w:color w:val="1A1D21"/>
                <w:sz w:val="17"/>
              </w:rPr>
              <w:t>1.72</w:t>
            </w:r>
          </w:p>
        </w:tc>
        <w:tc>
          <w:tcPr>
            <w:tcW w:type="dxa" w:w="964"/>
          </w:tcPr>
          <w:p>
            <w:pPr>
              <w:jc w:val="right"/>
            </w:pPr>
            <w:r/>
            <w:r>
              <w:rPr>
                <w:color w:val="1A1D21"/>
                <w:sz w:val="17"/>
              </w:rPr>
              <w:t>1.72</w:t>
            </w:r>
          </w:p>
        </w:tc>
        <w:tc>
          <w:tcPr>
            <w:tcW w:type="dxa" w:w="964"/>
          </w:tcPr>
          <w:p>
            <w:pPr>
              <w:jc w:val="right"/>
            </w:pPr>
            <w:r/>
            <w:r>
              <w:rPr>
                <w:color w:val="1A1D21"/>
                <w:sz w:val="17"/>
              </w:rPr>
              <w:t>1.72</w:t>
            </w:r>
          </w:p>
        </w:tc>
        <w:tc>
          <w:tcPr>
            <w:tcW w:type="dxa" w:w="964"/>
          </w:tcPr>
          <w:p>
            <w:pPr>
              <w:jc w:val="right"/>
            </w:pPr>
            <w:r/>
            <w:r>
              <w:rPr>
                <w:color w:val="1A1D21"/>
                <w:sz w:val="17"/>
              </w:rPr>
              <w:t>1.72</w:t>
            </w:r>
          </w:p>
        </w:tc>
        <w:tc>
          <w:tcPr>
            <w:tcW w:type="dxa" w:w="964"/>
          </w:tcPr>
          <w:p>
            <w:pPr>
              <w:jc w:val="right"/>
            </w:pPr>
            <w:r/>
            <w:r>
              <w:rPr>
                <w:color w:val="1A1D21"/>
                <w:sz w:val="17"/>
              </w:rPr>
              <w:t>1.72</w:t>
            </w:r>
          </w:p>
        </w:tc>
      </w:tr>
    </w:tbl>
    <w:p>
      <w:pPr>
        <w:spacing w:after="200"/>
      </w:pPr>
      <w:r>
        <w:rPr>
          <w:b w:val="0"/>
          <w:i/>
          <w:color w:val="5B6570"/>
          <w:sz w:val="16"/>
        </w:rPr>
        <w:t>Every ratio is held where 2025 left it, by construction. The customer-advance share rises only because the order book grows more slowly than revenue on this path.</w:t>
      </w:r>
    </w:p>
    <w:p>
      <w:pPr>
        <w:spacing w:after="140"/>
      </w:pPr>
      <w:r>
        <w:rPr>
          <w:b w:val="0"/>
          <w:i w:val="0"/>
          <w:color w:val="1A1D21"/>
          <w:sz w:val="20"/>
        </w:rPr>
        <w:t>This reading does not produce a value per share, and the reason is worth stating plainly rather than burying. Free cash flow is negative in every one of the five years and reaches minus EGP 4,280 million in 2030. A terminal value taken on a negative flow returns a large negative number that looks like a valuation and is not one: it asserts the company burns cash for ever at a compounding rate, which is not a forecast anybody made. So none is taken. What this reading measures instead is the funding the growth would need.</w:t>
      </w:r>
    </w:p>
    <w:tbl>
      <w:tblPr>
        <w:tblStyle w:val="TableGrid"/>
        <w:tblW w:type="auto" w:w="0"/>
        <w:jc w:val="center"/>
        <w:tblLayout w:type="fixed"/>
        <w:tblLook w:firstColumn="1" w:firstRow="1" w:lastColumn="0" w:lastRow="0" w:noHBand="0" w:noVBand="1" w:val="04A0"/>
        <w:tblLayout w:type="fixed"/>
      </w:tblPr>
      <w:tblGrid>
        <w:gridCol w:w="8222"/>
        <w:gridCol w:w="964"/>
      </w:tblGrid>
      <w:tr>
        <w:trPr>
          <w:tblHeader w:val="true"/>
        </w:trPr>
        <w:tc>
          <w:tcPr>
            <w:tcW w:type="dxa" w:w="8220"/>
          </w:tcPr>
          <w:p>
            <w:r/>
            <w:r>
              <w:rPr>
                <w:b/>
                <w:color w:val="5B6570"/>
                <w:sz w:val="17"/>
              </w:rPr>
              <w:t>If the cycle holds, what the growth costs</w:t>
            </w:r>
          </w:p>
        </w:tc>
        <w:tc>
          <w:tcPr>
            <w:tcW w:type="dxa" w:w="964"/>
          </w:tcPr>
          <w:p>
            <w:r/>
            <w:r>
              <w:rPr>
                <w:b/>
                <w:color w:val="5B6570"/>
                <w:sz w:val="17"/>
              </w:rPr>
              <w:t>EGP mn</w:t>
            </w:r>
          </w:p>
        </w:tc>
      </w:tr>
      <w:tr>
        <w:trPr>
          <w:cantSplit/>
        </w:trPr>
        <w:tc>
          <w:tcPr>
            <w:tcW w:type="dxa" w:w="8220"/>
          </w:tcPr>
          <w:p>
            <w:r/>
            <w:r>
              <w:rPr>
                <w:color w:val="1A1D21"/>
                <w:sz w:val="17"/>
              </w:rPr>
              <w:t>Present value of the fifteen forecast years</w:t>
            </w:r>
          </w:p>
        </w:tc>
        <w:tc>
          <w:tcPr>
            <w:tcW w:type="dxa" w:w="964"/>
          </w:tcPr>
          <w:p>
            <w:pPr>
              <w:jc w:val="right"/>
            </w:pPr>
            <w:r/>
            <w:r>
              <w:rPr>
                <w:color w:val="1A1D21"/>
                <w:sz w:val="17"/>
              </w:rPr>
              <w:t>-40,529</w:t>
            </w:r>
          </w:p>
        </w:tc>
      </w:tr>
      <w:tr>
        <w:trPr>
          <w:cantSplit/>
        </w:trPr>
        <w:tc>
          <w:tcPr>
            <w:tcW w:type="dxa" w:w="8220"/>
          </w:tcPr>
          <w:p>
            <w:r/>
            <w:r>
              <w:rPr>
                <w:color w:val="1A1D21"/>
                <w:sz w:val="17"/>
              </w:rPr>
              <w:t>New borrowing required by 2030</w:t>
            </w:r>
          </w:p>
        </w:tc>
        <w:tc>
          <w:tcPr>
            <w:tcW w:type="dxa" w:w="964"/>
          </w:tcPr>
          <w:p>
            <w:pPr>
              <w:jc w:val="right"/>
            </w:pPr>
            <w:r/>
            <w:r>
              <w:rPr>
                <w:color w:val="1A1D21"/>
                <w:sz w:val="17"/>
              </w:rPr>
              <w:t>122,644</w:t>
            </w:r>
          </w:p>
        </w:tc>
      </w:tr>
      <w:tr>
        <w:trPr>
          <w:cantSplit/>
        </w:trPr>
        <w:tc>
          <w:tcPr>
            <w:tcW w:type="dxa" w:w="8220"/>
          </w:tcPr>
          <w:p>
            <w:r/>
            <w:r>
              <w:rPr>
                <w:color w:val="1A1D21"/>
                <w:sz w:val="17"/>
              </w:rPr>
              <w:t>Its annual interest by 2030, at 25.50 per cent</w:t>
            </w:r>
          </w:p>
        </w:tc>
        <w:tc>
          <w:tcPr>
            <w:tcW w:type="dxa" w:w="964"/>
          </w:tcPr>
          <w:p>
            <w:pPr>
              <w:jc w:val="right"/>
            </w:pPr>
            <w:r/>
            <w:r>
              <w:rPr>
                <w:color w:val="1A1D21"/>
                <w:sz w:val="17"/>
              </w:rPr>
              <w:t>31,274</w:t>
            </w:r>
          </w:p>
        </w:tc>
      </w:tr>
      <w:tr>
        <w:trPr>
          <w:cantSplit/>
        </w:trPr>
        <w:tc>
          <w:tcPr>
            <w:tcW w:type="dxa" w:w="8220"/>
          </w:tcPr>
          <w:p>
            <w:r/>
            <w:r>
              <w:rPr>
                <w:color w:val="1A1D21"/>
                <w:sz w:val="17"/>
              </w:rPr>
              <w:t>That interest as a share of 2030 operating profit</w:t>
            </w:r>
          </w:p>
        </w:tc>
        <w:tc>
          <w:tcPr>
            <w:tcW w:type="dxa" w:w="964"/>
          </w:tcPr>
          <w:p>
            <w:pPr>
              <w:jc w:val="right"/>
            </w:pPr>
            <w:r/>
            <w:r>
              <w:rPr>
                <w:color w:val="1A1D21"/>
                <w:sz w:val="17"/>
              </w:rPr>
              <w:t>76%</w:t>
            </w:r>
          </w:p>
        </w:tc>
      </w:tr>
    </w:tbl>
    <w:p>
      <w:pPr>
        <w:spacing w:after="200"/>
      </w:pPr>
      <w:r>
        <w:rPr>
          <w:b w:val="0"/>
          <w:i/>
          <w:color w:val="5B6570"/>
          <w:sz w:val="16"/>
        </w:rPr>
        <w:t>The interest on that borrowing is not in the profit forecast above, and by 2030 it would exceed operating profit outright. The collection cycle and this growth path cannot both hold — which is the finding, not a defect in the arithmetic.</w:t>
      </w:r>
    </w:p>
    <w:p>
      <w:r>
        <w:br w:type="page"/>
      </w:r>
    </w:p>
    <w:p>
      <w:pPr>
        <w:pStyle w:val="Heading1"/>
      </w:pPr>
      <w:r>
        <w:t>Appendix B  Peer frame, risk register and research register</w:t>
      </w:r>
    </w:p>
    <w:p>
      <w:pPr>
        <w:pStyle w:val="Heading2"/>
      </w:pPr>
      <w:r>
        <w:t>B.1  The Egyptian listed developers</w:t>
      </w:r>
    </w:p>
    <w:tbl>
      <w:tblPr>
        <w:tblStyle w:val="TableGrid"/>
        <w:tblW w:type="auto" w:w="0"/>
        <w:jc w:val="center"/>
        <w:tblLayout w:type="fixed"/>
        <w:tblLook w:firstColumn="1" w:firstRow="1" w:lastColumn="0" w:lastRow="0" w:noHBand="0" w:noVBand="1" w:val="04A0"/>
        <w:tblLayout w:type="fixed"/>
      </w:tblPr>
      <w:tblGrid>
        <w:gridCol w:w="686"/>
        <w:gridCol w:w="3459"/>
        <w:gridCol w:w="850"/>
        <w:gridCol w:w="1213"/>
        <w:gridCol w:w="805"/>
        <w:gridCol w:w="1378"/>
        <w:gridCol w:w="850"/>
      </w:tblGrid>
      <w:tr>
        <w:trPr>
          <w:tblHeader w:val="true"/>
        </w:trPr>
        <w:tc>
          <w:tcPr>
            <w:tcW w:type="dxa" w:w="686"/>
          </w:tcPr>
          <w:p>
            <w:r/>
            <w:r>
              <w:rPr>
                <w:b/>
                <w:color w:val="5B6570"/>
                <w:sz w:val="17"/>
              </w:rPr>
              <w:t>Code</w:t>
            </w:r>
          </w:p>
        </w:tc>
        <w:tc>
          <w:tcPr>
            <w:tcW w:type="dxa" w:w="3458"/>
          </w:tcPr>
          <w:p>
            <w:r/>
            <w:r>
              <w:rPr>
                <w:b/>
                <w:color w:val="5B6570"/>
                <w:sz w:val="17"/>
              </w:rPr>
              <w:t>Company</w:t>
            </w:r>
          </w:p>
        </w:tc>
        <w:tc>
          <w:tcPr>
            <w:tcW w:type="dxa" w:w="850"/>
          </w:tcPr>
          <w:p>
            <w:r/>
            <w:r>
              <w:rPr>
                <w:b/>
                <w:color w:val="5B6570"/>
                <w:sz w:val="17"/>
              </w:rPr>
              <w:t>Beta</w:t>
            </w:r>
          </w:p>
        </w:tc>
        <w:tc>
          <w:tcPr>
            <w:tcW w:type="dxa" w:w="1213"/>
          </w:tcPr>
          <w:p>
            <w:r/>
            <w:r>
              <w:rPr>
                <w:b/>
                <w:color w:val="5B6570"/>
                <w:sz w:val="17"/>
              </w:rPr>
              <w:t>R-squared</w:t>
            </w:r>
          </w:p>
        </w:tc>
        <w:tc>
          <w:tcPr>
            <w:tcW w:type="dxa" w:w="805"/>
          </w:tcPr>
          <w:p>
            <w:r/>
            <w:r>
              <w:rPr>
                <w:b/>
                <w:color w:val="5B6570"/>
                <w:sz w:val="17"/>
              </w:rPr>
              <w:t>Std error</w:t>
            </w:r>
          </w:p>
        </w:tc>
        <w:tc>
          <w:tcPr>
            <w:tcW w:type="dxa" w:w="1378"/>
          </w:tcPr>
          <w:p>
            <w:r/>
            <w:r>
              <w:rPr>
                <w:b/>
                <w:color w:val="5B6570"/>
                <w:sz w:val="17"/>
              </w:rPr>
              <w:t>Volatility</w:t>
            </w:r>
          </w:p>
        </w:tc>
        <w:tc>
          <w:tcPr>
            <w:tcW w:type="dxa" w:w="850"/>
          </w:tcPr>
          <w:p>
            <w:r/>
            <w:r>
              <w:rPr>
                <w:b/>
                <w:color w:val="5B6570"/>
                <w:sz w:val="17"/>
              </w:rPr>
              <w:t>Worst fall</w:t>
            </w:r>
          </w:p>
        </w:tc>
      </w:tr>
      <w:tr>
        <w:trPr>
          <w:cantSplit/>
        </w:trPr>
        <w:tc>
          <w:tcPr>
            <w:tcW w:type="dxa" w:w="686"/>
          </w:tcPr>
          <w:p>
            <w:r/>
            <w:r>
              <w:rPr>
                <w:color w:val="1A1D21"/>
                <w:sz w:val="17"/>
              </w:rPr>
              <w:t>TMGH</w:t>
            </w:r>
          </w:p>
        </w:tc>
        <w:tc>
          <w:tcPr>
            <w:tcW w:type="dxa" w:w="3458"/>
          </w:tcPr>
          <w:p>
            <w:r/>
            <w:r>
              <w:rPr>
                <w:color w:val="1A1D21"/>
                <w:sz w:val="17"/>
              </w:rPr>
              <w:t>Talaat Moustafa Group Holding</w:t>
            </w:r>
          </w:p>
        </w:tc>
        <w:tc>
          <w:tcPr>
            <w:tcW w:type="dxa" w:w="850"/>
          </w:tcPr>
          <w:p>
            <w:pPr>
              <w:jc w:val="right"/>
            </w:pPr>
            <w:r/>
            <w:r>
              <w:rPr>
                <w:color w:val="1A1D21"/>
                <w:sz w:val="17"/>
              </w:rPr>
              <w:t>1.4687</w:t>
            </w:r>
          </w:p>
        </w:tc>
        <w:tc>
          <w:tcPr>
            <w:tcW w:type="dxa" w:w="1213"/>
          </w:tcPr>
          <w:p>
            <w:pPr>
              <w:jc w:val="right"/>
            </w:pPr>
            <w:r/>
            <w:r>
              <w:rPr>
                <w:color w:val="1A1D21"/>
                <w:sz w:val="17"/>
              </w:rPr>
              <w:t>32.5%</w:t>
            </w:r>
          </w:p>
        </w:tc>
        <w:tc>
          <w:tcPr>
            <w:tcW w:type="dxa" w:w="805"/>
          </w:tcPr>
          <w:p>
            <w:pPr>
              <w:jc w:val="right"/>
            </w:pPr>
            <w:r/>
            <w:r>
              <w:rPr>
                <w:color w:val="1A1D21"/>
                <w:sz w:val="17"/>
              </w:rPr>
              <w:t>0.183</w:t>
            </w:r>
          </w:p>
        </w:tc>
        <w:tc>
          <w:tcPr>
            <w:tcW w:type="dxa" w:w="1378"/>
          </w:tcPr>
          <w:p>
            <w:pPr>
              <w:jc w:val="right"/>
            </w:pPr>
            <w:r/>
            <w:r>
              <w:rPr>
                <w:color w:val="1A1D21"/>
                <w:sz w:val="17"/>
              </w:rPr>
              <w:t>43.9%</w:t>
            </w:r>
          </w:p>
        </w:tc>
        <w:tc>
          <w:tcPr>
            <w:tcW w:type="dxa" w:w="850"/>
          </w:tcPr>
          <w:p>
            <w:pPr>
              <w:jc w:val="right"/>
            </w:pPr>
            <w:r/>
            <w:r>
              <w:rPr>
                <w:color w:val="1A1D21"/>
                <w:sz w:val="17"/>
              </w:rPr>
              <w:t>-44.2%</w:t>
            </w:r>
          </w:p>
        </w:tc>
      </w:tr>
      <w:tr>
        <w:trPr>
          <w:cantSplit/>
        </w:trPr>
        <w:tc>
          <w:tcPr>
            <w:tcW w:type="dxa" w:w="686"/>
          </w:tcPr>
          <w:p>
            <w:r/>
            <w:r>
              <w:rPr>
                <w:color w:val="1A1D21"/>
                <w:sz w:val="17"/>
              </w:rPr>
              <w:t>PHDC</w:t>
            </w:r>
          </w:p>
        </w:tc>
        <w:tc>
          <w:tcPr>
            <w:tcW w:type="dxa" w:w="3458"/>
          </w:tcPr>
          <w:p>
            <w:r/>
            <w:r>
              <w:rPr>
                <w:color w:val="1A1D21"/>
                <w:sz w:val="17"/>
              </w:rPr>
              <w:t>Palm Hills Developments</w:t>
            </w:r>
          </w:p>
        </w:tc>
        <w:tc>
          <w:tcPr>
            <w:tcW w:type="dxa" w:w="850"/>
          </w:tcPr>
          <w:p>
            <w:pPr>
              <w:jc w:val="right"/>
            </w:pPr>
            <w:r/>
            <w:r>
              <w:rPr>
                <w:color w:val="1A1D21"/>
                <w:sz w:val="17"/>
              </w:rPr>
              <w:t>1.0481</w:t>
            </w:r>
          </w:p>
        </w:tc>
        <w:tc>
          <w:tcPr>
            <w:tcW w:type="dxa" w:w="1213"/>
          </w:tcPr>
          <w:p>
            <w:pPr>
              <w:jc w:val="right"/>
            </w:pPr>
            <w:r/>
            <w:r>
              <w:rPr>
                <w:color w:val="1A1D21"/>
                <w:sz w:val="17"/>
              </w:rPr>
              <w:t>30.0%</w:t>
            </w:r>
          </w:p>
        </w:tc>
        <w:tc>
          <w:tcPr>
            <w:tcW w:type="dxa" w:w="805"/>
          </w:tcPr>
          <w:p>
            <w:pPr>
              <w:jc w:val="right"/>
            </w:pPr>
            <w:r/>
            <w:r>
              <w:rPr>
                <w:color w:val="1A1D21"/>
                <w:sz w:val="17"/>
              </w:rPr>
              <w:t>0.181</w:t>
            </w:r>
          </w:p>
        </w:tc>
        <w:tc>
          <w:tcPr>
            <w:tcW w:type="dxa" w:w="1378"/>
          </w:tcPr>
          <w:p>
            <w:pPr>
              <w:jc w:val="right"/>
            </w:pPr>
            <w:r/>
            <w:r>
              <w:rPr>
                <w:color w:val="1A1D21"/>
                <w:sz w:val="17"/>
              </w:rPr>
              <w:t>43.9%</w:t>
            </w:r>
          </w:p>
        </w:tc>
        <w:tc>
          <w:tcPr>
            <w:tcW w:type="dxa" w:w="850"/>
          </w:tcPr>
          <w:p>
            <w:pPr>
              <w:jc w:val="right"/>
            </w:pPr>
            <w:r/>
            <w:r>
              <w:rPr>
                <w:color w:val="1A1D21"/>
                <w:sz w:val="17"/>
              </w:rPr>
              <w:t>-48.7%</w:t>
            </w:r>
          </w:p>
        </w:tc>
      </w:tr>
      <w:tr>
        <w:trPr>
          <w:cantSplit/>
        </w:trPr>
        <w:tc>
          <w:tcPr>
            <w:tcW w:type="dxa" w:w="686"/>
          </w:tcPr>
          <w:p>
            <w:r/>
            <w:r>
              <w:rPr>
                <w:color w:val="1A1D21"/>
                <w:sz w:val="17"/>
              </w:rPr>
              <w:t>ORHD</w:t>
            </w:r>
          </w:p>
        </w:tc>
        <w:tc>
          <w:tcPr>
            <w:tcW w:type="dxa" w:w="3458"/>
          </w:tcPr>
          <w:p>
            <w:r/>
            <w:r>
              <w:rPr>
                <w:color w:val="1A1D21"/>
                <w:sz w:val="17"/>
              </w:rPr>
              <w:t>Orascom Development Egypt</w:t>
            </w:r>
          </w:p>
        </w:tc>
        <w:tc>
          <w:tcPr>
            <w:tcW w:type="dxa" w:w="850"/>
          </w:tcPr>
          <w:p>
            <w:pPr>
              <w:jc w:val="right"/>
            </w:pPr>
            <w:r/>
            <w:r>
              <w:rPr>
                <w:color w:val="1A1D21"/>
                <w:sz w:val="17"/>
              </w:rPr>
              <w:t>0.8817</w:t>
            </w:r>
          </w:p>
        </w:tc>
        <w:tc>
          <w:tcPr>
            <w:tcW w:type="dxa" w:w="1213"/>
          </w:tcPr>
          <w:p>
            <w:pPr>
              <w:jc w:val="right"/>
            </w:pPr>
            <w:r/>
            <w:r>
              <w:rPr>
                <w:color w:val="1A1D21"/>
                <w:sz w:val="17"/>
              </w:rPr>
              <w:t>32.5%</w:t>
            </w:r>
          </w:p>
        </w:tc>
        <w:tc>
          <w:tcPr>
            <w:tcW w:type="dxa" w:w="805"/>
          </w:tcPr>
          <w:p>
            <w:pPr>
              <w:jc w:val="right"/>
            </w:pPr>
            <w:r/>
            <w:r>
              <w:rPr>
                <w:color w:val="1A1D21"/>
                <w:sz w:val="17"/>
              </w:rPr>
              <w:t>0.173</w:t>
            </w:r>
          </w:p>
        </w:tc>
        <w:tc>
          <w:tcPr>
            <w:tcW w:type="dxa" w:w="1378"/>
          </w:tcPr>
          <w:p>
            <w:pPr>
              <w:jc w:val="right"/>
            </w:pPr>
            <w:r/>
            <w:r>
              <w:rPr>
                <w:color w:val="1A1D21"/>
                <w:sz w:val="17"/>
              </w:rPr>
              <w:t>46.2%</w:t>
            </w:r>
          </w:p>
        </w:tc>
        <w:tc>
          <w:tcPr>
            <w:tcW w:type="dxa" w:w="850"/>
          </w:tcPr>
          <w:p>
            <w:pPr>
              <w:jc w:val="right"/>
            </w:pPr>
            <w:r/>
            <w:r>
              <w:rPr>
                <w:color w:val="1A1D21"/>
                <w:sz w:val="17"/>
              </w:rPr>
              <w:t>-42.9%</w:t>
            </w:r>
          </w:p>
        </w:tc>
      </w:tr>
      <w:tr>
        <w:trPr>
          <w:cantSplit/>
        </w:trPr>
        <w:tc>
          <w:tcPr>
            <w:tcW w:type="dxa" w:w="686"/>
          </w:tcPr>
          <w:p>
            <w:r/>
            <w:r>
              <w:rPr>
                <w:color w:val="1A1D21"/>
                <w:sz w:val="17"/>
              </w:rPr>
              <w:t>HELI</w:t>
            </w:r>
          </w:p>
        </w:tc>
        <w:tc>
          <w:tcPr>
            <w:tcW w:type="dxa" w:w="3458"/>
          </w:tcPr>
          <w:p>
            <w:r/>
            <w:r>
              <w:rPr>
                <w:color w:val="1A1D21"/>
                <w:sz w:val="17"/>
              </w:rPr>
              <w:t>Heliopolis Housing and Development</w:t>
            </w:r>
          </w:p>
        </w:tc>
        <w:tc>
          <w:tcPr>
            <w:tcW w:type="dxa" w:w="850"/>
          </w:tcPr>
          <w:p>
            <w:pPr>
              <w:jc w:val="right"/>
            </w:pPr>
            <w:r/>
            <w:r>
              <w:rPr>
                <w:color w:val="1A1D21"/>
                <w:sz w:val="17"/>
              </w:rPr>
              <w:t>0.7648</w:t>
            </w:r>
          </w:p>
        </w:tc>
        <w:tc>
          <w:tcPr>
            <w:tcW w:type="dxa" w:w="1213"/>
          </w:tcPr>
          <w:p>
            <w:pPr>
              <w:jc w:val="right"/>
            </w:pPr>
            <w:r/>
            <w:r>
              <w:rPr>
                <w:color w:val="1A1D21"/>
                <w:sz w:val="17"/>
              </w:rPr>
              <w:t>28.7%</w:t>
            </w:r>
          </w:p>
        </w:tc>
        <w:tc>
          <w:tcPr>
            <w:tcW w:type="dxa" w:w="805"/>
          </w:tcPr>
          <w:p>
            <w:pPr>
              <w:jc w:val="right"/>
            </w:pPr>
            <w:r/>
            <w:r>
              <w:rPr>
                <w:color w:val="1A1D21"/>
                <w:sz w:val="17"/>
              </w:rPr>
              <w:t>0.180</w:t>
            </w:r>
          </w:p>
        </w:tc>
        <w:tc>
          <w:tcPr>
            <w:tcW w:type="dxa" w:w="1378"/>
          </w:tcPr>
          <w:p>
            <w:pPr>
              <w:jc w:val="right"/>
            </w:pPr>
            <w:r/>
            <w:r>
              <w:rPr>
                <w:color w:val="1A1D21"/>
                <w:sz w:val="17"/>
              </w:rPr>
              <w:t>44.4%</w:t>
            </w:r>
          </w:p>
        </w:tc>
        <w:tc>
          <w:tcPr>
            <w:tcW w:type="dxa" w:w="850"/>
          </w:tcPr>
          <w:p>
            <w:pPr>
              <w:jc w:val="right"/>
            </w:pPr>
            <w:r/>
            <w:r>
              <w:rPr>
                <w:color w:val="1A1D21"/>
                <w:sz w:val="17"/>
              </w:rPr>
              <w:t>-39.6%</w:t>
            </w:r>
          </w:p>
        </w:tc>
      </w:tr>
      <w:tr>
        <w:trPr>
          <w:cantSplit/>
        </w:trPr>
        <w:tc>
          <w:tcPr>
            <w:tcW w:type="dxa" w:w="686"/>
          </w:tcPr>
          <w:p>
            <w:r/>
            <w:r>
              <w:rPr>
                <w:color w:val="1A1D21"/>
                <w:sz w:val="17"/>
              </w:rPr>
              <w:t>EMFD</w:t>
            </w:r>
          </w:p>
        </w:tc>
        <w:tc>
          <w:tcPr>
            <w:tcW w:type="dxa" w:w="3458"/>
          </w:tcPr>
          <w:p>
            <w:r/>
            <w:r>
              <w:rPr>
                <w:color w:val="1A1D21"/>
                <w:sz w:val="17"/>
              </w:rPr>
              <w:t>Emaar Misr for Development</w:t>
            </w:r>
          </w:p>
        </w:tc>
        <w:tc>
          <w:tcPr>
            <w:tcW w:type="dxa" w:w="850"/>
          </w:tcPr>
          <w:p>
            <w:pPr>
              <w:jc w:val="right"/>
            </w:pPr>
            <w:r/>
            <w:r>
              <w:rPr>
                <w:color w:val="1A1D21"/>
                <w:sz w:val="17"/>
              </w:rPr>
              <w:t>0.7349</w:t>
            </w:r>
          </w:p>
        </w:tc>
        <w:tc>
          <w:tcPr>
            <w:tcW w:type="dxa" w:w="1213"/>
          </w:tcPr>
          <w:p>
            <w:pPr>
              <w:jc w:val="right"/>
            </w:pPr>
            <w:r/>
            <w:r>
              <w:rPr>
                <w:color w:val="1A1D21"/>
                <w:sz w:val="17"/>
              </w:rPr>
              <w:t>24.2%</w:t>
            </w:r>
          </w:p>
        </w:tc>
        <w:tc>
          <w:tcPr>
            <w:tcW w:type="dxa" w:w="805"/>
          </w:tcPr>
          <w:p>
            <w:pPr>
              <w:jc w:val="right"/>
            </w:pPr>
            <w:r/>
            <w:r>
              <w:rPr>
                <w:color w:val="1A1D21"/>
                <w:sz w:val="17"/>
              </w:rPr>
              <w:t>0.169</w:t>
            </w:r>
          </w:p>
        </w:tc>
        <w:tc>
          <w:tcPr>
            <w:tcW w:type="dxa" w:w="1378"/>
          </w:tcPr>
          <w:p>
            <w:pPr>
              <w:jc w:val="right"/>
            </w:pPr>
            <w:r/>
            <w:r>
              <w:rPr>
                <w:color w:val="1A1D21"/>
                <w:sz w:val="17"/>
              </w:rPr>
              <w:t>41.2%</w:t>
            </w:r>
          </w:p>
        </w:tc>
        <w:tc>
          <w:tcPr>
            <w:tcW w:type="dxa" w:w="850"/>
          </w:tcPr>
          <w:p>
            <w:pPr>
              <w:jc w:val="right"/>
            </w:pPr>
            <w:r/>
            <w:r>
              <w:rPr>
                <w:color w:val="1A1D21"/>
                <w:sz w:val="17"/>
              </w:rPr>
              <w:t>-47.1%</w:t>
            </w:r>
          </w:p>
        </w:tc>
      </w:tr>
      <w:tr>
        <w:trPr>
          <w:cantSplit/>
        </w:trPr>
        <w:tc>
          <w:tcPr>
            <w:tcW w:type="dxa" w:w="686"/>
          </w:tcPr>
          <w:p>
            <w:r/>
            <w:r>
              <w:rPr>
                <w:color w:val="1A1D21"/>
                <w:sz w:val="17"/>
              </w:rPr>
              <w:t>PRDC</w:t>
            </w:r>
          </w:p>
        </w:tc>
        <w:tc>
          <w:tcPr>
            <w:tcW w:type="dxa" w:w="3458"/>
          </w:tcPr>
          <w:p>
            <w:r/>
            <w:r>
              <w:rPr>
                <w:color w:val="1A1D21"/>
                <w:sz w:val="17"/>
              </w:rPr>
              <w:t>Pioneers Properties for Urban…</w:t>
            </w:r>
          </w:p>
        </w:tc>
        <w:tc>
          <w:tcPr>
            <w:tcW w:type="dxa" w:w="850"/>
          </w:tcPr>
          <w:p>
            <w:pPr>
              <w:jc w:val="right"/>
            </w:pPr>
            <w:r/>
            <w:r>
              <w:rPr>
                <w:color w:val="1A1D21"/>
                <w:sz w:val="17"/>
              </w:rPr>
              <w:t>0.7006</w:t>
            </w:r>
          </w:p>
        </w:tc>
        <w:tc>
          <w:tcPr>
            <w:tcW w:type="dxa" w:w="1213"/>
          </w:tcPr>
          <w:p>
            <w:pPr>
              <w:jc w:val="right"/>
            </w:pPr>
            <w:r/>
            <w:r>
              <w:rPr>
                <w:color w:val="1A1D21"/>
                <w:sz w:val="17"/>
              </w:rPr>
              <w:t>25.6%</w:t>
            </w:r>
          </w:p>
        </w:tc>
        <w:tc>
          <w:tcPr>
            <w:tcW w:type="dxa" w:w="805"/>
          </w:tcPr>
          <w:p>
            <w:pPr>
              <w:jc w:val="right"/>
            </w:pPr>
            <w:r/>
            <w:r>
              <w:rPr>
                <w:color w:val="1A1D21"/>
                <w:sz w:val="17"/>
              </w:rPr>
              <w:t>0.185</w:t>
            </w:r>
          </w:p>
        </w:tc>
        <w:tc>
          <w:tcPr>
            <w:tcW w:type="dxa" w:w="1378"/>
          </w:tcPr>
          <w:p>
            <w:pPr>
              <w:jc w:val="right"/>
            </w:pPr>
            <w:r/>
            <w:r>
              <w:rPr>
                <w:color w:val="1A1D21"/>
                <w:sz w:val="17"/>
              </w:rPr>
              <w:t>42.2%</w:t>
            </w:r>
          </w:p>
        </w:tc>
        <w:tc>
          <w:tcPr>
            <w:tcW w:type="dxa" w:w="850"/>
          </w:tcPr>
          <w:p>
            <w:pPr>
              <w:jc w:val="right"/>
            </w:pPr>
            <w:r/>
            <w:r>
              <w:rPr>
                <w:color w:val="1A1D21"/>
                <w:sz w:val="17"/>
              </w:rPr>
              <w:t>-52.0%</w:t>
            </w:r>
          </w:p>
        </w:tc>
      </w:tr>
      <w:tr>
        <w:trPr>
          <w:cantSplit/>
        </w:trPr>
        <w:tc>
          <w:tcPr>
            <w:tcW w:type="dxa" w:w="686"/>
          </w:tcPr>
          <w:p>
            <w:r/>
            <w:r>
              <w:rPr>
                <w:color w:val="1A1D21"/>
                <w:sz w:val="17"/>
              </w:rPr>
              <w:t>OCDI</w:t>
            </w:r>
          </w:p>
        </w:tc>
        <w:tc>
          <w:tcPr>
            <w:tcW w:type="dxa" w:w="3458"/>
          </w:tcPr>
          <w:p>
            <w:r/>
            <w:r>
              <w:rPr>
                <w:color w:val="1A1D21"/>
                <w:sz w:val="17"/>
              </w:rPr>
              <w:t>Sixth of October Development…</w:t>
            </w:r>
          </w:p>
        </w:tc>
        <w:tc>
          <w:tcPr>
            <w:tcW w:type="dxa" w:w="850"/>
          </w:tcPr>
          <w:p>
            <w:pPr>
              <w:jc w:val="right"/>
            </w:pPr>
            <w:r/>
            <w:r>
              <w:rPr>
                <w:color w:val="1A1D21"/>
                <w:sz w:val="17"/>
              </w:rPr>
              <w:t>0.4949</w:t>
            </w:r>
          </w:p>
        </w:tc>
        <w:tc>
          <w:tcPr>
            <w:tcW w:type="dxa" w:w="1213"/>
          </w:tcPr>
          <w:p>
            <w:pPr>
              <w:jc w:val="right"/>
            </w:pPr>
            <w:r/>
            <w:r>
              <w:rPr>
                <w:color w:val="1A1D21"/>
                <w:sz w:val="17"/>
              </w:rPr>
              <w:t>10.2%</w:t>
            </w:r>
          </w:p>
        </w:tc>
        <w:tc>
          <w:tcPr>
            <w:tcW w:type="dxa" w:w="805"/>
          </w:tcPr>
          <w:p>
            <w:pPr>
              <w:jc w:val="right"/>
            </w:pPr>
            <w:r/>
            <w:r>
              <w:rPr>
                <w:color w:val="1A1D21"/>
                <w:sz w:val="17"/>
              </w:rPr>
              <w:t>0.227</w:t>
            </w:r>
          </w:p>
        </w:tc>
        <w:tc>
          <w:tcPr>
            <w:tcW w:type="dxa" w:w="1378"/>
          </w:tcPr>
          <w:p>
            <w:pPr>
              <w:jc w:val="right"/>
            </w:pPr>
            <w:r/>
            <w:r>
              <w:rPr>
                <w:color w:val="1A1D21"/>
                <w:sz w:val="17"/>
              </w:rPr>
              <w:t>47.6%</w:t>
            </w:r>
          </w:p>
        </w:tc>
        <w:tc>
          <w:tcPr>
            <w:tcW w:type="dxa" w:w="850"/>
          </w:tcPr>
          <w:p>
            <w:pPr>
              <w:jc w:val="right"/>
            </w:pPr>
            <w:r/>
            <w:r>
              <w:rPr>
                <w:color w:val="1A1D21"/>
                <w:sz w:val="17"/>
              </w:rPr>
              <w:t>-46.6%</w:t>
            </w:r>
          </w:p>
        </w:tc>
      </w:tr>
    </w:tbl>
    <w:p>
      <w:pPr>
        <w:spacing w:after="200"/>
      </w:pPr>
      <w:r>
        <w:rPr>
          <w:b w:val="0"/>
          <w:i/>
          <w:color w:val="5B6570"/>
          <w:sz w:val="16"/>
        </w:rPr>
        <w:t>Every measure computed on the same five-year window, through the same cleaning, against the same index. Volatility is annualised from weekly returns; worst fall is the deepest peak-to-trough decline over five years.</w:t>
      </w:r>
    </w:p>
    <w:p>
      <w:pPr>
        <w:jc w:val="center"/>
      </w:pPr>
      <w:r>
        <w:drawing>
          <wp:inline xmlns:a="http://schemas.openxmlformats.org/drawingml/2006/main" xmlns:pic="http://schemas.openxmlformats.org/drawingml/2006/picture">
            <wp:extent cx="5832000" cy="2468495"/>
            <wp:docPr id="4" name="Picture 4"/>
            <wp:cNvGraphicFramePr>
              <a:graphicFrameLocks noChangeAspect="1"/>
            </wp:cNvGraphicFramePr>
            <a:graphic>
              <a:graphicData uri="http://schemas.openxmlformats.org/drawingml/2006/picture">
                <pic:pic>
                  <pic:nvPicPr>
                    <pic:cNvPr id="0" name="fig4_peers.png"/>
                    <pic:cNvPicPr/>
                  </pic:nvPicPr>
                  <pic:blipFill>
                    <a:blip r:embed="rId12"/>
                    <a:stretch>
                      <a:fillRect/>
                    </a:stretch>
                  </pic:blipFill>
                  <pic:spPr>
                    <a:xfrm>
                      <a:off x="0" y="0"/>
                      <a:ext cx="5832000" cy="2468495"/>
                    </a:xfrm>
                    <a:prstGeom prst="rect"/>
                  </pic:spPr>
                </pic:pic>
              </a:graphicData>
            </a:graphic>
          </wp:inline>
        </w:drawing>
      </w:r>
    </w:p>
    <w:p>
      <w:pPr>
        <w:spacing w:after="240"/>
        <w:jc w:val="center"/>
      </w:pPr>
      <w:r>
        <w:rPr>
          <w:b w:val="0"/>
          <w:i/>
          <w:color w:val="5B6570"/>
          <w:sz w:val="16"/>
        </w:rPr>
        <w:t>Figure 4 — the same betas with their standard errors. Palm Hills sits mid-sector: more market-sensitive than most of its peers, materially less so than the largest.</w:t>
      </w:r>
    </w:p>
    <w:p>
      <w:pPr>
        <w:spacing w:after="140"/>
      </w:pPr>
      <w:r>
        <w:rPr>
          <w:b w:val="0"/>
          <w:i w:val="0"/>
          <w:color w:val="1A1D21"/>
          <w:sz w:val="20"/>
        </w:rPr>
        <w:t>Earnings and book multiples for the peer group are not published in this study. No peer discloses financial statements this study can obtain on a consistent basis, and a multiple built from inconsistent inputs would carry more authority than it deserves. What is measured here is measured the same way for every name.</w:t>
      </w:r>
    </w:p>
    <w:p>
      <w:pPr>
        <w:pStyle w:val="Heading2"/>
      </w:pPr>
      <w:r>
        <w:t>B.2  Risk register</w:t>
      </w:r>
    </w:p>
    <w:tbl>
      <w:tblPr>
        <w:tblStyle w:val="TableGrid"/>
        <w:tblW w:type="auto" w:w="0"/>
        <w:jc w:val="center"/>
        <w:tblLayout w:type="fixed"/>
        <w:tblLook w:firstColumn="1" w:firstRow="1" w:lastColumn="0" w:lastRow="0" w:noHBand="0" w:noVBand="1" w:val="04A0"/>
        <w:tblLayout w:type="fixed"/>
      </w:tblPr>
      <w:tblGrid>
        <w:gridCol w:w="1349"/>
        <w:gridCol w:w="1145"/>
        <w:gridCol w:w="6691"/>
      </w:tblGrid>
      <w:tr>
        <w:trPr>
          <w:tblHeader w:val="true"/>
        </w:trPr>
        <w:tc>
          <w:tcPr>
            <w:tcW w:type="dxa" w:w="1349"/>
          </w:tcPr>
          <w:p>
            <w:r/>
            <w:r>
              <w:rPr>
                <w:b/>
                <w:color w:val="5B6570"/>
                <w:sz w:val="17"/>
              </w:rPr>
              <w:t>Risk</w:t>
            </w:r>
          </w:p>
        </w:tc>
        <w:tc>
          <w:tcPr>
            <w:tcW w:type="dxa" w:w="1145"/>
          </w:tcPr>
          <w:p>
            <w:r/>
            <w:r>
              <w:rPr>
                <w:b/>
                <w:color w:val="5B6570"/>
                <w:sz w:val="17"/>
              </w:rPr>
              <w:t>How it would show up</w:t>
            </w:r>
          </w:p>
        </w:tc>
        <w:tc>
          <w:tcPr>
            <w:tcW w:type="dxa" w:w="6690"/>
          </w:tcPr>
          <w:p>
            <w:r/>
            <w:r>
              <w:rPr>
                <w:b/>
                <w:color w:val="5B6570"/>
                <w:sz w:val="17"/>
              </w:rPr>
              <w:t>Where it is priced</w:t>
            </w:r>
          </w:p>
        </w:tc>
      </w:tr>
      <w:tr>
        <w:trPr>
          <w:cantSplit/>
        </w:trPr>
        <w:tc>
          <w:tcPr>
            <w:tcW w:type="dxa" w:w="1349"/>
          </w:tcPr>
          <w:p>
            <w:r/>
            <w:r>
              <w:rPr>
                <w:color w:val="1A1D21"/>
                <w:sz w:val="17"/>
              </w:rPr>
              <w:t>Cash conversion stays at the 2023 and 2025 rate</w:t>
            </w:r>
          </w:p>
        </w:tc>
        <w:tc>
          <w:tcPr>
            <w:tcW w:type="dxa" w:w="1145"/>
          </w:tcPr>
          <w:p>
            <w:r/>
            <w:r>
              <w:rPr>
                <w:color w:val="1A1D21"/>
                <w:sz w:val="17"/>
              </w:rPr>
              <w:t>operating cash near 3.9% of revenue</w:t>
            </w:r>
          </w:p>
        </w:tc>
        <w:tc>
          <w:tcPr>
            <w:tcW w:type="dxa" w:w="6690"/>
          </w:tcPr>
          <w:p>
            <w:r/>
            <w:r>
              <w:rPr>
                <w:color w:val="1A1D21"/>
                <w:sz w:val="17"/>
              </w:rPr>
              <w:t>bottom row of the table in section 1.9</w:t>
            </w:r>
          </w:p>
        </w:tc>
      </w:tr>
      <w:tr>
        <w:trPr>
          <w:cantSplit/>
        </w:trPr>
        <w:tc>
          <w:tcPr>
            <w:tcW w:type="dxa" w:w="1349"/>
          </w:tcPr>
          <w:p>
            <w:r/>
            <w:r>
              <w:rPr>
                <w:color w:val="1A1D21"/>
                <w:sz w:val="17"/>
              </w:rPr>
              <w:t>Egyptian rates stay high or rise</w:t>
            </w:r>
          </w:p>
        </w:tc>
        <w:tc>
          <w:tcPr>
            <w:tcW w:type="dxa" w:w="1145"/>
          </w:tcPr>
          <w:p>
            <w:r/>
            <w:r>
              <w:rPr>
                <w:color w:val="1A1D21"/>
                <w:sz w:val="17"/>
              </w:rPr>
              <w:t>cost of capital above 24.96%</w:t>
            </w:r>
          </w:p>
        </w:tc>
        <w:tc>
          <w:tcPr>
            <w:tcW w:type="dxa" w:w="6690"/>
          </w:tcPr>
          <w:p>
            <w:r/>
            <w:r>
              <w:rPr>
                <w:color w:val="1A1D21"/>
                <w:sz w:val="17"/>
              </w:rPr>
              <w:t>right-hand columns of the same table</w:t>
            </w:r>
          </w:p>
        </w:tc>
      </w:tr>
      <w:tr>
        <w:trPr>
          <w:cantSplit/>
        </w:trPr>
        <w:tc>
          <w:tcPr>
            <w:tcW w:type="dxa" w:w="1349"/>
          </w:tcPr>
          <w:p>
            <w:r/>
            <w:r>
              <w:rPr>
                <w:color w:val="1A1D21"/>
                <w:sz w:val="17"/>
              </w:rPr>
              <w:t>Order book converts more slowly than delivery history implies</w:t>
            </w:r>
          </w:p>
        </w:tc>
        <w:tc>
          <w:tcPr>
            <w:tcW w:type="dxa" w:w="1145"/>
          </w:tcPr>
          <w:p>
            <w:r/>
            <w:r>
              <w:rPr>
                <w:color w:val="1A1D21"/>
                <w:sz w:val="17"/>
              </w:rPr>
              <w:t>the order book keeps rising as a multiple of revenue</w:t>
            </w:r>
          </w:p>
        </w:tc>
        <w:tc>
          <w:tcPr>
            <w:tcW w:type="dxa" w:w="6690"/>
          </w:tcPr>
          <w:p>
            <w:r/>
            <w:r>
              <w:rPr>
                <w:color w:val="1A1D21"/>
                <w:sz w:val="17"/>
              </w:rPr>
              <w:t>section 7, fourth bullet</w:t>
            </w:r>
          </w:p>
        </w:tc>
      </w:tr>
      <w:tr>
        <w:trPr>
          <w:cantSplit/>
        </w:trPr>
        <w:tc>
          <w:tcPr>
            <w:tcW w:type="dxa" w:w="1349"/>
          </w:tcPr>
          <w:p>
            <w:r/>
            <w:r>
              <w:rPr>
                <w:color w:val="1A1D21"/>
                <w:sz w:val="17"/>
              </w:rPr>
              <w:t>Currency devaluation</w:t>
            </w:r>
          </w:p>
        </w:tc>
        <w:tc>
          <w:tcPr>
            <w:tcW w:type="dxa" w:w="1145"/>
          </w:tcPr>
          <w:p>
            <w:r/>
            <w:r>
              <w:rPr>
                <w:color w:val="1A1D21"/>
                <w:sz w:val="17"/>
              </w:rPr>
              <w:t>nominal figures rise, real value does not</w:t>
            </w:r>
          </w:p>
        </w:tc>
        <w:tc>
          <w:tcPr>
            <w:tcW w:type="dxa" w:w="6690"/>
          </w:tcPr>
          <w:p>
            <w:r/>
            <w:r>
              <w:rPr>
                <w:color w:val="1A1D21"/>
                <w:sz w:val="17"/>
              </w:rPr>
              <w:t>the whole study is in nominal pounds; a devaluation moves the denominator too</w:t>
            </w:r>
          </w:p>
        </w:tc>
      </w:tr>
      <w:tr>
        <w:trPr>
          <w:cantSplit/>
        </w:trPr>
        <w:tc>
          <w:tcPr>
            <w:tcW w:type="dxa" w:w="1349"/>
          </w:tcPr>
          <w:p>
            <w:r/>
            <w:r>
              <w:rPr>
                <w:color w:val="1A1D21"/>
                <w:sz w:val="17"/>
              </w:rPr>
              <w:t>Cost of debt above the assumed spread</w:t>
            </w:r>
          </w:p>
        </w:tc>
        <w:tc>
          <w:tcPr>
            <w:tcW w:type="dxa" w:w="1145"/>
          </w:tcPr>
          <w:p>
            <w:r/>
            <w:r>
              <w:rPr>
                <w:color w:val="1A1D21"/>
                <w:sz w:val="17"/>
              </w:rPr>
              <w:t>finance cost above the modelled level</w:t>
            </w:r>
          </w:p>
        </w:tc>
        <w:tc>
          <w:tcPr>
            <w:tcW w:type="dxa" w:w="6690"/>
          </w:tcPr>
          <w:p>
            <w:r/>
            <w:r>
              <w:rPr>
                <w:color w:val="1A1D21"/>
                <w:sz w:val="17"/>
              </w:rPr>
              <w:t>section 1.8; the spread is the one unsourced input</w:t>
            </w:r>
          </w:p>
        </w:tc>
      </w:tr>
    </w:tbl>
    <w:p>
      <w:pPr>
        <w:spacing w:after="80"/>
      </w:pPr>
      <w:r>
        <w:rPr>
          <w:b w:val="0"/>
          <w:i w:val="0"/>
          <w:color w:val="1A1D21"/>
          <w:sz w:val="8"/>
        </w:rPr>
      </w:r>
    </w:p>
    <w:p>
      <w:pPr>
        <w:pStyle w:val="Heading2"/>
      </w:pPr>
      <w:r>
        <w:t>B.3  Research register</w:t>
      </w:r>
    </w:p>
    <w:p>
      <w:pPr>
        <w:spacing w:after="140"/>
      </w:pPr>
      <w:r>
        <w:rPr>
          <w:b w:val="0"/>
          <w:i w:val="0"/>
          <w:color w:val="1A1D21"/>
          <w:sz w:val="20"/>
        </w:rPr>
        <w:t>This study is built on 138 sourced inputs. Every reported historical comes from the company's own audited statements or its own results releases. The only third-party inputs are the exogenous macroeconomic series and the market price. A full register, with the value, source, date and provenance of each input, is published in the accompanying bibliography.</w:t>
      </w:r>
    </w:p>
    <w:p>
      <w:r>
        <w:br w:type="page"/>
      </w:r>
    </w:p>
    <w:p>
      <w:pPr>
        <w:pStyle w:val="Heading1"/>
      </w:pPr>
      <w:r>
        <w:t>Appendix C  Expert panel</w:t>
      </w:r>
    </w:p>
    <w:p>
      <w:pPr>
        <w:spacing w:after="140"/>
      </w:pPr>
      <w:r>
        <w:rPr>
          <w:b w:val="0"/>
          <w:i/>
          <w:color w:val="5B6570"/>
          <w:sz w:val="20"/>
        </w:rPr>
        <w:t>Three readings of the same company by three different methods. The experts are identified by method, not by name.</w:t>
      </w:r>
    </w:p>
    <w:p>
      <w:pPr>
        <w:pStyle w:val="Heading2"/>
      </w:pPr>
      <w:r>
        <w:t>C.1  Expert 1 — the discounted cash-flow analyst</w:t>
      </w:r>
    </w:p>
    <w:p>
      <w:pPr>
        <w:spacing w:after="140"/>
      </w:pPr>
      <w:r>
        <w:rPr>
          <w:b w:val="0"/>
          <w:i w:val="0"/>
          <w:color w:val="1A1D21"/>
          <w:sz w:val="20"/>
        </w:rPr>
        <w:t>Worldview: a company is worth the cash it will hand its owners, discounted at what that cash costs. When it works: businesses with stable conversion of profit to cash. When it fails: businesses where that conversion is the unknown — which is exactly this one.</w:t>
      </w:r>
    </w:p>
    <w:tbl>
      <w:tblPr>
        <w:tblStyle w:val="TableGrid"/>
        <w:tblW w:type="auto" w:w="0"/>
        <w:jc w:val="center"/>
        <w:tblLayout w:type="fixed"/>
        <w:tblLook w:firstColumn="1" w:firstRow="1" w:lastColumn="0" w:lastRow="0" w:noHBand="0" w:noVBand="1" w:val="04A0"/>
        <w:tblLayout w:type="fixed"/>
      </w:tblPr>
      <w:tblGrid>
        <w:gridCol w:w="6940"/>
        <w:gridCol w:w="998"/>
      </w:tblGrid>
      <w:tr>
        <w:trPr>
          <w:tblHeader w:val="true"/>
        </w:trPr>
        <w:tc>
          <w:tcPr>
            <w:tcW w:type="dxa" w:w="6939"/>
          </w:tcPr>
          <w:p>
            <w:r/>
            <w:r>
              <w:rPr>
                <w:b/>
                <w:color w:val="5B6570"/>
                <w:sz w:val="17"/>
              </w:rPr>
              <w:t>Working</w:t>
            </w:r>
          </w:p>
        </w:tc>
        <w:tc>
          <w:tcPr>
            <w:tcW w:type="dxa" w:w="998"/>
          </w:tcPr>
          <w:p>
            <w:r/>
            <w:r>
              <w:rPr>
                <w:b/>
                <w:color w:val="5B6570"/>
                <w:sz w:val="17"/>
              </w:rPr>
              <w:t>EGP mn</w:t>
            </w:r>
          </w:p>
        </w:tc>
      </w:tr>
      <w:tr>
        <w:trPr>
          <w:cantSplit/>
        </w:trPr>
        <w:tc>
          <w:tcPr>
            <w:tcW w:type="dxa" w:w="6939"/>
          </w:tcPr>
          <w:p>
            <w:r/>
            <w:r>
              <w:rPr>
                <w:color w:val="1A1D21"/>
                <w:sz w:val="17"/>
              </w:rPr>
              <w:t>Present value of five explicit years</w:t>
            </w:r>
          </w:p>
        </w:tc>
        <w:tc>
          <w:tcPr>
            <w:tcW w:type="dxa" w:w="998"/>
          </w:tcPr>
          <w:p>
            <w:pPr>
              <w:jc w:val="right"/>
            </w:pPr>
            <w:r/>
            <w:r>
              <w:rPr>
                <w:color w:val="1A1D21"/>
                <w:sz w:val="17"/>
              </w:rPr>
              <w:t>52,310</w:t>
            </w:r>
          </w:p>
        </w:tc>
      </w:tr>
      <w:tr>
        <w:trPr>
          <w:cantSplit/>
        </w:trPr>
        <w:tc>
          <w:tcPr>
            <w:tcW w:type="dxa" w:w="6939"/>
          </w:tcPr>
          <w:p>
            <w:r/>
            <w:r>
              <w:rPr>
                <w:color w:val="1A1D21"/>
                <w:sz w:val="17"/>
              </w:rPr>
              <w:t>Present value beyond year five</w:t>
            </w:r>
          </w:p>
        </w:tc>
        <w:tc>
          <w:tcPr>
            <w:tcW w:type="dxa" w:w="998"/>
          </w:tcPr>
          <w:p>
            <w:pPr>
              <w:jc w:val="right"/>
            </w:pPr>
            <w:r/>
            <w:r>
              <w:rPr>
                <w:color w:val="1A1D21"/>
                <w:sz w:val="17"/>
              </w:rPr>
              <w:t>29,567</w:t>
            </w:r>
          </w:p>
        </w:tc>
      </w:tr>
      <w:tr>
        <w:trPr>
          <w:cantSplit/>
        </w:trPr>
        <w:tc>
          <w:tcPr>
            <w:tcW w:type="dxa" w:w="6939"/>
          </w:tcPr>
          <w:p>
            <w:r/>
            <w:r>
              <w:rPr>
                <w:color w:val="1A1D21"/>
                <w:sz w:val="17"/>
              </w:rPr>
              <w:t>Enterprise value</w:t>
            </w:r>
          </w:p>
        </w:tc>
        <w:tc>
          <w:tcPr>
            <w:tcW w:type="dxa" w:w="998"/>
          </w:tcPr>
          <w:p>
            <w:pPr>
              <w:jc w:val="right"/>
            </w:pPr>
            <w:r/>
            <w:r>
              <w:rPr>
                <w:color w:val="1A1D21"/>
                <w:sz w:val="17"/>
              </w:rPr>
              <w:t>81,877</w:t>
            </w:r>
          </w:p>
        </w:tc>
      </w:tr>
      <w:tr>
        <w:trPr>
          <w:cantSplit/>
        </w:trPr>
        <w:tc>
          <w:tcPr>
            <w:tcW w:type="dxa" w:w="6939"/>
          </w:tcPr>
          <w:p>
            <w:r/>
            <w:r>
              <w:rPr>
                <w:color w:val="1A1D21"/>
                <w:sz w:val="17"/>
              </w:rPr>
              <w:t>less net debt, 31 March 2026</w:t>
            </w:r>
          </w:p>
        </w:tc>
        <w:tc>
          <w:tcPr>
            <w:tcW w:type="dxa" w:w="998"/>
          </w:tcPr>
          <w:p>
            <w:pPr>
              <w:jc w:val="right"/>
            </w:pPr>
            <w:r/>
            <w:r>
              <w:rPr>
                <w:color w:val="1A1D21"/>
                <w:sz w:val="17"/>
              </w:rPr>
              <w:t>(23,245)</w:t>
            </w:r>
          </w:p>
        </w:tc>
      </w:tr>
      <w:tr>
        <w:trPr>
          <w:cantSplit/>
        </w:trPr>
        <w:tc>
          <w:tcPr>
            <w:tcW w:type="dxa" w:w="6939"/>
          </w:tcPr>
          <w:p>
            <w:r/>
            <w:r>
              <w:rPr>
                <w:color w:val="1A1D21"/>
                <w:sz w:val="17"/>
              </w:rPr>
              <w:t>plus associates and investment property, 31 March 2026</w:t>
            </w:r>
          </w:p>
        </w:tc>
        <w:tc>
          <w:tcPr>
            <w:tcW w:type="dxa" w:w="998"/>
          </w:tcPr>
          <w:p>
            <w:pPr>
              <w:jc w:val="right"/>
            </w:pPr>
            <w:r/>
            <w:r>
              <w:rPr>
                <w:color w:val="1A1D21"/>
                <w:sz w:val="17"/>
              </w:rPr>
              <w:t>4,859</w:t>
            </w:r>
          </w:p>
        </w:tc>
      </w:tr>
      <w:tr>
        <w:trPr>
          <w:cantSplit/>
        </w:trPr>
        <w:tc>
          <w:tcPr>
            <w:tcW w:type="dxa" w:w="6939"/>
          </w:tcPr>
          <w:p>
            <w:r/>
            <w:r>
              <w:rPr>
                <w:color w:val="1A1D21"/>
                <w:sz w:val="17"/>
              </w:rPr>
              <w:t>Equity before minority interests</w:t>
            </w:r>
          </w:p>
        </w:tc>
        <w:tc>
          <w:tcPr>
            <w:tcW w:type="dxa" w:w="998"/>
          </w:tcPr>
          <w:p>
            <w:pPr>
              <w:jc w:val="right"/>
            </w:pPr>
            <w:r/>
            <w:r>
              <w:rPr>
                <w:color w:val="1A1D21"/>
                <w:sz w:val="17"/>
              </w:rPr>
              <w:t>63,491</w:t>
            </w:r>
          </w:p>
        </w:tc>
      </w:tr>
      <w:tr>
        <w:trPr>
          <w:cantSplit/>
        </w:trPr>
        <w:tc>
          <w:tcPr>
            <w:tcW w:type="dxa" w:w="6939"/>
          </w:tcPr>
          <w:p>
            <w:r/>
            <w:r>
              <w:rPr>
                <w:color w:val="1A1D21"/>
                <w:sz w:val="17"/>
              </w:rPr>
              <w:t>less minority interests at their share of value</w:t>
            </w:r>
          </w:p>
        </w:tc>
        <w:tc>
          <w:tcPr>
            <w:tcW w:type="dxa" w:w="998"/>
          </w:tcPr>
          <w:p>
            <w:pPr>
              <w:jc w:val="right"/>
            </w:pPr>
            <w:r/>
            <w:r>
              <w:rPr>
                <w:color w:val="1A1D21"/>
                <w:sz w:val="17"/>
              </w:rPr>
              <w:t>(3,769)</w:t>
            </w:r>
          </w:p>
        </w:tc>
      </w:tr>
      <w:tr>
        <w:trPr>
          <w:cantSplit/>
        </w:trPr>
        <w:tc>
          <w:tcPr>
            <w:tcW w:type="dxa" w:w="6939"/>
          </w:tcPr>
          <w:p>
            <w:r/>
            <w:r>
              <w:rPr>
                <w:color w:val="1A1D21"/>
                <w:sz w:val="17"/>
              </w:rPr>
              <w:t>Equity attributable to shareholders</w:t>
            </w:r>
          </w:p>
        </w:tc>
        <w:tc>
          <w:tcPr>
            <w:tcW w:type="dxa" w:w="998"/>
          </w:tcPr>
          <w:p>
            <w:pPr>
              <w:jc w:val="right"/>
            </w:pPr>
            <w:r/>
            <w:r>
              <w:rPr>
                <w:color w:val="1A1D21"/>
                <w:sz w:val="17"/>
              </w:rPr>
              <w:t>59,722</w:t>
            </w:r>
          </w:p>
        </w:tc>
      </w:tr>
      <w:tr>
        <w:trPr>
          <w:cantSplit/>
        </w:trPr>
        <w:tc>
          <w:tcPr>
            <w:tcW w:type="dxa" w:w="6939"/>
          </w:tcPr>
          <w:p>
            <w:r/>
            <w:r>
              <w:rPr>
                <w:color w:val="1A1D21"/>
                <w:sz w:val="17"/>
              </w:rPr>
              <w:t>Per share (EGP)</w:t>
            </w:r>
          </w:p>
        </w:tc>
        <w:tc>
          <w:tcPr>
            <w:tcW w:type="dxa" w:w="998"/>
          </w:tcPr>
          <w:p>
            <w:pPr>
              <w:jc w:val="right"/>
            </w:pPr>
            <w:r/>
            <w:r>
              <w:rPr>
                <w:color w:val="1A1D21"/>
                <w:sz w:val="17"/>
              </w:rPr>
              <w:t>20.88</w:t>
            </w:r>
          </w:p>
        </w:tc>
      </w:tr>
    </w:tbl>
    <w:p>
      <w:pPr>
        <w:spacing w:after="80"/>
      </w:pPr>
      <w:r>
        <w:rPr>
          <w:b w:val="0"/>
          <w:i w:val="0"/>
          <w:color w:val="1A1D21"/>
          <w:sz w:val="8"/>
        </w:rPr>
      </w:r>
    </w:p>
    <w:p>
      <w:pPr>
        <w:spacing w:after="140"/>
      </w:pPr>
      <w:r>
        <w:rPr>
          <w:b w:val="0"/>
          <w:i w:val="0"/>
          <w:color w:val="1A1D21"/>
          <w:sz w:val="20"/>
        </w:rPr>
        <w:t>Named sensitivity: a move in cash conversion from 3.9% to 17.9% takes the answer from EGP 7.58 to EGP 46.39. Falsifier stated in advance: if the 2026 and 2027 cash-flow statements show conversion inside two percentage points of 8.7%, this reading is right and the range should collapse toward its centre; if they straddle the full observed spread again, the method should be abandoned for this company.</w:t>
      </w:r>
    </w:p>
    <w:p>
      <w:pPr>
        <w:pStyle w:val="Heading2"/>
      </w:pPr>
      <w:r>
        <w:t>C.2  Expert 2 — the asset-based analyst</w:t>
      </w:r>
    </w:p>
    <w:p>
      <w:pPr>
        <w:spacing w:after="140"/>
      </w:pPr>
      <w:r>
        <w:rPr>
          <w:b w:val="0"/>
          <w:i w:val="0"/>
          <w:color w:val="1A1D21"/>
          <w:sz w:val="20"/>
        </w:rPr>
        <w:t>Worldview: a developer is a pile of land, work in progress and receivables, less what it owes. Earnings are an accident of timing. When it works: asset-heavy businesses in distress or in wind-down. When it fails: going concerns whose value is in execution.</w:t>
      </w:r>
    </w:p>
    <w:tbl>
      <w:tblPr>
        <w:tblStyle w:val="TableGrid"/>
        <w:tblW w:type="auto" w:w="0"/>
        <w:jc w:val="center"/>
        <w:tblLayout w:type="fixed"/>
        <w:tblLook w:firstColumn="1" w:firstRow="1" w:lastColumn="0" w:lastRow="0" w:noHBand="0" w:noVBand="1" w:val="04A0"/>
        <w:tblLayout w:type="fixed"/>
      </w:tblPr>
      <w:tblGrid>
        <w:gridCol w:w="6770"/>
        <w:gridCol w:w="1168"/>
      </w:tblGrid>
      <w:tr>
        <w:trPr>
          <w:tblHeader w:val="true"/>
        </w:trPr>
        <w:tc>
          <w:tcPr>
            <w:tcW w:type="dxa" w:w="6769"/>
          </w:tcPr>
          <w:p>
            <w:r/>
            <w:r>
              <w:rPr>
                <w:b/>
                <w:color w:val="5B6570"/>
                <w:sz w:val="17"/>
              </w:rPr>
              <w:t>Working, on the reviewed balance sheet of 31 March 2026</w:t>
            </w:r>
          </w:p>
        </w:tc>
        <w:tc>
          <w:tcPr>
            <w:tcW w:type="dxa" w:w="1168"/>
          </w:tcPr>
          <w:p>
            <w:r/>
            <w:r>
              <w:rPr>
                <w:b/>
                <w:color w:val="5B6570"/>
                <w:sz w:val="17"/>
              </w:rPr>
              <w:t>EGP mn</w:t>
            </w:r>
          </w:p>
        </w:tc>
      </w:tr>
      <w:tr>
        <w:trPr>
          <w:cantSplit/>
        </w:trPr>
        <w:tc>
          <w:tcPr>
            <w:tcW w:type="dxa" w:w="6769"/>
          </w:tcPr>
          <w:p>
            <w:r/>
            <w:r>
              <w:rPr>
                <w:color w:val="1A1D21"/>
                <w:sz w:val="17"/>
              </w:rPr>
              <w:t>Work in progress</w:t>
            </w:r>
          </w:p>
        </w:tc>
        <w:tc>
          <w:tcPr>
            <w:tcW w:type="dxa" w:w="1168"/>
          </w:tcPr>
          <w:p>
            <w:pPr>
              <w:jc w:val="right"/>
            </w:pPr>
            <w:r/>
            <w:r>
              <w:rPr>
                <w:color w:val="1A1D21"/>
                <w:sz w:val="17"/>
              </w:rPr>
              <w:t>21,338</w:t>
            </w:r>
          </w:p>
        </w:tc>
      </w:tr>
      <w:tr>
        <w:trPr>
          <w:cantSplit/>
        </w:trPr>
        <w:tc>
          <w:tcPr>
            <w:tcW w:type="dxa" w:w="6769"/>
          </w:tcPr>
          <w:p>
            <w:r/>
            <w:r>
              <w:rPr>
                <w:color w:val="1A1D21"/>
                <w:sz w:val="17"/>
              </w:rPr>
              <w:t>Receivables, trade and instalment</w:t>
            </w:r>
          </w:p>
        </w:tc>
        <w:tc>
          <w:tcPr>
            <w:tcW w:type="dxa" w:w="1168"/>
          </w:tcPr>
          <w:p>
            <w:pPr>
              <w:jc w:val="right"/>
            </w:pPr>
            <w:r/>
            <w:r>
              <w:rPr>
                <w:color w:val="1A1D21"/>
                <w:sz w:val="17"/>
              </w:rPr>
              <w:t>101,457</w:t>
            </w:r>
          </w:p>
        </w:tc>
      </w:tr>
      <w:tr>
        <w:trPr>
          <w:cantSplit/>
        </w:trPr>
        <w:tc>
          <w:tcPr>
            <w:tcW w:type="dxa" w:w="6769"/>
          </w:tcPr>
          <w:p>
            <w:r/>
            <w:r>
              <w:rPr>
                <w:color w:val="1A1D21"/>
                <w:sz w:val="17"/>
              </w:rPr>
              <w:t>Cash</w:t>
            </w:r>
          </w:p>
        </w:tc>
        <w:tc>
          <w:tcPr>
            <w:tcW w:type="dxa" w:w="1168"/>
          </w:tcPr>
          <w:p>
            <w:pPr>
              <w:jc w:val="right"/>
            </w:pPr>
            <w:r/>
            <w:r>
              <w:rPr>
                <w:color w:val="1A1D21"/>
                <w:sz w:val="17"/>
              </w:rPr>
              <w:t>9,125</w:t>
            </w:r>
          </w:p>
        </w:tc>
      </w:tr>
      <w:tr>
        <w:trPr>
          <w:cantSplit/>
        </w:trPr>
        <w:tc>
          <w:tcPr>
            <w:tcW w:type="dxa" w:w="6769"/>
          </w:tcPr>
          <w:p>
            <w:r/>
            <w:r>
              <w:rPr>
                <w:color w:val="1A1D21"/>
                <w:sz w:val="17"/>
              </w:rPr>
              <w:t>Investments and investment property</w:t>
            </w:r>
          </w:p>
        </w:tc>
        <w:tc>
          <w:tcPr>
            <w:tcW w:type="dxa" w:w="1168"/>
          </w:tcPr>
          <w:p>
            <w:pPr>
              <w:jc w:val="right"/>
            </w:pPr>
            <w:r/>
            <w:r>
              <w:rPr>
                <w:color w:val="1A1D21"/>
                <w:sz w:val="17"/>
              </w:rPr>
              <w:t>4,859</w:t>
            </w:r>
          </w:p>
        </w:tc>
      </w:tr>
      <w:tr>
        <w:trPr>
          <w:cantSplit/>
        </w:trPr>
        <w:tc>
          <w:tcPr>
            <w:tcW w:type="dxa" w:w="6769"/>
          </w:tcPr>
          <w:p>
            <w:r/>
            <w:r>
              <w:rPr>
                <w:color w:val="1A1D21"/>
                <w:sz w:val="17"/>
              </w:rPr>
              <w:t>less advances from customers</w:t>
            </w:r>
          </w:p>
        </w:tc>
        <w:tc>
          <w:tcPr>
            <w:tcW w:type="dxa" w:w="1168"/>
          </w:tcPr>
          <w:p>
            <w:pPr>
              <w:jc w:val="right"/>
            </w:pPr>
            <w:r/>
            <w:r>
              <w:rPr>
                <w:color w:val="1A1D21"/>
                <w:sz w:val="17"/>
              </w:rPr>
              <w:t>(72,868)</w:t>
            </w:r>
          </w:p>
        </w:tc>
      </w:tr>
      <w:tr>
        <w:trPr>
          <w:cantSplit/>
        </w:trPr>
        <w:tc>
          <w:tcPr>
            <w:tcW w:type="dxa" w:w="6769"/>
          </w:tcPr>
          <w:p>
            <w:r/>
            <w:r>
              <w:rPr>
                <w:color w:val="1A1D21"/>
                <w:sz w:val="17"/>
              </w:rPr>
              <w:t>less gross borrowings</w:t>
            </w:r>
          </w:p>
        </w:tc>
        <w:tc>
          <w:tcPr>
            <w:tcW w:type="dxa" w:w="1168"/>
          </w:tcPr>
          <w:p>
            <w:pPr>
              <w:jc w:val="right"/>
            </w:pPr>
            <w:r/>
            <w:r>
              <w:rPr>
                <w:color w:val="1A1D21"/>
                <w:sz w:val="17"/>
              </w:rPr>
              <w:t>(32,369.8)</w:t>
            </w:r>
          </w:p>
        </w:tc>
      </w:tr>
      <w:tr>
        <w:trPr>
          <w:cantSplit/>
        </w:trPr>
        <w:tc>
          <w:tcPr>
            <w:tcW w:type="dxa" w:w="6769"/>
          </w:tcPr>
          <w:p>
            <w:r/>
            <w:r>
              <w:rPr>
                <w:color w:val="1A1D21"/>
                <w:sz w:val="17"/>
              </w:rPr>
              <w:t>less other liabilities, balancing</w:t>
            </w:r>
          </w:p>
        </w:tc>
        <w:tc>
          <w:tcPr>
            <w:tcW w:type="dxa" w:w="1168"/>
          </w:tcPr>
          <w:p>
            <w:pPr>
              <w:jc w:val="right"/>
            </w:pPr>
            <w:r/>
            <w:r>
              <w:rPr>
                <w:color w:val="1A1D21"/>
                <w:sz w:val="17"/>
              </w:rPr>
              <w:t>(52,352.9)</w:t>
            </w:r>
          </w:p>
        </w:tc>
      </w:tr>
      <w:tr>
        <w:trPr>
          <w:cantSplit/>
        </w:trPr>
        <w:tc>
          <w:tcPr>
            <w:tcW w:type="dxa" w:w="6769"/>
          </w:tcPr>
          <w:p>
            <w:r/>
            <w:r>
              <w:rPr>
                <w:color w:val="1A1D21"/>
                <w:sz w:val="17"/>
              </w:rPr>
              <w:t>Shareholders' funds as reported</w:t>
            </w:r>
          </w:p>
        </w:tc>
        <w:tc>
          <w:tcPr>
            <w:tcW w:type="dxa" w:w="1168"/>
          </w:tcPr>
          <w:p>
            <w:pPr>
              <w:jc w:val="right"/>
            </w:pPr>
            <w:r/>
            <w:r>
              <w:rPr>
                <w:color w:val="1A1D21"/>
                <w:sz w:val="17"/>
              </w:rPr>
              <w:t>20,388</w:t>
            </w:r>
          </w:p>
        </w:tc>
      </w:tr>
      <w:tr>
        <w:trPr>
          <w:cantSplit/>
        </w:trPr>
        <w:tc>
          <w:tcPr>
            <w:tcW w:type="dxa" w:w="6769"/>
          </w:tcPr>
          <w:p>
            <w:r/>
            <w:r>
              <w:rPr>
                <w:color w:val="1A1D21"/>
                <w:sz w:val="17"/>
              </w:rPr>
              <w:t xml:space="preserve">  of which attributable to the parent</w:t>
            </w:r>
          </w:p>
        </w:tc>
        <w:tc>
          <w:tcPr>
            <w:tcW w:type="dxa" w:w="1168"/>
          </w:tcPr>
          <w:p>
            <w:pPr>
              <w:jc w:val="right"/>
            </w:pPr>
            <w:r/>
            <w:r>
              <w:rPr>
                <w:color w:val="1A1D21"/>
                <w:sz w:val="17"/>
              </w:rPr>
              <w:t>18,956</w:t>
            </w:r>
          </w:p>
        </w:tc>
      </w:tr>
      <w:tr>
        <w:trPr>
          <w:cantSplit/>
        </w:trPr>
        <w:tc>
          <w:tcPr>
            <w:tcW w:type="dxa" w:w="6769"/>
          </w:tcPr>
          <w:p>
            <w:r/>
            <w:r>
              <w:rPr>
                <w:color w:val="1A1D21"/>
                <w:sz w:val="17"/>
              </w:rPr>
              <w:t>Per share, parent (EGP)</w:t>
            </w:r>
          </w:p>
        </w:tc>
        <w:tc>
          <w:tcPr>
            <w:tcW w:type="dxa" w:w="1168"/>
          </w:tcPr>
          <w:p>
            <w:pPr>
              <w:jc w:val="right"/>
            </w:pPr>
            <w:r/>
            <w:r>
              <w:rPr>
                <w:color w:val="1A1D21"/>
                <w:sz w:val="17"/>
              </w:rPr>
              <w:t>6.63</w:t>
            </w:r>
          </w:p>
        </w:tc>
      </w:tr>
    </w:tbl>
    <w:p>
      <w:pPr>
        <w:spacing w:after="80"/>
      </w:pPr>
      <w:r>
        <w:rPr>
          <w:b w:val="0"/>
          <w:i w:val="0"/>
          <w:color w:val="1A1D21"/>
          <w:sz w:val="8"/>
        </w:rPr>
      </w:r>
    </w:p>
    <w:p>
      <w:pPr>
        <w:spacing w:after="140"/>
      </w:pPr>
      <w:r>
        <w:rPr>
          <w:b w:val="0"/>
          <w:i w:val="0"/>
          <w:color w:val="1A1D21"/>
          <w:sz w:val="20"/>
        </w:rPr>
        <w:t>Named sensitivity: the instalment receivable book is carried at face value less unwinding discount. A 10 per cent write-down of that book would remove roughly EGP 9,923 million, about EGP 3.47 a share. Falsifier: evidence of material cancellations or receivable impairment would confirm this reading and invalidate the cash-flow one.</w:t>
      </w:r>
    </w:p>
    <w:p>
      <w:pPr>
        <w:pStyle w:val="Heading2"/>
      </w:pPr>
      <w:r>
        <w:t>C.3  Expert 3 — the market-implied analyst</w:t>
      </w:r>
    </w:p>
    <w:p>
      <w:pPr>
        <w:spacing w:after="140"/>
      </w:pPr>
      <w:r>
        <w:rPr>
          <w:b w:val="0"/>
          <w:i w:val="0"/>
          <w:color w:val="1A1D21"/>
          <w:sz w:val="20"/>
        </w:rPr>
        <w:t>Worldview: do not value the company; ask what the price already assumes, then judge whether that assumption is reasonable. When it works: where a single variable dominates. When it fails: where the market is wrong about many things at once.</w:t>
      </w:r>
    </w:p>
    <w:p>
      <w:pPr>
        <w:spacing w:after="140"/>
      </w:pPr>
      <w:r>
        <w:rPr>
          <w:b w:val="0"/>
          <w:i w:val="0"/>
          <w:color w:val="1A1D21"/>
          <w:sz w:val="20"/>
        </w:rPr>
        <w:t>Working: holding the cost of capital at 24.96% and every other input at the audited 2025 base, the closing price of EGP 14.40 implies cash conversion of 6.4%. The company achieved 4.3% in 2023, 17.9% in 2024 and 3.9% in 2025. Named sensitivity: at a 25.83% cost of capital the implied rate would be lower still. Falsifier: if 2026 conversion prints above 6.4%, the price was too low.</w:t>
      </w:r>
    </w:p>
    <w:p>
      <w:pPr>
        <w:pStyle w:val="Heading2"/>
      </w:pPr>
      <w:r>
        <w:t>C.4  Cross-examination</w:t>
      </w:r>
    </w:p>
    <w:p>
      <w:pPr>
        <w:pStyle w:val="ListBullet"/>
        <w:spacing w:after="60"/>
      </w:pPr>
      <w:r>
        <w:rPr>
          <w:color w:val="1A1D21"/>
          <w:sz w:val="20"/>
        </w:rPr>
        <w:t>Expert 2 to Expert 1: your terminal value is 36% of your answer, so you are mostly valuing years you cannot see. CONCEDED — it is why no single figure is published.</w:t>
      </w:r>
    </w:p>
    <w:p>
      <w:pPr>
        <w:pStyle w:val="ListBullet"/>
        <w:spacing w:after="60"/>
      </w:pPr>
      <w:r>
        <w:rPr>
          <w:color w:val="1A1D21"/>
          <w:sz w:val="20"/>
        </w:rPr>
        <w:t>Expert 1 to Expert 2: book value ignores that the company sells at roughly 41.2% gross margin, so its inventory is worth more than cost. CONCEDED — book is a floor, not a value.</w:t>
      </w:r>
    </w:p>
    <w:p>
      <w:pPr>
        <w:pStyle w:val="ListBullet"/>
        <w:spacing w:after="60"/>
      </w:pPr>
      <w:r>
        <w:rPr>
          <w:color w:val="1A1D21"/>
          <w:sz w:val="20"/>
        </w:rPr>
        <w:t>Expert 3 to both: you disagree by a factor of four and the market sits between you, so neither of you is adding information. REJECTED — the range is the information; a false point estimate would not be.</w:t>
      </w:r>
    </w:p>
    <w:p>
      <w:pPr>
        <w:pStyle w:val="ListBullet"/>
        <w:spacing w:after="60"/>
      </w:pPr>
      <w:r>
        <w:rPr>
          <w:color w:val="1A1D21"/>
          <w:sz w:val="20"/>
        </w:rPr>
        <w:t>Expert 2 to Expert 3: the price also reflects Egyptian equity risk appetite, not just this company's conversion rate. CONCEDED — the implied figure is a single-variable solve and is labelled as one.</w:t>
      </w:r>
    </w:p>
    <w:p>
      <w:pPr>
        <w:pStyle w:val="Heading2"/>
      </w:pPr>
      <w:r>
        <w:t>C.5  The three in one room</w:t>
      </w:r>
    </w:p>
    <w:p>
      <w:pPr>
        <w:spacing w:after="140"/>
      </w:pPr>
      <w:r>
        <w:rPr>
          <w:b w:val="0"/>
          <w:i w:val="0"/>
          <w:color w:val="1A1D21"/>
          <w:sz w:val="20"/>
        </w:rPr>
        <w:t>They agree on the facts and disagree on one number. All three accept the audited 2025 base, the 24.96% cost of capital and the order book. Expert 1 needs a conversion rate to produce an answer; Expert 2 refuses to forecast one and prices the assets instead; Expert 3 asks what rate is already in the price. The room's joint position is that Palm Hills is worth between EGP 7.58 and EGP 46.39, that the price of EGP 14.40 sits in the lower half of that range, and that the width is a property of the disclosure rather than of the analysis.</w:t>
      </w:r>
    </w:p>
    <w:p>
      <w:pPr>
        <w:pStyle w:val="Heading2"/>
      </w:pPr>
      <w:r>
        <w:t>C.6  Reading the divergence</w:t>
      </w:r>
    </w:p>
    <w:tbl>
      <w:tblPr>
        <w:tblStyle w:val="TableGrid"/>
        <w:tblW w:type="auto" w:w="0"/>
        <w:jc w:val="center"/>
        <w:tblLayout w:type="fixed"/>
        <w:tblLook w:firstColumn="1" w:firstRow="1" w:lastColumn="0" w:lastRow="0" w:noHBand="0" w:noVBand="1" w:val="04A0"/>
        <w:tblLayout w:type="fixed"/>
      </w:tblPr>
      <w:tblGrid>
        <w:gridCol w:w="1378"/>
        <w:gridCol w:w="1145"/>
        <w:gridCol w:w="1043"/>
        <w:gridCol w:w="941"/>
        <w:gridCol w:w="4791"/>
      </w:tblGrid>
      <w:tr>
        <w:trPr>
          <w:tblHeader w:val="true"/>
        </w:trPr>
        <w:tc>
          <w:tcPr>
            <w:tcW w:type="dxa" w:w="1378"/>
          </w:tcPr>
          <w:p>
            <w:r/>
            <w:r>
              <w:rPr>
                <w:b/>
                <w:color w:val="5B6570"/>
                <w:sz w:val="17"/>
              </w:rPr>
              <w:t>Assumption</w:t>
            </w:r>
          </w:p>
        </w:tc>
        <w:tc>
          <w:tcPr>
            <w:tcW w:type="dxa" w:w="1145"/>
          </w:tcPr>
          <w:p>
            <w:r/>
            <w:r>
              <w:rPr>
                <w:b/>
                <w:color w:val="5B6570"/>
                <w:sz w:val="17"/>
              </w:rPr>
              <w:t>Expert 1</w:t>
            </w:r>
          </w:p>
        </w:tc>
        <w:tc>
          <w:tcPr>
            <w:tcW w:type="dxa" w:w="1043"/>
          </w:tcPr>
          <w:p>
            <w:r/>
            <w:r>
              <w:rPr>
                <w:b/>
                <w:color w:val="5B6570"/>
                <w:sz w:val="17"/>
              </w:rPr>
              <w:t>Expert 2</w:t>
            </w:r>
          </w:p>
        </w:tc>
        <w:tc>
          <w:tcPr>
            <w:tcW w:type="dxa" w:w="941"/>
          </w:tcPr>
          <w:p>
            <w:r/>
            <w:r>
              <w:rPr>
                <w:b/>
                <w:color w:val="5B6570"/>
                <w:sz w:val="17"/>
              </w:rPr>
              <w:t>Expert 3</w:t>
            </w:r>
          </w:p>
        </w:tc>
        <w:tc>
          <w:tcPr>
            <w:tcW w:type="dxa" w:w="4791"/>
          </w:tcPr>
          <w:p>
            <w:r/>
            <w:r>
              <w:rPr>
                <w:b/>
                <w:color w:val="5B6570"/>
                <w:sz w:val="17"/>
              </w:rPr>
              <w:t>Drives the gap?</w:t>
            </w:r>
          </w:p>
        </w:tc>
      </w:tr>
      <w:tr>
        <w:trPr>
          <w:cantSplit/>
        </w:trPr>
        <w:tc>
          <w:tcPr>
            <w:tcW w:type="dxa" w:w="1378"/>
          </w:tcPr>
          <w:p>
            <w:r/>
            <w:r>
              <w:rPr>
                <w:color w:val="1A1D21"/>
                <w:sz w:val="17"/>
              </w:rPr>
              <w:t>Cash conversion</w:t>
            </w:r>
          </w:p>
        </w:tc>
        <w:tc>
          <w:tcPr>
            <w:tcW w:type="dxa" w:w="1145"/>
          </w:tcPr>
          <w:p>
            <w:r/>
            <w:r>
              <w:rPr>
                <w:color w:val="1A1D21"/>
                <w:sz w:val="17"/>
              </w:rPr>
              <w:t>3.9% to 17.9%</w:t>
            </w:r>
          </w:p>
        </w:tc>
        <w:tc>
          <w:tcPr>
            <w:tcW w:type="dxa" w:w="1043"/>
          </w:tcPr>
          <w:p>
            <w:r/>
            <w:r>
              <w:rPr>
                <w:color w:val="1A1D21"/>
                <w:sz w:val="17"/>
              </w:rPr>
              <w:t>not forecast</w:t>
            </w:r>
          </w:p>
        </w:tc>
        <w:tc>
          <w:tcPr>
            <w:tcW w:type="dxa" w:w="941"/>
          </w:tcPr>
          <w:p>
            <w:r/>
            <w:r>
              <w:rPr>
                <w:color w:val="1A1D21"/>
                <w:sz w:val="17"/>
              </w:rPr>
              <w:t>6.4% implied</w:t>
            </w:r>
          </w:p>
        </w:tc>
        <w:tc>
          <w:tcPr>
            <w:tcW w:type="dxa" w:w="4791"/>
          </w:tcPr>
          <w:p>
            <w:r/>
            <w:r>
              <w:rPr>
                <w:color w:val="1A1D21"/>
                <w:sz w:val="17"/>
              </w:rPr>
              <w:t>YES — this is the whole gap</w:t>
            </w:r>
          </w:p>
        </w:tc>
      </w:tr>
      <w:tr>
        <w:trPr>
          <w:cantSplit/>
        </w:trPr>
        <w:tc>
          <w:tcPr>
            <w:tcW w:type="dxa" w:w="1378"/>
          </w:tcPr>
          <w:p>
            <w:r/>
            <w:r>
              <w:rPr>
                <w:color w:val="1A1D21"/>
                <w:sz w:val="17"/>
              </w:rPr>
              <w:t>Cost of capital</w:t>
            </w:r>
          </w:p>
        </w:tc>
        <w:tc>
          <w:tcPr>
            <w:tcW w:type="dxa" w:w="1145"/>
          </w:tcPr>
          <w:p>
            <w:pPr>
              <w:jc w:val="right"/>
            </w:pPr>
            <w:r/>
            <w:r>
              <w:rPr>
                <w:color w:val="1A1D21"/>
                <w:sz w:val="17"/>
              </w:rPr>
              <w:t>24.96%</w:t>
            </w:r>
          </w:p>
        </w:tc>
        <w:tc>
          <w:tcPr>
            <w:tcW w:type="dxa" w:w="1043"/>
          </w:tcPr>
          <w:p>
            <w:r/>
            <w:r>
              <w:rPr>
                <w:color w:val="1A1D21"/>
                <w:sz w:val="17"/>
              </w:rPr>
              <w:t>not used</w:t>
            </w:r>
          </w:p>
        </w:tc>
        <w:tc>
          <w:tcPr>
            <w:tcW w:type="dxa" w:w="941"/>
          </w:tcPr>
          <w:p>
            <w:pPr>
              <w:jc w:val="right"/>
            </w:pPr>
            <w:r/>
            <w:r>
              <w:rPr>
                <w:color w:val="1A1D21"/>
                <w:sz w:val="17"/>
              </w:rPr>
              <w:t>24.96%</w:t>
            </w:r>
          </w:p>
        </w:tc>
        <w:tc>
          <w:tcPr>
            <w:tcW w:type="dxa" w:w="4791"/>
          </w:tcPr>
          <w:p>
            <w:r/>
            <w:r>
              <w:rPr>
                <w:color w:val="1A1D21"/>
                <w:sz w:val="17"/>
              </w:rPr>
              <w:t>no — shared</w:t>
            </w:r>
          </w:p>
        </w:tc>
      </w:tr>
      <w:tr>
        <w:trPr>
          <w:cantSplit/>
        </w:trPr>
        <w:tc>
          <w:tcPr>
            <w:tcW w:type="dxa" w:w="1378"/>
          </w:tcPr>
          <w:p>
            <w:r/>
            <w:r>
              <w:rPr>
                <w:color w:val="1A1D21"/>
                <w:sz w:val="17"/>
              </w:rPr>
              <w:t>Receivable book</w:t>
            </w:r>
          </w:p>
        </w:tc>
        <w:tc>
          <w:tcPr>
            <w:tcW w:type="dxa" w:w="1145"/>
          </w:tcPr>
          <w:p>
            <w:r/>
            <w:r>
              <w:rPr>
                <w:color w:val="1A1D21"/>
                <w:sz w:val="17"/>
              </w:rPr>
              <w:t>collected on schedule</w:t>
            </w:r>
          </w:p>
        </w:tc>
        <w:tc>
          <w:tcPr>
            <w:tcW w:type="dxa" w:w="1043"/>
          </w:tcPr>
          <w:p>
            <w:r/>
            <w:r>
              <w:rPr>
                <w:color w:val="1A1D21"/>
                <w:sz w:val="17"/>
              </w:rPr>
              <w:t>at carrying value</w:t>
            </w:r>
          </w:p>
        </w:tc>
        <w:tc>
          <w:tcPr>
            <w:tcW w:type="dxa" w:w="941"/>
          </w:tcPr>
          <w:p>
            <w:r/>
            <w:r>
              <w:rPr>
                <w:color w:val="1A1D21"/>
                <w:sz w:val="17"/>
              </w:rPr>
              <w:t>as the market judges</w:t>
            </w:r>
          </w:p>
        </w:tc>
        <w:tc>
          <w:tcPr>
            <w:tcW w:type="dxa" w:w="4791"/>
          </w:tcPr>
          <w:p>
            <w:r/>
            <w:r>
              <w:rPr>
                <w:color w:val="1A1D21"/>
                <w:sz w:val="17"/>
              </w:rPr>
              <w:t>partly</w:t>
            </w:r>
          </w:p>
        </w:tc>
      </w:tr>
      <w:tr>
        <w:trPr>
          <w:cantSplit/>
        </w:trPr>
        <w:tc>
          <w:tcPr>
            <w:tcW w:type="dxa" w:w="1378"/>
          </w:tcPr>
          <w:p>
            <w:r/>
            <w:r>
              <w:rPr>
                <w:color w:val="1A1D21"/>
                <w:sz w:val="17"/>
              </w:rPr>
              <w:t>Terminal value</w:t>
            </w:r>
          </w:p>
        </w:tc>
        <w:tc>
          <w:tcPr>
            <w:tcW w:type="dxa" w:w="1145"/>
          </w:tcPr>
          <w:p>
            <w:r/>
            <w:r>
              <w:rPr>
                <w:color w:val="1A1D21"/>
                <w:sz w:val="17"/>
              </w:rPr>
              <w:t>36% of the answer</w:t>
            </w:r>
          </w:p>
        </w:tc>
        <w:tc>
          <w:tcPr>
            <w:tcW w:type="dxa" w:w="1043"/>
          </w:tcPr>
          <w:p>
            <w:r/>
            <w:r>
              <w:rPr>
                <w:color w:val="1A1D21"/>
                <w:sz w:val="17"/>
              </w:rPr>
              <w:t>none</w:t>
            </w:r>
          </w:p>
        </w:tc>
        <w:tc>
          <w:tcPr>
            <w:tcW w:type="dxa" w:w="941"/>
          </w:tcPr>
          <w:p>
            <w:r/>
            <w:r>
              <w:rPr>
                <w:color w:val="1A1D21"/>
                <w:sz w:val="17"/>
              </w:rPr>
              <w:t>none</w:t>
            </w:r>
          </w:p>
        </w:tc>
        <w:tc>
          <w:tcPr>
            <w:tcW w:type="dxa" w:w="4791"/>
          </w:tcPr>
          <w:p>
            <w:r/>
            <w:r>
              <w:rPr>
                <w:color w:val="1A1D21"/>
                <w:sz w:val="17"/>
              </w:rPr>
              <w:t>yes for Expert 1 alone</w:t>
            </w:r>
          </w:p>
        </w:tc>
      </w:tr>
    </w:tbl>
    <w:p>
      <w:pPr>
        <w:spacing w:after="200"/>
      </w:pPr>
      <w:r>
        <w:rPr>
          <w:b w:val="0"/>
          <w:i/>
          <w:color w:val="5B6570"/>
          <w:sz w:val="16"/>
        </w:rPr>
        <w:t>One assumption explains almost all of the divergence, which is the clearest evidence that section 1.7 has identified the right crux.</w:t>
      </w:r>
    </w:p>
    <w:p>
      <w:r>
        <w:br w:type="page"/>
      </w:r>
    </w:p>
    <w:p>
      <w:pPr>
        <w:pStyle w:val="Heading1"/>
      </w:pPr>
      <w:r>
        <w:t>About this series</w:t>
      </w:r>
    </w:p>
    <w:p>
      <w:pPr>
        <w:spacing w:after="140"/>
      </w:pPr>
      <w:r>
        <w:rPr>
          <w:b w:val="0"/>
          <w:i w:val="0"/>
          <w:color w:val="1A1D21"/>
          <w:sz w:val="20"/>
        </w:rPr>
        <w:t>These studies value a company from its own disclosures, publish the reasoning alongside the answer, and record what the method has historically got right and wrong on that company. They carry no rating and no price target. Where a company does not disclose something the valuation needs, the study says so and prices the consequence rather than filling the gap.</w:t>
      </w:r>
    </w:p>
    <w:p>
      <w:pPr>
        <w:pStyle w:val="Heading1"/>
      </w:pPr>
      <w:r>
        <w:t>Disclosure and disclaimer</w:t>
      </w:r>
    </w:p>
    <w:p>
      <w:pPr>
        <w:spacing w:after="140"/>
      </w:pPr>
      <w:r>
        <w:rPr>
          <w:b w:val="0"/>
          <w:i w:val="0"/>
          <w:color w:val="5B6570"/>
          <w:sz w:val="17"/>
        </w:rPr>
        <w:t>This document is for information and education. It is not investment advice, not a recommendation, and not an offer or solicitation to buy or sell any security. It contains no rating and no price target. Figures are drawn from the company's published financial statements and results releases and from the named third-party sources; they may contain errors and are not warranted. Valuations are estimates that depend on assumptions stated in the text, and small changes in those assumptions produce large changes in the result, as section 1.9 shows directly. Past price behaviour does not predict future returns. Readers must reach their own conclusions and should take professional advice before acting. Edition of 17 September 2026; information set ends at the company's first-quarter 2026 results.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