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13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Condensed interim consolidated financial statements for the six months ended 30 June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11 August 2026</w:t>
            </w:r>
          </w:p>
        </w:tc>
        <w:tc>
          <w:tcPr>
            <w:tcW w:type="dxa" w:w="4680"/>
          </w:tcPr>
          <w:p>
            <w:pPr>
              <w:spacing w:after="20"/>
            </w:pPr>
            <w:r>
              <w:rPr>
                <w:color w:val="1C3A36"/>
                <w:sz w:val="16"/>
              </w:rPr>
              <w:t>H1-2026 income statement with H1-2025 comparatives; balance sheet at 30 June 2026; three-segment revenue and segment profit note — the disclosure the three segment margin paths and the FY2026 segment growth rates are RE-ANCHORED on; minority share of profit and of equity; the employees' statutory share for the half; capital expenditure for the half. The most recent disclosure this study reads</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 — the rate reading is that date and is NOT the valuation anchor</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This desk's own daily price library for the Egyptian Exchange — the same series every other name in this book is struck on</w:t>
            </w:r>
          </w:p>
        </w:tc>
        <w:tc>
          <w:tcPr>
            <w:tcW w:type="dxa" w:w="1368"/>
          </w:tcPr>
          <w:p>
            <w:pPr>
              <w:spacing w:after="20"/>
            </w:pPr>
            <w:r>
              <w:rPr>
                <w:color w:val="1C3A36"/>
                <w:sz w:val="16"/>
              </w:rPr>
              <w:t>read to 2026-09-03, the valuation date</w:t>
            </w:r>
          </w:p>
        </w:tc>
        <w:tc>
          <w:tcPr>
            <w:tcW w:type="dxa" w:w="4680"/>
          </w:tcPr>
          <w:p>
            <w:pPr>
              <w:spacing w:after="20"/>
            </w:pPr>
            <w:r>
              <w:rPr>
                <w:color w:val="1C3A36"/>
                <w:sz w:val="16"/>
              </w:rPr>
              <w:t>The anchor price, the volatility estimate, the moving-average structure, the beta regression and the price distributions. A study-local copy of this series was read in earlier editions and is withdrawn: it ended 5 August 2026 at 105.20 against a library close of 130.00 on the valuation date</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172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eps reported</w:t>
            </w:r>
          </w:p>
        </w:tc>
        <w:tc>
          <w:tcPr>
            <w:tcW w:type="dxa" w:w="1368"/>
          </w:tcPr>
          <w:p>
            <w:pPr>
              <w:spacing w:after="20"/>
            </w:pPr>
            <w:r>
              <w:rPr>
                <w:color w:val="1C3A36"/>
                <w:sz w:val="15"/>
              </w:rPr>
              <w:t>FY23: 4.26; FY24: 7.22; FY25: 7.13</w:t>
            </w:r>
          </w:p>
        </w:tc>
        <w:tc>
          <w:tcPr>
            <w:tcW w:type="dxa" w:w="1123"/>
          </w:tcPr>
          <w:p>
            <w:pPr>
              <w:spacing w:after="20"/>
            </w:pPr>
            <w:r>
              <w:rPr>
                <w:color w:val="1C3A36"/>
                <w:sz w:val="15"/>
              </w:rPr>
              <w:t>2026-03-15</w:t>
            </w:r>
          </w:p>
        </w:tc>
        <w:tc>
          <w:tcPr>
            <w:tcW w:type="dxa" w:w="5933"/>
          </w:tcPr>
          <w:p>
            <w:pPr>
              <w:spacing w:after="20"/>
            </w:pPr>
            <w:r>
              <w:rPr>
                <w:color w:val="1C3A36"/>
                <w:sz w:val="15"/>
              </w:rPr>
              <w:t>Basic earnings per share as reported on the face of each year's audited consolidated statement of profit or loss (FY2023 diluted 4.25, FY2024 diluted 7.21, FY2025 basic and diluted both 7.13). Struck AFTER the Egyptian employee and board profit-share appropriation and over the weighted-average share count, so it is lower than attributable profit over shares outstanding; both bases are published</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electra sold 2025 mn</w:t>
            </w:r>
          </w:p>
        </w:tc>
        <w:tc>
          <w:tcPr>
            <w:tcW w:type="dxa" w:w="1368"/>
          </w:tcPr>
          <w:p>
            <w:pPr>
              <w:spacing w:after="20"/>
            </w:pPr>
            <w:r>
              <w:rPr>
                <w:color w:val="1C3A36"/>
                <w:sz w:val="15"/>
              </w:rPr>
              <w:t>32.1</w:t>
            </w:r>
          </w:p>
        </w:tc>
        <w:tc>
          <w:tcPr>
            <w:tcW w:type="dxa" w:w="1123"/>
          </w:tcPr>
          <w:p>
            <w:pPr>
              <w:spacing w:after="20"/>
            </w:pPr>
            <w:r>
              <w:rPr>
                <w:color w:val="1C3A36"/>
                <w:sz w:val="15"/>
              </w:rPr>
              <w:t>2026-03-01</w:t>
            </w:r>
          </w:p>
        </w:tc>
        <w:tc>
          <w:tcPr>
            <w:tcW w:type="dxa" w:w="5933"/>
          </w:tcPr>
          <w:p>
            <w:pPr>
              <w:spacing w:after="20"/>
            </w:pPr>
            <w:r>
              <w:rPr>
                <w:color w:val="1C3A36"/>
                <w:sz w:val="15"/>
              </w:rPr>
              <w:t>Shares sold into the market by Electra Investment Holding over calendar 2025, from the FY2025 shareholder table's movement against the FY2024 stake</w:t>
            </w:r>
          </w:p>
        </w:tc>
      </w:tr>
      <w:tr>
        <w:tc>
          <w:tcPr>
            <w:tcW w:type="dxa" w:w="1656"/>
          </w:tcPr>
          <w:p>
            <w:pPr>
              <w:spacing w:after="20"/>
            </w:pPr>
            <w:r>
              <w:rPr>
                <w:color w:val="1C3A36"/>
                <w:sz w:val="15"/>
              </w:rPr>
              <w:t>nd release fy25</w:t>
            </w:r>
          </w:p>
        </w:tc>
        <w:tc>
          <w:tcPr>
            <w:tcW w:type="dxa" w:w="1368"/>
          </w:tcPr>
          <w:p>
            <w:pPr>
              <w:spacing w:after="20"/>
            </w:pPr>
            <w:r>
              <w:rPr>
                <w:color w:val="1C3A36"/>
                <w:sz w:val="15"/>
              </w:rPr>
              <w:t>19,789.0</w:t>
            </w:r>
          </w:p>
        </w:tc>
        <w:tc>
          <w:tcPr>
            <w:tcW w:type="dxa" w:w="1123"/>
          </w:tcPr>
          <w:p>
            <w:pPr>
              <w:spacing w:after="20"/>
            </w:pPr>
            <w:r>
              <w:rPr>
                <w:color w:val="1C3A36"/>
                <w:sz w:val="15"/>
              </w:rPr>
              <w:t>2026-03-01</w:t>
            </w:r>
          </w:p>
        </w:tc>
        <w:tc>
          <w:tcPr>
            <w:tcW w:type="dxa" w:w="5933"/>
          </w:tcPr>
          <w:p>
            <w:pPr>
              <w:spacing w:after="20"/>
            </w:pPr>
            <w:r>
              <w:rPr>
                <w:color w:val="1C3A36"/>
                <w:sz w:val="15"/>
              </w:rPr>
              <w:t>Net debt as the company states it in its own FY2025 earnings release, on a narrower basis than the audited balance sheet (the definitional gap against this study's computed figure is disclosed rather than resolved)</w:t>
            </w:r>
          </w:p>
        </w:tc>
      </w:tr>
      <w:tr>
        <w:tc>
          <w:tcPr>
            <w:tcW w:type="dxa" w:w="1656"/>
          </w:tcPr>
          <w:p>
            <w:pPr>
              <w:spacing w:after="20"/>
            </w:pPr>
            <w:r>
              <w:rPr>
                <w:color w:val="1C3A36"/>
                <w:sz w:val="15"/>
              </w:rPr>
              <w:t>assoc bv fy23</w:t>
            </w:r>
          </w:p>
        </w:tc>
        <w:tc>
          <w:tcPr>
            <w:tcW w:type="dxa" w:w="1368"/>
          </w:tcPr>
          <w:p>
            <w:pPr>
              <w:spacing w:after="20"/>
            </w:pPr>
            <w:r>
              <w:rPr>
                <w:color w:val="1C3A36"/>
                <w:sz w:val="15"/>
              </w:rPr>
              <w:t>3,802.8</w:t>
            </w:r>
          </w:p>
        </w:tc>
        <w:tc>
          <w:tcPr>
            <w:tcW w:type="dxa" w:w="1123"/>
          </w:tcPr>
          <w:p>
            <w:pPr>
              <w:spacing w:after="20"/>
            </w:pPr>
            <w:r>
              <w:rPr>
                <w:color w:val="1C3A36"/>
                <w:sz w:val="15"/>
              </w:rPr>
              <w:t>2024-03-13</w:t>
            </w:r>
          </w:p>
        </w:tc>
        <w:tc>
          <w:tcPr>
            <w:tcW w:type="dxa" w:w="5933"/>
          </w:tcPr>
          <w:p>
            <w:pPr>
              <w:spacing w:after="20"/>
            </w:pPr>
            <w:r>
              <w:rPr>
                <w:color w:val="1C3A36"/>
                <w:sz w:val="15"/>
              </w:rPr>
              <w:t>Investments in associates and joint ventures, carrying value at 31 December 2023, FY2023 audited consolidated balance sheet</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 external span</w:t>
            </w:r>
          </w:p>
        </w:tc>
        <w:tc>
          <w:tcPr>
            <w:tcW w:type="dxa" w:w="1368"/>
          </w:tcPr>
          <w:p>
            <w:pPr>
              <w:spacing w:after="20"/>
            </w:pPr>
            <w:r>
              <w:rPr>
                <w:color w:val="1C3A36"/>
                <w:sz w:val="15"/>
              </w:rPr>
              <w:t>0.223, 0.23</w:t>
            </w:r>
          </w:p>
        </w:tc>
        <w:tc>
          <w:tcPr>
            <w:tcW w:type="dxa" w:w="1123"/>
          </w:tcPr>
          <w:p>
            <w:pPr>
              <w:spacing w:after="20"/>
            </w:pPr>
            <w:r>
              <w:rPr>
                <w:color w:val="1C3A36"/>
                <w:sz w:val="15"/>
              </w:rPr>
              <w:t>2026-08-05</w:t>
            </w:r>
          </w:p>
        </w:tc>
        <w:tc>
          <w:tcPr>
            <w:tcW w:type="dxa" w:w="5933"/>
          </w:tcPr>
          <w:p>
            <w:pPr>
              <w:spacing w:after="20"/>
            </w:pPr>
            <w:r>
              <w:rPr>
                <w:color w:val="1C3A36"/>
                <w:sz w:val="15"/>
              </w:rPr>
              <w:t>The span of external readings of Egypt's 10-year local-currency yield around the study's own reading. They disagree with each other, which is why the rate is carried in the sensitivity rather than presented as precise</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30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cash yield</w:t>
            </w:r>
          </w:p>
        </w:tc>
        <w:tc>
          <w:tcPr>
            <w:tcW w:type="dxa" w:w="1368"/>
          </w:tcPr>
          <w:p>
            <w:pPr>
              <w:spacing w:after="20"/>
            </w:pPr>
            <w:r>
              <w:rPr>
                <w:color w:val="1C3A36"/>
                <w:sz w:val="15"/>
              </w:rPr>
              <w:t>0.1</w:t>
            </w:r>
          </w:p>
        </w:tc>
        <w:tc>
          <w:tcPr>
            <w:tcW w:type="dxa" w:w="1123"/>
          </w:tcPr>
          <w:p>
            <w:pPr>
              <w:spacing w:after="20"/>
            </w:pPr>
            <w:r>
              <w:rPr>
                <w:color w:val="1C3A36"/>
                <w:sz w:val="15"/>
              </w:rPr>
              <w:t>2026-08-05</w:t>
            </w:r>
          </w:p>
        </w:tc>
        <w:tc>
          <w:tcPr>
            <w:tcW w:type="dxa" w:w="5933"/>
          </w:tcPr>
          <w:p>
            <w:pPr>
              <w:spacing w:after="20"/>
            </w:pPr>
            <w:r>
              <w:rPr>
                <w:color w:val="1C3A36"/>
                <w:sz w:val="15"/>
              </w:rPr>
              <w:t>Yield assumed on the cash balance inside the net-finance construction. A house judgement, registered because the document described it in prose while three separate formulas carried it as a literal</w:t>
            </w:r>
          </w:p>
        </w:tc>
      </w:tr>
      <w:tr>
        <w:tc>
          <w:tcPr>
            <w:tcW w:type="dxa" w:w="1656"/>
          </w:tcPr>
          <w:p>
            <w:pPr>
              <w:spacing w:after="20"/>
            </w:pPr>
            <w:r>
              <w:rPr>
                <w:color w:val="1C3A36"/>
                <w:sz w:val="15"/>
              </w:rPr>
              <w:t>w egp implied fy24</w:t>
            </w:r>
          </w:p>
        </w:tc>
        <w:tc>
          <w:tcPr>
            <w:tcW w:type="dxa" w:w="1368"/>
          </w:tcPr>
          <w:p>
            <w:pPr>
              <w:spacing w:after="20"/>
            </w:pPr>
            <w:r>
              <w:rPr>
                <w:color w:val="1C3A36"/>
                <w:sz w:val="15"/>
              </w:rPr>
              <w:t>0.44</w:t>
            </w:r>
          </w:p>
        </w:tc>
        <w:tc>
          <w:tcPr>
            <w:tcW w:type="dxa" w:w="1123"/>
          </w:tcPr>
          <w:p>
            <w:pPr>
              <w:spacing w:after="20"/>
            </w:pPr>
            <w:r>
              <w:rPr>
                <w:color w:val="1C3A36"/>
                <w:sz w:val="15"/>
              </w:rPr>
              <w:t>2025-03-13</w:t>
            </w:r>
          </w:p>
        </w:tc>
        <w:tc>
          <w:tcPr>
            <w:tcW w:type="dxa" w:w="5933"/>
          </w:tcPr>
          <w:p>
            <w:pPr>
              <w:spacing w:after="20"/>
            </w:pPr>
            <w:r>
              <w:rPr>
                <w:color w:val="1C3A36"/>
                <w:sz w:val="15"/>
              </w:rPr>
              <w:t>Pound share of the financial-debt book implied by the FY2024 back-solve of the effective rate against the three-way EGP/USD/EUR disclosure, on the same construction the FY2025 figure uses. INFERRED, not disclosed: the note gives average rates by currency bucket and never the bucket sizes</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depreciation path</w:t>
            </w:r>
          </w:p>
        </w:tc>
        <w:tc>
          <w:tcPr>
            <w:tcW w:type="dxa" w:w="1368"/>
          </w:tcPr>
          <w:p>
            <w:pPr>
              <w:spacing w:after="20"/>
            </w:pPr>
            <w:r>
              <w:rPr>
                <w:color w:val="1C3A36"/>
                <w:sz w:val="15"/>
              </w:rPr>
              <w:t>0.1317, 0.0927, 0.0634, 0.0488, 0.0439</w:t>
            </w:r>
          </w:p>
        </w:tc>
        <w:tc>
          <w:tcPr>
            <w:tcW w:type="dxa" w:w="1123"/>
          </w:tcPr>
          <w:p>
            <w:pPr>
              <w:spacing w:after="20"/>
            </w:pPr>
            <w:r>
              <w:rPr>
                <w:color w:val="1C3A36"/>
                <w:sz w:val="15"/>
              </w:rPr>
              <w:t>2026-09-13</w:t>
            </w:r>
          </w:p>
        </w:tc>
        <w:tc>
          <w:tcPr>
            <w:tcW w:type="dxa" w:w="5933"/>
          </w:tcPr>
          <w:p>
            <w:pPr>
              <w:spacing w:after="20"/>
            </w:pPr>
            <w:r>
              <w:rPr>
                <w:color w:val="1C3A36"/>
                <w:sz w:val="15"/>
              </w:rPr>
              <w:t>Relative-purchasing-power depreciation ladder for the pound, READ from the house Egyptian macro path: its own inflation ladder against long-run US inflation, never set by hand. This is the shape the currency path below is built on; the base is the company's own realised FY2025 average rate</w:t>
            </w:r>
          </w:p>
        </w:tc>
      </w:tr>
      <w:tr>
        <w:tc>
          <w:tcPr>
            <w:tcW w:type="dxa" w:w="1656"/>
          </w:tcPr>
          <w:p>
            <w:pPr>
              <w:spacing w:after="20"/>
            </w:pPr>
            <w:r>
              <w:rPr>
                <w:color w:val="1C3A36"/>
                <w:sz w:val="15"/>
              </w:rPr>
              <w:t>fx path</w:t>
            </w:r>
          </w:p>
        </w:tc>
        <w:tc>
          <w:tcPr>
            <w:tcW w:type="dxa" w:w="1368"/>
          </w:tcPr>
          <w:p>
            <w:pPr>
              <w:spacing w:after="20"/>
            </w:pPr>
            <w:r>
              <w:rPr>
                <w:color w:val="1C3A36"/>
                <w:sz w:val="15"/>
              </w:rPr>
              <w:t>53.9711, 58.9733, 62.7131, 65.7723, 68.6598</w:t>
            </w:r>
          </w:p>
        </w:tc>
        <w:tc>
          <w:tcPr>
            <w:tcW w:type="dxa" w:w="1123"/>
          </w:tcPr>
          <w:p>
            <w:pPr>
              <w:spacing w:after="20"/>
            </w:pPr>
            <w:r>
              <w:rPr>
                <w:color w:val="1C3A36"/>
                <w:sz w:val="15"/>
              </w:rPr>
              <w:t>2026-09-13</w:t>
            </w:r>
          </w:p>
        </w:tc>
        <w:tc>
          <w:tcPr>
            <w:tcW w:type="dxa" w:w="5933"/>
          </w:tcPr>
          <w:p>
            <w:pPr>
              <w:spacing w:after="20"/>
            </w:pPr>
            <w:r>
              <w:rPr>
                <w:color w:val="1C3A36"/>
                <w:sz w:val="15"/>
              </w:rPr>
              <w:t>USD/EGP average-rate path, DERIVED and never set by hand: the company's own realised FY2025 average rate of 47.69 from the audited statements, escalated on the house Egyptian macro path's relative-purchasing-power depreciation ladder, registered as its own input beside this one, which is derived in turn from that path's own inflation against long-run US inflation. Used as a genuine driver of the Cables segment's copper-linked revenue and of the currency-of-discounting alternative, not a translation convenience. THE RETIRED PATH ran a flat ~6% a year: deliberately below covered-interest parity on the view that disinflation would close most of the differential, but escalating costs at the full house inflation beside it made the pound appreciate in real terms for ever with nothing saying so. The parity case is still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RETIRED — not used, and consumed by no formula in this study. The segment build carries margins directly rather than escalating a unit price, so this array drives nothing. Retained for comparison with the editions that did read it, and declared to the macro-coherence record as retired rather than removed</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2026-09-13</w:t>
            </w:r>
          </w:p>
        </w:tc>
        <w:tc>
          <w:tcPr>
            <w:tcW w:type="dxa" w:w="5933"/>
          </w:tcPr>
          <w:p>
            <w:pPr>
              <w:spacing w:after="20"/>
            </w:pPr>
            <w:r>
              <w:rPr>
                <w:color w:val="1C3A36"/>
                <w:sz w:val="15"/>
              </w:rPr>
              <w:t>Days from the DCF's construction date (31 Dec 2025, the audited balance-sheet date the bridge is built on) to the anchor date of 3 Sep 2026 — the study's valuation date, and the close the fair value is measured against. All lens values are rolled to the anchor at the cost of equity, net of the FY2025 dividend paid inside the window, which is itself carried forward to the anchor rather than deducted at its ex-date. Added after external critique correctly noted the model was dated 31-Dec-2025 while the comparison price was seven months later, breaching the study's own one-date rule by that much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applied forward and discounted back two years. A HOUSE JUDGEMENT WITH NO PEER ANCHOR: no peer multiple is computed anywhere in this study, and an earlier edition's claim that 'peers trade 8-11x' was unsupported by any calculation and is withdrawn here as it already was in the study. The figure is struck below this company's own trailing multiple as an Egyptian-market discount for sovereign, currency-convertibility and disclosure risk; the SIZE of that discount is a judgement and is not derived. Sensitised 5.5x to 8.0x, and the lens is a cross-check that is never weighted into the central</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H1-2026 interim 30.85%, WHICH IMPLIES 35.15% IN THE SECOND QUARTER ALONE. EVERY EARLIER EDITION OF THIS ENTRY STOPPED AT THE QUARTER AND CALLED IT 'the Q1-2026 uptick', while the half that contains it — registered in this same file as h1_26_tax and flagged there as material — ran five points higher again. Quoting the quarter as the current observation when the half it sits inside is known and worse is not a neutral choice of period. The adopted 24.5% is therefore BELOW every one of the last four observations and the study prices the alternative explicitly rather than leaving the reader to find it.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a New Zealand data-centre grid connection, commissioning late 2027. AN EXTERNAL REVIEW DISPUTES THE COUNTERPARTY NAMES an earlier edition of this entry carried, and this study cannot settle the attribution from a primary source it has read, so they are withdrawn rather than defended. What the driver rests on is unaffected: the announcing party is the listed issuer, which is the only entity fact this input needs, and the order names a mechanism rather than adding a revenue line.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that level is ESCALATED AT THE HOUSE'S OWN US LONG-RUN INFLATION of 2.5% a year, reaching about 15,453/t by FY2030E. It is NOT held flat and this note said it was for two editions after the path changed: holding a dollar price flat in nominal terms is a real decline of 2.5% a year, which is a directional view on copper and not the absence of one. The level is still not a forecast — it is today's price carried forward in real terms. Copper is the largest single input into the Cables segment and a genuine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7.6%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19.7% of revenue</w:t>
            </w:r>
          </w:p>
        </w:tc>
        <w:tc>
          <w:tcPr>
            <w:tcW w:type="dxa" w:w="2520"/>
          </w:tcPr>
          <w:p>
            <w:pPr>
              <w:spacing w:after="20"/>
            </w:pPr>
            <w:r>
              <w:rPr>
                <w:color w:val="1C3A36"/>
                <w:sz w:val="15"/>
              </w:rPr>
              <w:t>Net working capital stays near 19.7% of revenue — the level measured on the REVIEWED 30 June 2026 balance sheet, not the FY2025 audited level of 19.87% an earlier edition of this row named</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2026-09-03;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22.9% of attributable EPS), rounded up for the rising trajectory the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9.1%</w:t>
            </w:r>
          </w:p>
        </w:tc>
        <w:tc>
          <w:tcPr>
            <w:tcW w:type="dxa" w:w="2520"/>
          </w:tcPr>
          <w:p>
            <w:pPr>
              <w:spacing w:after="20"/>
            </w:pPr>
            <w:r>
              <w:rPr>
                <w:color w:val="1C3A36"/>
                <w:sz w:val="15"/>
              </w:rPr>
              <w:t>Derived from the house macro path — 7.0% long-run Egyptian inflation compounded with a 2.0% real rate — and sensitised 7.1%-11.1% around it. NOT a standing centre chosen for the market: an earlier edition of this row published 5% 'sensitised 3-7%', which is the construction this study retired, and which does not contain the rate the study actually strikes</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then 25.8% (Q1-2026) and 30.9% (H1-2026) — which implies 35.2% in the second quarter alone, so the adopted rate sits below all four of the most recent readings.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of the 30.9% the reviewed half printed,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IN THE FILINGS. The company reports only segment revenue (Note 5-3) and segment profit (Note 16) — no volumes, prices or backlog. Its own quarterly earnings releases DO carry cable tonnage and an engineering backlog, and those are read; they are the issuer's own publications but they are not audited</w:t>
            </w:r>
          </w:p>
        </w:tc>
        <w:tc>
          <w:tcPr>
            <w:tcW w:type="dxa" w:w="4464"/>
          </w:tcPr>
          <w:p>
            <w:pPr>
              <w:spacing w:after="20"/>
            </w:pPr>
            <w:r>
              <w:rPr>
                <w:color w:val="1C3A36"/>
                <w:sz w:val="15"/>
              </w:rPr>
              <w:t>Cables is built on the disclosed tonnage series times a copper and currency pass-through measured out of the segment's own audited revenue per tonne — a unit model, on an unaudited issuer disclosure, labelled as such. Constructions and Electrical products taper on their own recent revenue CAGR, because the releases disclose no burn profile for the backlog and the segment aggregates products that no filing splits</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2026-09-03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