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Sinai Cement Company S.A.E.</w:t>
      </w:r>
    </w:p>
    <w:p>
      <w:pPr>
        <w:spacing w:after="200" w:before="0"/>
      </w:pPr>
      <w:r>
        <w:rPr>
          <w:b w:val="0"/>
          <w:i w:val="0"/>
          <w:color w:val="6E7B77"/>
          <w:sz w:val="22"/>
        </w:rPr>
        <w:t>Egyptian Exchange · SCEM · Egyptian pounds · 6 August 2026</w:t>
      </w:r>
    </w:p>
    <w:p>
      <w:pPr>
        <w:spacing w:after="200" w:before="0"/>
      </w:pPr>
      <w:r>
        <w:rPr>
          <w:b w:val="0"/>
          <w:i w:val="0"/>
          <w:color w:val="1C3A36"/>
          <w:sz w:val="24"/>
        </w:rPr>
        <w:t>A single-plant cement producer, sitting on net cash worth 37% of its market capitalisation, at the top of the best year the Egyptian cement industry has had since 2008 — and with 12.6 million tonnes of dormant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Sinai Cement,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cement lines at El Hassana in North Sinai, about 3.8 million tonnes a year of capacity, 77.6% owned by the French Vicat group, with a 22.4% free float and essentially no debt.</w:t>
            </w:r>
          </w:p>
          <w:p>
            <w:pPr>
              <w:spacing w:after="100"/>
            </w:pPr>
            <w:r>
              <w:rPr>
                <w:b/>
                <w:color w:val="1C3A36"/>
                <w:sz w:val="19"/>
              </w:rPr>
              <w:t xml:space="preserve">Where the value lands. </w:t>
            </w:r>
            <w:r>
              <w:rPr>
                <w:color w:val="1C3A36"/>
                <w:sz w:val="19"/>
              </w:rPr>
              <w:t>Four lenses put the shares between EGP 54.49 and EGP 89.28, weighting to a central EGP 62.81 against a market price of EGP 79.00 — -20.5%.</w:t>
            </w:r>
          </w:p>
        </w:tc>
      </w:tr>
    </w:tbl>
    <w:p>
      <w:pPr>
        <w:spacing w:after="40"/>
      </w:pPr>
    </w:p>
    <w:p>
      <w:pPr>
        <w:spacing w:after="80" w:before="200"/>
      </w:pPr>
      <w:r>
        <w:rPr>
          <w:b/>
          <w:i w:val="0"/>
          <w:color w:val="1C3A36"/>
          <w:sz w:val="24"/>
        </w:rPr>
        <w:t>Summary valuation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037"/>
        <w:gridCol w:w="1469"/>
        <w:gridCol w:w="1958"/>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037"/>
            <w:shd w:val="clear" w:color="auto" w:fill="EAF0EE"/>
          </w:tcPr>
          <w:p>
            <w:pPr>
              <w:spacing w:after="20"/>
            </w:pPr>
            <w:r>
              <w:rPr>
                <w:b/>
                <w:color w:val="1C3A36"/>
                <w:sz w:val="18"/>
              </w:rPr>
              <w:t>Weight</w:t>
            </w:r>
          </w:p>
        </w:tc>
        <w:tc>
          <w:tcPr>
            <w:tcW w:type="dxa" w:w="1469"/>
            <w:shd w:val="clear" w:color="auto" w:fill="EAF0EE"/>
          </w:tcPr>
          <w:p>
            <w:pPr>
              <w:spacing w:after="20"/>
            </w:pPr>
            <w:r>
              <w:rPr>
                <w:b/>
                <w:color w:val="1C3A36"/>
                <w:sz w:val="18"/>
              </w:rPr>
              <w:t>Versus spot</w:t>
            </w:r>
          </w:p>
        </w:tc>
        <w:tc>
          <w:tcPr>
            <w:tcW w:type="dxa" w:w="1958"/>
            <w:shd w:val="clear" w:color="auto" w:fill="EAF0EE"/>
          </w:tcPr>
          <w:p>
            <w:pPr>
              <w:spacing w:after="20"/>
            </w:pPr>
            <w:r>
              <w:rPr>
                <w:b/>
                <w:color w:val="1C3A36"/>
                <w:sz w:val="18"/>
              </w:rPr>
              <w:t>Terminal value % of EV</w:t>
            </w:r>
          </w:p>
        </w:tc>
      </w:tr>
      <w:tr>
        <w:tc>
          <w:tcPr>
            <w:tcW w:type="dxa" w:w="3672"/>
          </w:tcPr>
          <w:p>
            <w:pPr>
              <w:spacing w:after="20"/>
            </w:pPr>
            <w:r>
              <w:rPr>
                <w:color w:val="1C3A36"/>
                <w:sz w:val="18"/>
              </w:rPr>
              <w:t>DCF (cash flow)</w:t>
            </w:r>
          </w:p>
        </w:tc>
        <w:tc>
          <w:tcPr>
            <w:tcW w:type="dxa" w:w="1944"/>
          </w:tcPr>
          <w:p>
            <w:pPr>
              <w:spacing w:after="20"/>
              <w:jc w:val="right"/>
            </w:pPr>
            <w:r>
              <w:rPr>
                <w:color w:val="1C3A36"/>
                <w:sz w:val="18"/>
              </w:rPr>
              <w:t>54.49</w:t>
            </w:r>
          </w:p>
        </w:tc>
        <w:tc>
          <w:tcPr>
            <w:tcW w:type="dxa" w:w="1037"/>
          </w:tcPr>
          <w:p>
            <w:pPr>
              <w:spacing w:after="20"/>
              <w:jc w:val="right"/>
            </w:pPr>
            <w:r>
              <w:rPr>
                <w:color w:val="1C3A36"/>
                <w:sz w:val="18"/>
              </w:rPr>
              <w:t>45%</w:t>
            </w:r>
          </w:p>
        </w:tc>
        <w:tc>
          <w:tcPr>
            <w:tcW w:type="dxa" w:w="1469"/>
          </w:tcPr>
          <w:p>
            <w:pPr>
              <w:spacing w:after="20"/>
              <w:jc w:val="right"/>
            </w:pPr>
            <w:r>
              <w:rPr>
                <w:color w:val="1C3A36"/>
                <w:sz w:val="18"/>
              </w:rPr>
              <w:t>-31.0%</w:t>
            </w:r>
          </w:p>
        </w:tc>
        <w:tc>
          <w:tcPr>
            <w:tcW w:type="dxa" w:w="1958"/>
          </w:tcPr>
          <w:p>
            <w:pPr>
              <w:spacing w:after="20"/>
              <w:jc w:val="right"/>
            </w:pPr>
            <w:r>
              <w:rPr>
                <w:color w:val="1C3A36"/>
                <w:sz w:val="18"/>
              </w:rPr>
              <w:t>41.0%</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66.53</w:t>
            </w:r>
          </w:p>
        </w:tc>
        <w:tc>
          <w:tcPr>
            <w:tcW w:type="dxa" w:w="1037"/>
          </w:tcPr>
          <w:p>
            <w:pPr>
              <w:spacing w:after="20"/>
              <w:jc w:val="right"/>
            </w:pPr>
            <w:r>
              <w:rPr>
                <w:color w:val="1C3A36"/>
                <w:sz w:val="18"/>
              </w:rPr>
              <w:t>20%</w:t>
            </w:r>
          </w:p>
        </w:tc>
        <w:tc>
          <w:tcPr>
            <w:tcW w:type="dxa" w:w="1469"/>
          </w:tcPr>
          <w:p>
            <w:pPr>
              <w:spacing w:after="20"/>
              <w:jc w:val="right"/>
            </w:pPr>
            <w:r>
              <w:rPr>
                <w:color w:val="1C3A36"/>
                <w:sz w:val="18"/>
              </w:rPr>
              <w:t>-15.8%</w:t>
            </w:r>
          </w:p>
        </w:tc>
        <w:tc>
          <w:tcPr>
            <w:tcW w:type="dxa" w:w="1958"/>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57.97</w:t>
            </w:r>
          </w:p>
        </w:tc>
        <w:tc>
          <w:tcPr>
            <w:tcW w:type="dxa" w:w="1037"/>
          </w:tcPr>
          <w:p>
            <w:pPr>
              <w:spacing w:after="20"/>
              <w:jc w:val="right"/>
            </w:pPr>
            <w:r>
              <w:rPr>
                <w:color w:val="1C3A36"/>
                <w:sz w:val="18"/>
              </w:rPr>
              <w:t>20%</w:t>
            </w:r>
          </w:p>
        </w:tc>
        <w:tc>
          <w:tcPr>
            <w:tcW w:type="dxa" w:w="1469"/>
          </w:tcPr>
          <w:p>
            <w:pPr>
              <w:spacing w:after="20"/>
              <w:jc w:val="right"/>
            </w:pPr>
            <w:r>
              <w:rPr>
                <w:color w:val="1C3A36"/>
                <w:sz w:val="18"/>
              </w:rPr>
              <w:t>-26.6%</w:t>
            </w:r>
          </w:p>
        </w:tc>
        <w:tc>
          <w:tcPr>
            <w:tcW w:type="dxa" w:w="1958"/>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89.28</w:t>
            </w:r>
          </w:p>
        </w:tc>
        <w:tc>
          <w:tcPr>
            <w:tcW w:type="dxa" w:w="1037"/>
          </w:tcPr>
          <w:p>
            <w:pPr>
              <w:spacing w:after="20"/>
              <w:jc w:val="right"/>
            </w:pPr>
            <w:r>
              <w:rPr>
                <w:color w:val="1C3A36"/>
                <w:sz w:val="18"/>
              </w:rPr>
              <w:t>15%</w:t>
            </w:r>
          </w:p>
        </w:tc>
        <w:tc>
          <w:tcPr>
            <w:tcW w:type="dxa" w:w="1469"/>
          </w:tcPr>
          <w:p>
            <w:pPr>
              <w:spacing w:after="20"/>
              <w:jc w:val="right"/>
            </w:pPr>
            <w:r>
              <w:rPr>
                <w:color w:val="1C3A36"/>
                <w:sz w:val="18"/>
              </w:rPr>
              <w:t>+13.0%</w:t>
            </w:r>
          </w:p>
        </w:tc>
        <w:tc>
          <w:tcPr>
            <w:tcW w:type="dxa" w:w="1958"/>
          </w:tcPr>
          <w:p>
            <w:pPr>
              <w:spacing w:after="20"/>
              <w:jc w:val="right"/>
            </w:pPr>
            <w:r>
              <w:rPr>
                <w:color w:val="1C3A36"/>
                <w:sz w:val="18"/>
              </w:rPr>
              <w:t>—</w:t>
            </w:r>
          </w:p>
        </w:tc>
      </w:tr>
      <w:tr>
        <w:tc>
          <w:tcPr>
            <w:tcW w:type="dxa" w:w="3672"/>
            <w:shd w:val="clear" w:color="auto" w:fill="F6F1E6"/>
          </w:tcPr>
          <w:p>
            <w:pPr>
              <w:spacing w:after="20"/>
            </w:pPr>
            <w:r>
              <w:rPr>
                <w:b/>
                <w:color w:val="1C3A36"/>
                <w:sz w:val="18"/>
              </w:rPr>
              <w:t>Weighted central fair value</w:t>
            </w:r>
          </w:p>
        </w:tc>
        <w:tc>
          <w:tcPr>
            <w:tcW w:type="dxa" w:w="1944"/>
            <w:shd w:val="clear" w:color="auto" w:fill="F6F1E6"/>
          </w:tcPr>
          <w:p>
            <w:pPr>
              <w:spacing w:after="20"/>
              <w:jc w:val="right"/>
            </w:pPr>
            <w:r>
              <w:rPr>
                <w:b/>
                <w:color w:val="1C3A36"/>
                <w:sz w:val="18"/>
              </w:rPr>
              <w:t>62.81</w:t>
            </w:r>
          </w:p>
        </w:tc>
        <w:tc>
          <w:tcPr>
            <w:tcW w:type="dxa" w:w="1037"/>
            <w:shd w:val="clear" w:color="auto" w:fill="F6F1E6"/>
          </w:tcPr>
          <w:p>
            <w:pPr>
              <w:spacing w:after="20"/>
              <w:jc w:val="right"/>
            </w:pPr>
            <w:r>
              <w:rPr>
                <w:b/>
                <w:color w:val="1C3A36"/>
                <w:sz w:val="18"/>
              </w:rPr>
              <w:t>100%</w:t>
            </w:r>
          </w:p>
        </w:tc>
        <w:tc>
          <w:tcPr>
            <w:tcW w:type="dxa" w:w="1469"/>
            <w:shd w:val="clear" w:color="auto" w:fill="F6F1E6"/>
          </w:tcPr>
          <w:p>
            <w:pPr>
              <w:spacing w:after="20"/>
              <w:jc w:val="right"/>
            </w:pPr>
            <w:r>
              <w:rPr>
                <w:b/>
                <w:color w:val="1C3A36"/>
                <w:sz w:val="18"/>
              </w:rPr>
              <w:t>-20.5%</w:t>
            </w:r>
          </w:p>
        </w:tc>
        <w:tc>
          <w:tcPr>
            <w:tcW w:type="dxa" w:w="1958"/>
            <w:shd w:val="clear" w:color="auto" w:fill="F6F1E6"/>
          </w:tcPr>
          <w:p>
            <w:pPr>
              <w:spacing w:after="20"/>
              <w:jc w:val="right"/>
            </w:pPr>
            <w:r>
              <w:rPr>
                <w:b/>
                <w:color w:val="1C3A36"/>
                <w:sz w:val="18"/>
              </w:rPr>
              <w:t>—</w:t>
            </w:r>
          </w:p>
        </w:tc>
      </w:tr>
      <w:tr>
        <w:tc>
          <w:tcPr>
            <w:tcW w:type="dxa" w:w="3672"/>
          </w:tcPr>
          <w:p>
            <w:pPr>
              <w:spacing w:after="20"/>
            </w:pPr>
            <w:r>
              <w:rPr>
                <w:color w:val="1C3A36"/>
                <w:sz w:val="18"/>
              </w:rPr>
              <w:t>Range across the four lenses</w:t>
            </w:r>
          </w:p>
        </w:tc>
        <w:tc>
          <w:tcPr>
            <w:tcW w:type="dxa" w:w="1944"/>
          </w:tcPr>
          <w:p>
            <w:pPr>
              <w:spacing w:after="20"/>
              <w:jc w:val="right"/>
            </w:pPr>
            <w:r>
              <w:rPr>
                <w:color w:val="1C3A36"/>
                <w:sz w:val="18"/>
              </w:rPr>
              <w:t>54.49 – 89.28</w:t>
            </w:r>
          </w:p>
        </w:tc>
        <w:tc>
          <w:tcPr>
            <w:tcW w:type="dxa" w:w="1037"/>
          </w:tcPr>
          <w:p>
            <w:pPr>
              <w:spacing w:after="20"/>
              <w:jc w:val="right"/>
            </w:pPr>
            <w:r>
              <w:rPr>
                <w:color w:val="1C3A36"/>
                <w:sz w:val="18"/>
              </w:rPr>
              <w:t>—</w:t>
            </w:r>
          </w:p>
        </w:tc>
        <w:tc>
          <w:tcPr>
            <w:tcW w:type="dxa" w:w="1469"/>
          </w:tcPr>
          <w:p>
            <w:pPr>
              <w:spacing w:after="20"/>
              <w:jc w:val="right"/>
            </w:pPr>
            <w:r>
              <w:rPr>
                <w:color w:val="1C3A36"/>
                <w:sz w:val="18"/>
              </w:rPr>
              <w:t>-31.0% to +13.0%</w:t>
            </w:r>
          </w:p>
        </w:tc>
        <w:tc>
          <w:tcPr>
            <w:tcW w:type="dxa" w:w="1958"/>
          </w:tcPr>
          <w:p>
            <w:pPr>
              <w:spacing w:after="20"/>
              <w:jc w:val="right"/>
            </w:pPr>
            <w:r>
              <w:rPr>
                <w:color w:val="1C3A36"/>
                <w:sz w:val="18"/>
              </w:rPr>
              <w:t>—</w:t>
            </w:r>
          </w:p>
        </w:tc>
      </w:tr>
      <w:tr>
        <w:tc>
          <w:tcPr>
            <w:tcW w:type="dxa" w:w="3672"/>
          </w:tcPr>
          <w:p>
            <w:pPr>
              <w:spacing w:after="20"/>
            </w:pPr>
            <w:r>
              <w:rPr>
                <w:color w:val="1C3A36"/>
                <w:sz w:val="18"/>
              </w:rPr>
              <w:t>Market price, 6 August 2026</w:t>
            </w:r>
          </w:p>
        </w:tc>
        <w:tc>
          <w:tcPr>
            <w:tcW w:type="dxa" w:w="1944"/>
          </w:tcPr>
          <w:p>
            <w:pPr>
              <w:spacing w:after="20"/>
              <w:jc w:val="right"/>
            </w:pPr>
            <w:r>
              <w:rPr>
                <w:color w:val="1C3A36"/>
                <w:sz w:val="18"/>
              </w:rPr>
              <w:t>79.00</w:t>
            </w:r>
          </w:p>
        </w:tc>
        <w:tc>
          <w:tcPr>
            <w:tcW w:type="dxa" w:w="1037"/>
          </w:tcPr>
          <w:p>
            <w:pPr>
              <w:spacing w:after="20"/>
              <w:jc w:val="right"/>
            </w:pPr>
            <w:r>
              <w:rPr>
                <w:color w:val="1C3A36"/>
                <w:sz w:val="18"/>
              </w:rPr>
              <w:t>—</w:t>
            </w:r>
          </w:p>
        </w:tc>
        <w:tc>
          <w:tcPr>
            <w:tcW w:type="dxa" w:w="1469"/>
          </w:tcPr>
          <w:p>
            <w:pPr>
              <w:spacing w:after="20"/>
              <w:jc w:val="right"/>
            </w:pPr>
            <w:r>
              <w:rPr>
                <w:color w:val="1C3A36"/>
                <w:sz w:val="18"/>
              </w:rPr>
              <w:t>—</w:t>
            </w:r>
          </w:p>
        </w:tc>
        <w:tc>
          <w:tcPr>
            <w:tcW w:type="dxa" w:w="1958"/>
          </w:tcPr>
          <w:p>
            <w:pPr>
              <w:spacing w:after="20"/>
              <w:jc w:val="right"/>
            </w:pPr>
            <w:r>
              <w:rPr>
                <w:color w:val="1C3A36"/>
                <w:sz w:val="18"/>
              </w:rPr>
              <w:t>—</w:t>
            </w:r>
          </w:p>
        </w:tc>
      </w:tr>
      <w:tr>
        <w:tc>
          <w:tcPr>
            <w:tcW w:type="dxa" w:w="3672"/>
          </w:tcPr>
          <w:p>
            <w:pPr>
              <w:spacing w:after="20"/>
            </w:pPr>
            <w:r>
              <w:rPr>
                <w:color w:val="1C3A36"/>
                <w:sz w:val="18"/>
              </w:rPr>
              <w:t>Vicat tender offer, July 2025 (reference only)</w:t>
            </w:r>
          </w:p>
        </w:tc>
        <w:tc>
          <w:tcPr>
            <w:tcW w:type="dxa" w:w="1944"/>
          </w:tcPr>
          <w:p>
            <w:pPr>
              <w:spacing w:after="20"/>
              <w:jc w:val="right"/>
            </w:pPr>
            <w:r>
              <w:rPr>
                <w:color w:val="1C3A36"/>
                <w:sz w:val="18"/>
              </w:rPr>
              <w:t>41.00</w:t>
            </w:r>
          </w:p>
        </w:tc>
        <w:tc>
          <w:tcPr>
            <w:tcW w:type="dxa" w:w="1037"/>
          </w:tcPr>
          <w:p>
            <w:pPr>
              <w:spacing w:after="20"/>
              <w:jc w:val="right"/>
            </w:pPr>
            <w:r>
              <w:rPr>
                <w:color w:val="1C3A36"/>
                <w:sz w:val="18"/>
              </w:rPr>
              <w:t>—</w:t>
            </w:r>
          </w:p>
        </w:tc>
        <w:tc>
          <w:tcPr>
            <w:tcW w:type="dxa" w:w="1469"/>
          </w:tcPr>
          <w:p>
            <w:pPr>
              <w:spacing w:after="20"/>
              <w:jc w:val="right"/>
            </w:pPr>
            <w:r>
              <w:rPr>
                <w:color w:val="1C3A36"/>
                <w:sz w:val="18"/>
              </w:rPr>
              <w:t>-48.1%</w:t>
            </w:r>
          </w:p>
        </w:tc>
        <w:tc>
          <w:tcPr>
            <w:tcW w:type="dxa" w:w="1958"/>
          </w:tcPr>
          <w:p>
            <w:pPr>
              <w:spacing w:after="20"/>
              <w:jc w:val="right"/>
            </w:pPr>
            <w:r>
              <w:rPr>
                <w:color w:val="1C3A36"/>
                <w:sz w:val="18"/>
              </w:rPr>
              <w:t>—</w:t>
            </w:r>
          </w:p>
        </w:tc>
      </w:tr>
    </w:tbl>
    <w:p>
      <w:pPr>
        <w:spacing w:after="40"/>
      </w:pPr>
    </w:p>
    <w:p>
      <w:pPr>
        <w:spacing w:after="200" w:before="0"/>
      </w:pPr>
      <w:r>
        <w:rPr>
          <w:b w:val="0"/>
          <w:i/>
          <w:color w:val="6E7B77"/>
          <w:sz w:val="17"/>
        </w:rPr>
        <w:t>Terminal value as a percentage of enterprise value is shown beside the cash-flow lens, and again in the enterprise-to-equity bridge in section 1.1.</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1  Fundamental valuation</w:t>
      </w:r>
    </w:p>
    <w:p>
      <w:pPr>
        <w:spacing w:after="120" w:before="0"/>
      </w:pPr>
      <w:r>
        <w:rPr>
          <w:b w:val="0"/>
          <w:i w:val="0"/>
          <w:color w:val="1C3A36"/>
          <w:sz w:val="21"/>
        </w:rPr>
        <w:t>Sinai Cement is valued as a single operating company, not as a sum of parts, and the reason is worth stating before any number. Essentially all of its revenue is grey cement and clinker from one asset base. Its subsidiaries are a service arm and a trading arm feeding that same cement rather than separable businesses. Its balance sheet carries EGP 36.8 million of total debt against roughly EGP 5.2 billion of equity, which makes it net cash rather than leveraged. There is no lending book, no captive finance arm and no third-party asset management.</w:t>
      </w:r>
    </w:p>
    <w:p>
      <w:pPr>
        <w:spacing w:after="120" w:before="0"/>
      </w:pPr>
      <w:r>
        <w:rPr>
          <w:b w:val="0"/>
          <w:i w:val="0"/>
          <w:color w:val="1C3A36"/>
          <w:sz w:val="21"/>
        </w:rPr>
        <w:t>The one thing that could have made this a two-legged valuation has already been sold. Sinai Cement held 25.40% of Sinai White Portland Cement and disposed of it to Aalborg Portland, part of the Cementir group, for EUR 30 million, completing on 13 August 2024. There is no second leg left to value, so a single lens is not a simplification here — it is the accurate description.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One thing to fix in your head before reading the history. </w:t>
            </w:r>
            <w:r>
              <w:rPr>
                <w:color w:val="1C3A36"/>
                <w:sz w:val="19"/>
              </w:rPr>
              <w:t>Profit after tax of EGP 3,070 million in FY2024 on revenue of EGP 6,420 million is a 48% net margin. No cement plant earns that from making cement. That year contains the Sinai White disposal gain of roughly EGP 1,502 million. Strip it and underlying FY2024 profit was EGP 1,568 million — so FY2025 profit +46% rather than falling 25% as the headline comparison suggests.</w:t>
            </w:r>
          </w:p>
        </w:tc>
      </w:tr>
    </w:tbl>
    <w:p>
      <w:pPr>
        <w:spacing w:after="40"/>
      </w:pPr>
    </w:p>
    <w:p>
      <w:pPr>
        <w:spacing w:after="40"/>
        <w:jc w:val="center"/>
      </w:pPr>
      <w:r>
        <w:drawing>
          <wp:inline xmlns:a="http://schemas.openxmlformats.org/drawingml/2006/main" xmlns:pic="http://schemas.openxmlformats.org/drawingml/2006/picture">
            <wp:extent cx="6126480" cy="2541837"/>
            <wp:docPr id="2" name="Picture 2"/>
            <wp:cNvGraphicFramePr>
              <a:graphicFrameLocks noChangeAspect="1"/>
            </wp:cNvGraphicFramePr>
            <a:graphic>
              <a:graphicData uri="http://schemas.openxmlformats.org/drawingml/2006/picture">
                <pic:pic>
                  <pic:nvPicPr>
                    <pic:cNvPr id="0" name="fig7_bridge.png"/>
                    <pic:cNvPicPr/>
                  </pic:nvPicPr>
                  <pic:blipFill>
                    <a:blip r:embed="rId10"/>
                    <a:stretch>
                      <a:fillRect/>
                    </a:stretch>
                  </pic:blipFill>
                  <pic:spPr>
                    <a:xfrm>
                      <a:off x="0" y="0"/>
                      <a:ext cx="6126480" cy="2541837"/>
                    </a:xfrm>
                    <a:prstGeom prst="rect"/>
                  </pic:spPr>
                </pic:pic>
              </a:graphicData>
            </a:graphic>
          </wp:inline>
        </w:drawing>
      </w:r>
    </w:p>
    <w:p>
      <w:pPr>
        <w:spacing w:after="200" w:before="0"/>
      </w:pPr>
      <w:r>
        <w:rPr>
          <w:b w:val="0"/>
          <w:i/>
          <w:color w:val="6E7B77"/>
          <w:sz w:val="17"/>
        </w:rPr>
        <w:t>Figure 2 — Profit after tax across three years, and what FY2024 actually contained.</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discounted cash-flow model is the primary lens and carries 45% of the weight. It runs on a volume-and-price build off one plant, discounts each year at that year's own cost of capital, and capitalises a terminal value at a separately built terminal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354"/>
        <w:gridCol w:w="1354"/>
        <w:gridCol w:w="1354"/>
        <w:gridCol w:w="1354"/>
        <w:gridCol w:w="1354"/>
      </w:tblGrid>
      <w:tr>
        <w:tc>
          <w:tcPr>
            <w:tcW w:type="dxa" w:w="3240"/>
            <w:shd w:val="clear" w:color="auto" w:fill="EAF0EE"/>
          </w:tcPr>
          <w:p>
            <w:pPr>
              <w:spacing w:after="20"/>
            </w:pPr>
            <w:r>
              <w:rPr>
                <w:b/>
                <w:color w:val="1C3A36"/>
                <w:sz w:val="18"/>
              </w:rPr>
              <w:t>EGP million</w:t>
            </w:r>
          </w:p>
        </w:tc>
        <w:tc>
          <w:tcPr>
            <w:tcW w:type="dxa" w:w="1354"/>
            <w:shd w:val="clear" w:color="auto" w:fill="EAF0EE"/>
          </w:tcPr>
          <w:p>
            <w:pPr>
              <w:spacing w:after="20"/>
            </w:pPr>
            <w:r>
              <w:rPr>
                <w:b/>
                <w:color w:val="1C3A36"/>
                <w:sz w:val="18"/>
              </w:rPr>
              <w:t>FY2026E</w:t>
            </w:r>
          </w:p>
        </w:tc>
        <w:tc>
          <w:tcPr>
            <w:tcW w:type="dxa" w:w="1354"/>
            <w:shd w:val="clear" w:color="auto" w:fill="EAF0EE"/>
          </w:tcPr>
          <w:p>
            <w:pPr>
              <w:spacing w:after="20"/>
            </w:pPr>
            <w:r>
              <w:rPr>
                <w:b/>
                <w:color w:val="1C3A36"/>
                <w:sz w:val="18"/>
              </w:rPr>
              <w:t>FY2027E</w:t>
            </w:r>
          </w:p>
        </w:tc>
        <w:tc>
          <w:tcPr>
            <w:tcW w:type="dxa" w:w="1354"/>
            <w:shd w:val="clear" w:color="auto" w:fill="EAF0EE"/>
          </w:tcPr>
          <w:p>
            <w:pPr>
              <w:spacing w:after="20"/>
            </w:pPr>
            <w:r>
              <w:rPr>
                <w:b/>
                <w:color w:val="1C3A36"/>
                <w:sz w:val="18"/>
              </w:rPr>
              <w:t>FY2028E</w:t>
            </w:r>
          </w:p>
        </w:tc>
        <w:tc>
          <w:tcPr>
            <w:tcW w:type="dxa" w:w="1354"/>
            <w:shd w:val="clear" w:color="auto" w:fill="EAF0EE"/>
          </w:tcPr>
          <w:p>
            <w:pPr>
              <w:spacing w:after="20"/>
            </w:pPr>
            <w:r>
              <w:rPr>
                <w:b/>
                <w:color w:val="1C3A36"/>
                <w:sz w:val="18"/>
              </w:rPr>
              <w:t>FY2029E</w:t>
            </w:r>
          </w:p>
        </w:tc>
        <w:tc>
          <w:tcPr>
            <w:tcW w:type="dxa" w:w="1354"/>
            <w:shd w:val="clear" w:color="auto" w:fill="EAF0EE"/>
          </w:tcPr>
          <w:p>
            <w:pPr>
              <w:spacing w:after="20"/>
            </w:pPr>
            <w:r>
              <w:rPr>
                <w:b/>
                <w:color w:val="1C3A36"/>
                <w:sz w:val="18"/>
              </w:rPr>
              <w:t>FY2030E</w:t>
            </w:r>
          </w:p>
        </w:tc>
      </w:tr>
      <w:tr>
        <w:tc>
          <w:tcPr>
            <w:tcW w:type="dxa" w:w="3240"/>
          </w:tcPr>
          <w:p>
            <w:pPr>
              <w:spacing w:after="20"/>
            </w:pPr>
            <w:r>
              <w:rPr>
                <w:color w:val="1C3A36"/>
                <w:sz w:val="18"/>
              </w:rPr>
              <w:t>Revenue</w:t>
            </w:r>
          </w:p>
        </w:tc>
        <w:tc>
          <w:tcPr>
            <w:tcW w:type="dxa" w:w="1354"/>
          </w:tcPr>
          <w:p>
            <w:pPr>
              <w:spacing w:after="20"/>
              <w:jc w:val="right"/>
            </w:pPr>
            <w:r>
              <w:rPr>
                <w:color w:val="1C3A36"/>
                <w:sz w:val="18"/>
              </w:rPr>
              <w:t>9,732</w:t>
            </w:r>
          </w:p>
        </w:tc>
        <w:tc>
          <w:tcPr>
            <w:tcW w:type="dxa" w:w="1354"/>
          </w:tcPr>
          <w:p>
            <w:pPr>
              <w:spacing w:after="20"/>
              <w:jc w:val="right"/>
            </w:pPr>
            <w:r>
              <w:rPr>
                <w:color w:val="1C3A36"/>
                <w:sz w:val="18"/>
              </w:rPr>
              <w:t>10,424</w:t>
            </w:r>
          </w:p>
        </w:tc>
        <w:tc>
          <w:tcPr>
            <w:tcW w:type="dxa" w:w="1354"/>
          </w:tcPr>
          <w:p>
            <w:pPr>
              <w:spacing w:after="20"/>
              <w:jc w:val="right"/>
            </w:pPr>
            <w:r>
              <w:rPr>
                <w:color w:val="1C3A36"/>
                <w:sz w:val="18"/>
              </w:rPr>
              <w:t>11,219</w:t>
            </w:r>
          </w:p>
        </w:tc>
        <w:tc>
          <w:tcPr>
            <w:tcW w:type="dxa" w:w="1354"/>
          </w:tcPr>
          <w:p>
            <w:pPr>
              <w:spacing w:after="20"/>
              <w:jc w:val="right"/>
            </w:pPr>
            <w:r>
              <w:rPr>
                <w:color w:val="1C3A36"/>
                <w:sz w:val="18"/>
              </w:rPr>
              <w:t>12,132</w:t>
            </w:r>
          </w:p>
        </w:tc>
        <w:tc>
          <w:tcPr>
            <w:tcW w:type="dxa" w:w="1354"/>
          </w:tcPr>
          <w:p>
            <w:pPr>
              <w:spacing w:after="20"/>
              <w:jc w:val="right"/>
            </w:pPr>
            <w:r>
              <w:rPr>
                <w:color w:val="1C3A36"/>
                <w:sz w:val="18"/>
              </w:rPr>
              <w:t>13,069</w:t>
            </w:r>
          </w:p>
        </w:tc>
      </w:tr>
      <w:tr>
        <w:tc>
          <w:tcPr>
            <w:tcW w:type="dxa" w:w="3240"/>
          </w:tcPr>
          <w:p>
            <w:pPr>
              <w:spacing w:after="20"/>
            </w:pPr>
            <w:r>
              <w:rPr>
                <w:color w:val="1C3A36"/>
                <w:sz w:val="18"/>
              </w:rPr>
              <w:t>EBITDA</w:t>
            </w:r>
          </w:p>
        </w:tc>
        <w:tc>
          <w:tcPr>
            <w:tcW w:type="dxa" w:w="1354"/>
          </w:tcPr>
          <w:p>
            <w:pPr>
              <w:spacing w:after="20"/>
              <w:jc w:val="right"/>
            </w:pPr>
            <w:r>
              <w:rPr>
                <w:color w:val="1C3A36"/>
                <w:sz w:val="18"/>
              </w:rPr>
              <w:t>2,968</w:t>
            </w:r>
          </w:p>
        </w:tc>
        <w:tc>
          <w:tcPr>
            <w:tcW w:type="dxa" w:w="1354"/>
          </w:tcPr>
          <w:p>
            <w:pPr>
              <w:spacing w:after="20"/>
              <w:jc w:val="right"/>
            </w:pPr>
            <w:r>
              <w:rPr>
                <w:color w:val="1C3A36"/>
                <w:sz w:val="18"/>
              </w:rPr>
              <w:t>2,971</w:t>
            </w:r>
          </w:p>
        </w:tc>
        <w:tc>
          <w:tcPr>
            <w:tcW w:type="dxa" w:w="1354"/>
          </w:tcPr>
          <w:p>
            <w:pPr>
              <w:spacing w:after="20"/>
              <w:jc w:val="right"/>
            </w:pPr>
            <w:r>
              <w:rPr>
                <w:color w:val="1C3A36"/>
                <w:sz w:val="18"/>
              </w:rPr>
              <w:t>3,029</w:t>
            </w:r>
          </w:p>
        </w:tc>
        <w:tc>
          <w:tcPr>
            <w:tcW w:type="dxa" w:w="1354"/>
          </w:tcPr>
          <w:p>
            <w:pPr>
              <w:spacing w:after="20"/>
              <w:jc w:val="right"/>
            </w:pPr>
            <w:r>
              <w:rPr>
                <w:color w:val="1C3A36"/>
                <w:sz w:val="18"/>
              </w:rPr>
              <w:t>3,215</w:t>
            </w:r>
          </w:p>
        </w:tc>
        <w:tc>
          <w:tcPr>
            <w:tcW w:type="dxa" w:w="1354"/>
          </w:tcPr>
          <w:p>
            <w:pPr>
              <w:spacing w:after="20"/>
              <w:jc w:val="right"/>
            </w:pPr>
            <w:r>
              <w:rPr>
                <w:color w:val="1C3A36"/>
                <w:sz w:val="18"/>
              </w:rPr>
              <w:t>3,398</w:t>
            </w:r>
          </w:p>
        </w:tc>
      </w:tr>
      <w:tr>
        <w:tc>
          <w:tcPr>
            <w:tcW w:type="dxa" w:w="3240"/>
          </w:tcPr>
          <w:p>
            <w:pPr>
              <w:spacing w:after="20"/>
            </w:pPr>
            <w:r>
              <w:rPr>
                <w:color w:val="1C3A36"/>
                <w:sz w:val="18"/>
              </w:rPr>
              <w:t>EBITDA margin</w:t>
            </w:r>
          </w:p>
        </w:tc>
        <w:tc>
          <w:tcPr>
            <w:tcW w:type="dxa" w:w="1354"/>
          </w:tcPr>
          <w:p>
            <w:pPr>
              <w:spacing w:after="20"/>
              <w:jc w:val="right"/>
            </w:pPr>
            <w:r>
              <w:rPr>
                <w:color w:val="1C3A36"/>
                <w:sz w:val="18"/>
              </w:rPr>
              <w:t>30.5%</w:t>
            </w:r>
          </w:p>
        </w:tc>
        <w:tc>
          <w:tcPr>
            <w:tcW w:type="dxa" w:w="1354"/>
          </w:tcPr>
          <w:p>
            <w:pPr>
              <w:spacing w:after="20"/>
              <w:jc w:val="right"/>
            </w:pPr>
            <w:r>
              <w:rPr>
                <w:color w:val="1C3A36"/>
                <w:sz w:val="18"/>
              </w:rPr>
              <w:t>28.5%</w:t>
            </w:r>
          </w:p>
        </w:tc>
        <w:tc>
          <w:tcPr>
            <w:tcW w:type="dxa" w:w="1354"/>
          </w:tcPr>
          <w:p>
            <w:pPr>
              <w:spacing w:after="20"/>
              <w:jc w:val="right"/>
            </w:pPr>
            <w:r>
              <w:rPr>
                <w:color w:val="1C3A36"/>
                <w:sz w:val="18"/>
              </w:rPr>
              <w:t>27.0%</w:t>
            </w:r>
          </w:p>
        </w:tc>
        <w:tc>
          <w:tcPr>
            <w:tcW w:type="dxa" w:w="1354"/>
          </w:tcPr>
          <w:p>
            <w:pPr>
              <w:spacing w:after="20"/>
              <w:jc w:val="right"/>
            </w:pPr>
            <w:r>
              <w:rPr>
                <w:color w:val="1C3A36"/>
                <w:sz w:val="18"/>
              </w:rPr>
              <w:t>26.5%</w:t>
            </w:r>
          </w:p>
        </w:tc>
        <w:tc>
          <w:tcPr>
            <w:tcW w:type="dxa" w:w="1354"/>
          </w:tcPr>
          <w:p>
            <w:pPr>
              <w:spacing w:after="20"/>
              <w:jc w:val="right"/>
            </w:pPr>
            <w:r>
              <w:rPr>
                <w:color w:val="1C3A36"/>
                <w:sz w:val="18"/>
              </w:rPr>
              <w:t>26.0%</w:t>
            </w:r>
          </w:p>
        </w:tc>
      </w:tr>
      <w:tr>
        <w:tc>
          <w:tcPr>
            <w:tcW w:type="dxa" w:w="3240"/>
          </w:tcPr>
          <w:p>
            <w:pPr>
              <w:spacing w:after="20"/>
            </w:pPr>
            <w:r>
              <w:rPr>
                <w:color w:val="1C3A36"/>
                <w:sz w:val="18"/>
              </w:rPr>
              <w:t>Depreciation &amp; amortisation</w:t>
            </w:r>
          </w:p>
        </w:tc>
        <w:tc>
          <w:tcPr>
            <w:tcW w:type="dxa" w:w="1354"/>
          </w:tcPr>
          <w:p>
            <w:pPr>
              <w:spacing w:after="20"/>
              <w:jc w:val="right"/>
            </w:pPr>
            <w:r>
              <w:rPr>
                <w:color w:val="1C3A36"/>
                <w:sz w:val="18"/>
              </w:rPr>
              <w:t>448</w:t>
            </w:r>
          </w:p>
        </w:tc>
        <w:tc>
          <w:tcPr>
            <w:tcW w:type="dxa" w:w="1354"/>
          </w:tcPr>
          <w:p>
            <w:pPr>
              <w:spacing w:after="20"/>
              <w:jc w:val="right"/>
            </w:pPr>
            <w:r>
              <w:rPr>
                <w:color w:val="1C3A36"/>
                <w:sz w:val="18"/>
              </w:rPr>
              <w:t>469</w:t>
            </w:r>
          </w:p>
        </w:tc>
        <w:tc>
          <w:tcPr>
            <w:tcW w:type="dxa" w:w="1354"/>
          </w:tcPr>
          <w:p>
            <w:pPr>
              <w:spacing w:after="20"/>
              <w:jc w:val="right"/>
            </w:pPr>
            <w:r>
              <w:rPr>
                <w:color w:val="1C3A36"/>
                <w:sz w:val="18"/>
              </w:rPr>
              <w:t>494</w:t>
            </w:r>
          </w:p>
        </w:tc>
        <w:tc>
          <w:tcPr>
            <w:tcW w:type="dxa" w:w="1354"/>
          </w:tcPr>
          <w:p>
            <w:pPr>
              <w:spacing w:after="20"/>
              <w:jc w:val="right"/>
            </w:pPr>
            <w:r>
              <w:rPr>
                <w:color w:val="1C3A36"/>
                <w:sz w:val="18"/>
              </w:rPr>
              <w:t>522</w:t>
            </w:r>
          </w:p>
        </w:tc>
        <w:tc>
          <w:tcPr>
            <w:tcW w:type="dxa" w:w="1354"/>
          </w:tcPr>
          <w:p>
            <w:pPr>
              <w:spacing w:after="20"/>
              <w:jc w:val="right"/>
            </w:pPr>
            <w:r>
              <w:rPr>
                <w:color w:val="1C3A36"/>
                <w:sz w:val="18"/>
              </w:rPr>
              <w:t>549</w:t>
            </w:r>
          </w:p>
        </w:tc>
      </w:tr>
      <w:tr>
        <w:tc>
          <w:tcPr>
            <w:tcW w:type="dxa" w:w="3240"/>
          </w:tcPr>
          <w:p>
            <w:pPr>
              <w:spacing w:after="20"/>
            </w:pPr>
            <w:r>
              <w:rPr>
                <w:color w:val="1C3A36"/>
                <w:sz w:val="18"/>
              </w:rPr>
              <w:t>EBIT</w:t>
            </w:r>
          </w:p>
        </w:tc>
        <w:tc>
          <w:tcPr>
            <w:tcW w:type="dxa" w:w="1354"/>
          </w:tcPr>
          <w:p>
            <w:pPr>
              <w:spacing w:after="20"/>
              <w:jc w:val="right"/>
            </w:pPr>
            <w:r>
              <w:rPr>
                <w:color w:val="1C3A36"/>
                <w:sz w:val="18"/>
              </w:rPr>
              <w:t>2,521</w:t>
            </w:r>
          </w:p>
        </w:tc>
        <w:tc>
          <w:tcPr>
            <w:tcW w:type="dxa" w:w="1354"/>
          </w:tcPr>
          <w:p>
            <w:pPr>
              <w:spacing w:after="20"/>
              <w:jc w:val="right"/>
            </w:pPr>
            <w:r>
              <w:rPr>
                <w:color w:val="1C3A36"/>
                <w:sz w:val="18"/>
              </w:rPr>
              <w:t>2,502</w:t>
            </w:r>
          </w:p>
        </w:tc>
        <w:tc>
          <w:tcPr>
            <w:tcW w:type="dxa" w:w="1354"/>
          </w:tcPr>
          <w:p>
            <w:pPr>
              <w:spacing w:after="20"/>
              <w:jc w:val="right"/>
            </w:pPr>
            <w:r>
              <w:rPr>
                <w:color w:val="1C3A36"/>
                <w:sz w:val="18"/>
              </w:rPr>
              <w:t>2,535</w:t>
            </w:r>
          </w:p>
        </w:tc>
        <w:tc>
          <w:tcPr>
            <w:tcW w:type="dxa" w:w="1354"/>
          </w:tcPr>
          <w:p>
            <w:pPr>
              <w:spacing w:after="20"/>
              <w:jc w:val="right"/>
            </w:pPr>
            <w:r>
              <w:rPr>
                <w:color w:val="1C3A36"/>
                <w:sz w:val="18"/>
              </w:rPr>
              <w:t>2,693</w:t>
            </w:r>
          </w:p>
        </w:tc>
        <w:tc>
          <w:tcPr>
            <w:tcW w:type="dxa" w:w="1354"/>
          </w:tcPr>
          <w:p>
            <w:pPr>
              <w:spacing w:after="20"/>
              <w:jc w:val="right"/>
            </w:pPr>
            <w:r>
              <w:rPr>
                <w:color w:val="1C3A36"/>
                <w:sz w:val="18"/>
              </w:rPr>
              <w:t>2,849</w:t>
            </w:r>
          </w:p>
        </w:tc>
      </w:tr>
      <w:tr>
        <w:tc>
          <w:tcPr>
            <w:tcW w:type="dxa" w:w="3240"/>
          </w:tcPr>
          <w:p>
            <w:pPr>
              <w:spacing w:after="20"/>
            </w:pPr>
            <w:r>
              <w:rPr>
                <w:color w:val="1C3A36"/>
                <w:sz w:val="18"/>
              </w:rPr>
              <w:t>NOPAT  (EBIT × (1 − t))</w:t>
            </w:r>
          </w:p>
        </w:tc>
        <w:tc>
          <w:tcPr>
            <w:tcW w:type="dxa" w:w="1354"/>
          </w:tcPr>
          <w:p>
            <w:pPr>
              <w:spacing w:after="20"/>
              <w:jc w:val="right"/>
            </w:pPr>
            <w:r>
              <w:rPr>
                <w:color w:val="1C3A36"/>
                <w:sz w:val="18"/>
              </w:rPr>
              <w:t>1,953</w:t>
            </w:r>
          </w:p>
        </w:tc>
        <w:tc>
          <w:tcPr>
            <w:tcW w:type="dxa" w:w="1354"/>
          </w:tcPr>
          <w:p>
            <w:pPr>
              <w:spacing w:after="20"/>
              <w:jc w:val="right"/>
            </w:pPr>
            <w:r>
              <w:rPr>
                <w:color w:val="1C3A36"/>
                <w:sz w:val="18"/>
              </w:rPr>
              <w:t>1,939</w:t>
            </w:r>
          </w:p>
        </w:tc>
        <w:tc>
          <w:tcPr>
            <w:tcW w:type="dxa" w:w="1354"/>
          </w:tcPr>
          <w:p>
            <w:pPr>
              <w:spacing w:after="20"/>
              <w:jc w:val="right"/>
            </w:pPr>
            <w:r>
              <w:rPr>
                <w:color w:val="1C3A36"/>
                <w:sz w:val="18"/>
              </w:rPr>
              <w:t>1,965</w:t>
            </w:r>
          </w:p>
        </w:tc>
        <w:tc>
          <w:tcPr>
            <w:tcW w:type="dxa" w:w="1354"/>
          </w:tcPr>
          <w:p>
            <w:pPr>
              <w:spacing w:after="20"/>
              <w:jc w:val="right"/>
            </w:pPr>
            <w:r>
              <w:rPr>
                <w:color w:val="1C3A36"/>
                <w:sz w:val="18"/>
              </w:rPr>
              <w:t>2,087</w:t>
            </w:r>
          </w:p>
        </w:tc>
        <w:tc>
          <w:tcPr>
            <w:tcW w:type="dxa" w:w="1354"/>
          </w:tcPr>
          <w:p>
            <w:pPr>
              <w:spacing w:after="20"/>
              <w:jc w:val="right"/>
            </w:pPr>
            <w:r>
              <w:rPr>
                <w:color w:val="1C3A36"/>
                <w:sz w:val="18"/>
              </w:rPr>
              <w:t>2,208</w:t>
            </w:r>
          </w:p>
        </w:tc>
      </w:tr>
      <w:tr>
        <w:tc>
          <w:tcPr>
            <w:tcW w:type="dxa" w:w="3240"/>
          </w:tcPr>
          <w:p>
            <w:pPr>
              <w:spacing w:after="20"/>
            </w:pPr>
            <w:r>
              <w:rPr>
                <w:color w:val="1C3A36"/>
                <w:sz w:val="18"/>
              </w:rPr>
              <w:t>Plus depreciation &amp; amortisation</w:t>
            </w:r>
          </w:p>
        </w:tc>
        <w:tc>
          <w:tcPr>
            <w:tcW w:type="dxa" w:w="1354"/>
          </w:tcPr>
          <w:p>
            <w:pPr>
              <w:spacing w:after="20"/>
              <w:jc w:val="right"/>
            </w:pPr>
            <w:r>
              <w:rPr>
                <w:color w:val="1C3A36"/>
                <w:sz w:val="18"/>
              </w:rPr>
              <w:t>448</w:t>
            </w:r>
          </w:p>
        </w:tc>
        <w:tc>
          <w:tcPr>
            <w:tcW w:type="dxa" w:w="1354"/>
          </w:tcPr>
          <w:p>
            <w:pPr>
              <w:spacing w:after="20"/>
              <w:jc w:val="right"/>
            </w:pPr>
            <w:r>
              <w:rPr>
                <w:color w:val="1C3A36"/>
                <w:sz w:val="18"/>
              </w:rPr>
              <w:t>469</w:t>
            </w:r>
          </w:p>
        </w:tc>
        <w:tc>
          <w:tcPr>
            <w:tcW w:type="dxa" w:w="1354"/>
          </w:tcPr>
          <w:p>
            <w:pPr>
              <w:spacing w:after="20"/>
              <w:jc w:val="right"/>
            </w:pPr>
            <w:r>
              <w:rPr>
                <w:color w:val="1C3A36"/>
                <w:sz w:val="18"/>
              </w:rPr>
              <w:t>494</w:t>
            </w:r>
          </w:p>
        </w:tc>
        <w:tc>
          <w:tcPr>
            <w:tcW w:type="dxa" w:w="1354"/>
          </w:tcPr>
          <w:p>
            <w:pPr>
              <w:spacing w:after="20"/>
              <w:jc w:val="right"/>
            </w:pPr>
            <w:r>
              <w:rPr>
                <w:color w:val="1C3A36"/>
                <w:sz w:val="18"/>
              </w:rPr>
              <w:t>522</w:t>
            </w:r>
          </w:p>
        </w:tc>
        <w:tc>
          <w:tcPr>
            <w:tcW w:type="dxa" w:w="1354"/>
          </w:tcPr>
          <w:p>
            <w:pPr>
              <w:spacing w:after="20"/>
              <w:jc w:val="right"/>
            </w:pPr>
            <w:r>
              <w:rPr>
                <w:color w:val="1C3A36"/>
                <w:sz w:val="18"/>
              </w:rPr>
              <w:t>549</w:t>
            </w:r>
          </w:p>
        </w:tc>
      </w:tr>
      <w:tr>
        <w:tc>
          <w:tcPr>
            <w:tcW w:type="dxa" w:w="3240"/>
          </w:tcPr>
          <w:p>
            <w:pPr>
              <w:spacing w:after="20"/>
            </w:pPr>
            <w:r>
              <w:rPr>
                <w:color w:val="1C3A36"/>
                <w:sz w:val="18"/>
              </w:rPr>
              <w:t>Less capital expenditure</w:t>
            </w:r>
          </w:p>
        </w:tc>
        <w:tc>
          <w:tcPr>
            <w:tcW w:type="dxa" w:w="1354"/>
          </w:tcPr>
          <w:p>
            <w:pPr>
              <w:spacing w:after="20"/>
              <w:jc w:val="right"/>
            </w:pPr>
            <w:r>
              <w:rPr>
                <w:color w:val="1C3A36"/>
                <w:sz w:val="18"/>
              </w:rPr>
              <w:t>487</w:t>
            </w:r>
          </w:p>
        </w:tc>
        <w:tc>
          <w:tcPr>
            <w:tcW w:type="dxa" w:w="1354"/>
          </w:tcPr>
          <w:p>
            <w:pPr>
              <w:spacing w:after="20"/>
              <w:jc w:val="right"/>
            </w:pPr>
            <w:r>
              <w:rPr>
                <w:color w:val="1C3A36"/>
                <w:sz w:val="18"/>
              </w:rPr>
              <w:t>500</w:t>
            </w:r>
          </w:p>
        </w:tc>
        <w:tc>
          <w:tcPr>
            <w:tcW w:type="dxa" w:w="1354"/>
          </w:tcPr>
          <w:p>
            <w:pPr>
              <w:spacing w:after="20"/>
              <w:jc w:val="right"/>
            </w:pPr>
            <w:r>
              <w:rPr>
                <w:color w:val="1C3A36"/>
                <w:sz w:val="18"/>
              </w:rPr>
              <w:t>527</w:t>
            </w:r>
          </w:p>
        </w:tc>
        <w:tc>
          <w:tcPr>
            <w:tcW w:type="dxa" w:w="1354"/>
          </w:tcPr>
          <w:p>
            <w:pPr>
              <w:spacing w:after="20"/>
              <w:jc w:val="right"/>
            </w:pPr>
            <w:r>
              <w:rPr>
                <w:color w:val="1C3A36"/>
                <w:sz w:val="18"/>
              </w:rPr>
              <w:t>558</w:t>
            </w:r>
          </w:p>
        </w:tc>
        <w:tc>
          <w:tcPr>
            <w:tcW w:type="dxa" w:w="1354"/>
          </w:tcPr>
          <w:p>
            <w:pPr>
              <w:spacing w:after="20"/>
              <w:jc w:val="right"/>
            </w:pPr>
            <w:r>
              <w:rPr>
                <w:color w:val="1C3A36"/>
                <w:sz w:val="18"/>
              </w:rPr>
              <w:t>588</w:t>
            </w:r>
          </w:p>
        </w:tc>
      </w:tr>
      <w:tr>
        <w:tc>
          <w:tcPr>
            <w:tcW w:type="dxa" w:w="3240"/>
          </w:tcPr>
          <w:p>
            <w:pPr>
              <w:spacing w:after="20"/>
            </w:pPr>
            <w:r>
              <w:rPr>
                <w:color w:val="1C3A36"/>
                <w:sz w:val="18"/>
              </w:rPr>
              <w:t>Less change in working capital</w:t>
            </w:r>
          </w:p>
        </w:tc>
        <w:tc>
          <w:tcPr>
            <w:tcW w:type="dxa" w:w="1354"/>
          </w:tcPr>
          <w:p>
            <w:pPr>
              <w:spacing w:after="20"/>
              <w:jc w:val="right"/>
            </w:pPr>
            <w:r>
              <w:rPr>
                <w:color w:val="1C3A36"/>
                <w:sz w:val="18"/>
              </w:rPr>
              <w:t>51</w:t>
            </w:r>
          </w:p>
        </w:tc>
        <w:tc>
          <w:tcPr>
            <w:tcW w:type="dxa" w:w="1354"/>
          </w:tcPr>
          <w:p>
            <w:pPr>
              <w:spacing w:after="20"/>
              <w:jc w:val="right"/>
            </w:pPr>
            <w:r>
              <w:rPr>
                <w:color w:val="1C3A36"/>
                <w:sz w:val="18"/>
              </w:rPr>
              <w:t>55</w:t>
            </w:r>
          </w:p>
        </w:tc>
        <w:tc>
          <w:tcPr>
            <w:tcW w:type="dxa" w:w="1354"/>
          </w:tcPr>
          <w:p>
            <w:pPr>
              <w:spacing w:after="20"/>
              <w:jc w:val="right"/>
            </w:pPr>
            <w:r>
              <w:rPr>
                <w:color w:val="1C3A36"/>
                <w:sz w:val="18"/>
              </w:rPr>
              <w:t>64</w:t>
            </w:r>
          </w:p>
        </w:tc>
        <w:tc>
          <w:tcPr>
            <w:tcW w:type="dxa" w:w="1354"/>
          </w:tcPr>
          <w:p>
            <w:pPr>
              <w:spacing w:after="20"/>
              <w:jc w:val="right"/>
            </w:pPr>
            <w:r>
              <w:rPr>
                <w:color w:val="1C3A36"/>
                <w:sz w:val="18"/>
              </w:rPr>
              <w:t>73</w:t>
            </w:r>
          </w:p>
        </w:tc>
        <w:tc>
          <w:tcPr>
            <w:tcW w:type="dxa" w:w="1354"/>
          </w:tcPr>
          <w:p>
            <w:pPr>
              <w:spacing w:after="20"/>
              <w:jc w:val="right"/>
            </w:pPr>
            <w:r>
              <w:rPr>
                <w:color w:val="1C3A36"/>
                <w:sz w:val="18"/>
              </w:rPr>
              <w:t>75</w:t>
            </w:r>
          </w:p>
        </w:tc>
      </w:tr>
      <w:tr>
        <w:tc>
          <w:tcPr>
            <w:tcW w:type="dxa" w:w="3240"/>
            <w:shd w:val="clear" w:color="auto" w:fill="F6F1E6"/>
          </w:tcPr>
          <w:p>
            <w:pPr>
              <w:spacing w:after="20"/>
            </w:pPr>
            <w:r>
              <w:rPr>
                <w:b/>
                <w:color w:val="1C3A36"/>
                <w:sz w:val="18"/>
              </w:rPr>
              <w:t>Free cash flow to the firm</w:t>
            </w:r>
          </w:p>
        </w:tc>
        <w:tc>
          <w:tcPr>
            <w:tcW w:type="dxa" w:w="1354"/>
            <w:shd w:val="clear" w:color="auto" w:fill="F6F1E6"/>
          </w:tcPr>
          <w:p>
            <w:pPr>
              <w:spacing w:after="20"/>
              <w:jc w:val="right"/>
            </w:pPr>
            <w:r>
              <w:rPr>
                <w:b/>
                <w:color w:val="1C3A36"/>
                <w:sz w:val="18"/>
              </w:rPr>
              <w:t>1,863</w:t>
            </w:r>
          </w:p>
        </w:tc>
        <w:tc>
          <w:tcPr>
            <w:tcW w:type="dxa" w:w="1354"/>
            <w:shd w:val="clear" w:color="auto" w:fill="F6F1E6"/>
          </w:tcPr>
          <w:p>
            <w:pPr>
              <w:spacing w:after="20"/>
              <w:jc w:val="right"/>
            </w:pPr>
            <w:r>
              <w:rPr>
                <w:b/>
                <w:color w:val="1C3A36"/>
                <w:sz w:val="18"/>
              </w:rPr>
              <w:t>1,852</w:t>
            </w:r>
          </w:p>
        </w:tc>
        <w:tc>
          <w:tcPr>
            <w:tcW w:type="dxa" w:w="1354"/>
            <w:shd w:val="clear" w:color="auto" w:fill="F6F1E6"/>
          </w:tcPr>
          <w:p>
            <w:pPr>
              <w:spacing w:after="20"/>
              <w:jc w:val="right"/>
            </w:pPr>
            <w:r>
              <w:rPr>
                <w:b/>
                <w:color w:val="1C3A36"/>
                <w:sz w:val="18"/>
              </w:rPr>
              <w:t>1,868</w:t>
            </w:r>
          </w:p>
        </w:tc>
        <w:tc>
          <w:tcPr>
            <w:tcW w:type="dxa" w:w="1354"/>
            <w:shd w:val="clear" w:color="auto" w:fill="F6F1E6"/>
          </w:tcPr>
          <w:p>
            <w:pPr>
              <w:spacing w:after="20"/>
              <w:jc w:val="right"/>
            </w:pPr>
            <w:r>
              <w:rPr>
                <w:b/>
                <w:color w:val="1C3A36"/>
                <w:sz w:val="18"/>
              </w:rPr>
              <w:t>1,978</w:t>
            </w:r>
          </w:p>
        </w:tc>
        <w:tc>
          <w:tcPr>
            <w:tcW w:type="dxa" w:w="1354"/>
            <w:shd w:val="clear" w:color="auto" w:fill="F6F1E6"/>
          </w:tcPr>
          <w:p>
            <w:pPr>
              <w:spacing w:after="20"/>
              <w:jc w:val="right"/>
            </w:pPr>
            <w:r>
              <w:rPr>
                <w:b/>
                <w:color w:val="1C3A36"/>
                <w:sz w:val="18"/>
              </w:rPr>
              <w:t>2,094</w:t>
            </w:r>
          </w:p>
        </w:tc>
      </w:tr>
      <w:tr>
        <w:tc>
          <w:tcPr>
            <w:tcW w:type="dxa" w:w="3240"/>
          </w:tcPr>
          <w:p>
            <w:pPr>
              <w:spacing w:after="20"/>
            </w:pPr>
            <w:r>
              <w:rPr>
                <w:color w:val="1C3A36"/>
                <w:sz w:val="18"/>
              </w:rPr>
              <w:t>Discount factor</w:t>
            </w:r>
          </w:p>
        </w:tc>
        <w:tc>
          <w:tcPr>
            <w:tcW w:type="dxa" w:w="1354"/>
          </w:tcPr>
          <w:p>
            <w:pPr>
              <w:spacing w:after="20"/>
              <w:jc w:val="right"/>
            </w:pPr>
            <w:r>
              <w:rPr>
                <w:color w:val="1C3A36"/>
                <w:sz w:val="18"/>
              </w:rPr>
              <w:t>0.7794</w:t>
            </w:r>
          </w:p>
        </w:tc>
        <w:tc>
          <w:tcPr>
            <w:tcW w:type="dxa" w:w="1354"/>
          </w:tcPr>
          <w:p>
            <w:pPr>
              <w:spacing w:after="20"/>
              <w:jc w:val="right"/>
            </w:pPr>
            <w:r>
              <w:rPr>
                <w:color w:val="1C3A36"/>
                <w:sz w:val="18"/>
              </w:rPr>
              <w:t>0.6289</w:t>
            </w:r>
          </w:p>
        </w:tc>
        <w:tc>
          <w:tcPr>
            <w:tcW w:type="dxa" w:w="1354"/>
          </w:tcPr>
          <w:p>
            <w:pPr>
              <w:spacing w:after="20"/>
              <w:jc w:val="right"/>
            </w:pPr>
            <w:r>
              <w:rPr>
                <w:color w:val="1C3A36"/>
                <w:sz w:val="18"/>
              </w:rPr>
              <w:t>0.5211</w:t>
            </w:r>
          </w:p>
        </w:tc>
        <w:tc>
          <w:tcPr>
            <w:tcW w:type="dxa" w:w="1354"/>
          </w:tcPr>
          <w:p>
            <w:pPr>
              <w:spacing w:after="20"/>
              <w:jc w:val="right"/>
            </w:pPr>
            <w:r>
              <w:rPr>
                <w:color w:val="1C3A36"/>
                <w:sz w:val="18"/>
              </w:rPr>
              <w:t>0.4414</w:t>
            </w:r>
          </w:p>
        </w:tc>
        <w:tc>
          <w:tcPr>
            <w:tcW w:type="dxa" w:w="1354"/>
          </w:tcPr>
          <w:p>
            <w:pPr>
              <w:spacing w:after="20"/>
              <w:jc w:val="right"/>
            </w:pPr>
            <w:r>
              <w:rPr>
                <w:color w:val="1C3A36"/>
                <w:sz w:val="18"/>
              </w:rPr>
              <w:t>0.3794</w:t>
            </w:r>
          </w:p>
        </w:tc>
      </w:tr>
      <w:tr>
        <w:tc>
          <w:tcPr>
            <w:tcW w:type="dxa" w:w="3240"/>
            <w:shd w:val="clear" w:color="auto" w:fill="F6F1E6"/>
          </w:tcPr>
          <w:p>
            <w:pPr>
              <w:spacing w:after="20"/>
            </w:pPr>
            <w:r>
              <w:rPr>
                <w:b/>
                <w:color w:val="1C3A36"/>
                <w:sz w:val="18"/>
              </w:rPr>
              <w:t>Present value of free cash flow</w:t>
            </w:r>
          </w:p>
        </w:tc>
        <w:tc>
          <w:tcPr>
            <w:tcW w:type="dxa" w:w="1354"/>
            <w:shd w:val="clear" w:color="auto" w:fill="F6F1E6"/>
          </w:tcPr>
          <w:p>
            <w:pPr>
              <w:spacing w:after="20"/>
              <w:jc w:val="right"/>
            </w:pPr>
            <w:r>
              <w:rPr>
                <w:b/>
                <w:color w:val="1C3A36"/>
                <w:sz w:val="18"/>
              </w:rPr>
              <w:t>1,452</w:t>
            </w:r>
          </w:p>
        </w:tc>
        <w:tc>
          <w:tcPr>
            <w:tcW w:type="dxa" w:w="1354"/>
            <w:shd w:val="clear" w:color="auto" w:fill="F6F1E6"/>
          </w:tcPr>
          <w:p>
            <w:pPr>
              <w:spacing w:after="20"/>
              <w:jc w:val="right"/>
            </w:pPr>
            <w:r>
              <w:rPr>
                <w:b/>
                <w:color w:val="1C3A36"/>
                <w:sz w:val="18"/>
              </w:rPr>
              <w:t>1,165</w:t>
            </w:r>
          </w:p>
        </w:tc>
        <w:tc>
          <w:tcPr>
            <w:tcW w:type="dxa" w:w="1354"/>
            <w:shd w:val="clear" w:color="auto" w:fill="F6F1E6"/>
          </w:tcPr>
          <w:p>
            <w:pPr>
              <w:spacing w:after="20"/>
              <w:jc w:val="right"/>
            </w:pPr>
            <w:r>
              <w:rPr>
                <w:b/>
                <w:color w:val="1C3A36"/>
                <w:sz w:val="18"/>
              </w:rPr>
              <w:t>973</w:t>
            </w:r>
          </w:p>
        </w:tc>
        <w:tc>
          <w:tcPr>
            <w:tcW w:type="dxa" w:w="1354"/>
            <w:shd w:val="clear" w:color="auto" w:fill="F6F1E6"/>
          </w:tcPr>
          <w:p>
            <w:pPr>
              <w:spacing w:after="20"/>
              <w:jc w:val="right"/>
            </w:pPr>
            <w:r>
              <w:rPr>
                <w:b/>
                <w:color w:val="1C3A36"/>
                <w:sz w:val="18"/>
              </w:rPr>
              <w:t>873</w:t>
            </w:r>
          </w:p>
        </w:tc>
        <w:tc>
          <w:tcPr>
            <w:tcW w:type="dxa" w:w="1354"/>
            <w:shd w:val="clear" w:color="auto" w:fill="F6F1E6"/>
          </w:tcPr>
          <w:p>
            <w:pPr>
              <w:spacing w:after="20"/>
              <w:jc w:val="right"/>
            </w:pPr>
            <w:r>
              <w:rPr>
                <w:b/>
                <w:color w:val="1C3A36"/>
                <w:sz w:val="18"/>
              </w:rPr>
              <w:t>794</w:t>
            </w:r>
          </w:p>
        </w:tc>
      </w:tr>
    </w:tbl>
    <w:p>
      <w:pPr>
        <w:spacing w:after="40"/>
      </w:pPr>
    </w:p>
    <w:p>
      <w:pPr>
        <w:spacing w:after="200" w:before="0"/>
      </w:pPr>
      <w:r>
        <w:rPr>
          <w:b w:val="0"/>
          <w:i/>
          <w:color w:val="6E7B77"/>
          <w:sz w:val="17"/>
        </w:rPr>
        <w:t>Table 1 — The full waterfall from revenue to the present value of free cash flow to the firm. Every line is a live formula in the companion model.</w:t>
      </w:r>
    </w:p>
    <w:p>
      <w:pPr>
        <w:spacing w:after="120" w:before="0"/>
      </w:pPr>
      <w:r>
        <w:rPr>
          <w:b w:val="0"/>
          <w:i w:val="0"/>
          <w:color w:val="1C3A36"/>
          <w:sz w:val="21"/>
        </w:rPr>
        <w:t>The discount rate is not one number. Egypt's cost of capital today reflects a policy rate of 19.50% and a ten-year government yield of 22.31%, neither of which the central bank itself expects to persist — its own published medium-term inflation target is 5%. Applying today's rate to a perpetuity would assert that Egypt never normalises. Each forecast year is therefore discounted at its own forward rate, sliding from the explicit-window cost of capital to the terminal one, and the terminal value is discounted using the identical cumulative factor as the year-five cash flow. One date, one price of time.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354"/>
        <w:gridCol w:w="1354"/>
        <w:gridCol w:w="1354"/>
        <w:gridCol w:w="1354"/>
        <w:gridCol w:w="1354"/>
      </w:tblGrid>
      <w:tr>
        <w:tc>
          <w:tcPr>
            <w:tcW w:type="dxa" w:w="3240"/>
            <w:shd w:val="clear" w:color="auto" w:fill="EAF0EE"/>
          </w:tcPr>
          <w:p>
            <w:pPr>
              <w:spacing w:after="20"/>
            </w:pPr>
            <w:r>
              <w:rPr>
                <w:b/>
                <w:color w:val="1C3A36"/>
                <w:sz w:val="18"/>
              </w:rPr>
            </w:r>
          </w:p>
        </w:tc>
        <w:tc>
          <w:tcPr>
            <w:tcW w:type="dxa" w:w="1354"/>
            <w:shd w:val="clear" w:color="auto" w:fill="EAF0EE"/>
          </w:tcPr>
          <w:p>
            <w:pPr>
              <w:spacing w:after="20"/>
            </w:pPr>
            <w:r>
              <w:rPr>
                <w:b/>
                <w:color w:val="1C3A36"/>
                <w:sz w:val="18"/>
              </w:rPr>
              <w:t>Year 1</w:t>
            </w:r>
          </w:p>
        </w:tc>
        <w:tc>
          <w:tcPr>
            <w:tcW w:type="dxa" w:w="1354"/>
            <w:shd w:val="clear" w:color="auto" w:fill="EAF0EE"/>
          </w:tcPr>
          <w:p>
            <w:pPr>
              <w:spacing w:after="20"/>
            </w:pPr>
            <w:r>
              <w:rPr>
                <w:b/>
                <w:color w:val="1C3A36"/>
                <w:sz w:val="18"/>
              </w:rPr>
              <w:t>Year 2</w:t>
            </w:r>
          </w:p>
        </w:tc>
        <w:tc>
          <w:tcPr>
            <w:tcW w:type="dxa" w:w="1354"/>
            <w:shd w:val="clear" w:color="auto" w:fill="EAF0EE"/>
          </w:tcPr>
          <w:p>
            <w:pPr>
              <w:spacing w:after="20"/>
            </w:pPr>
            <w:r>
              <w:rPr>
                <w:b/>
                <w:color w:val="1C3A36"/>
                <w:sz w:val="18"/>
              </w:rPr>
              <w:t>Year 3</w:t>
            </w:r>
          </w:p>
        </w:tc>
        <w:tc>
          <w:tcPr>
            <w:tcW w:type="dxa" w:w="1354"/>
            <w:shd w:val="clear" w:color="auto" w:fill="EAF0EE"/>
          </w:tcPr>
          <w:p>
            <w:pPr>
              <w:spacing w:after="20"/>
            </w:pPr>
            <w:r>
              <w:rPr>
                <w:b/>
                <w:color w:val="1C3A36"/>
                <w:sz w:val="18"/>
              </w:rPr>
              <w:t>Year 4</w:t>
            </w:r>
          </w:p>
        </w:tc>
        <w:tc>
          <w:tcPr>
            <w:tcW w:type="dxa" w:w="1354"/>
            <w:shd w:val="clear" w:color="auto" w:fill="EAF0EE"/>
          </w:tcPr>
          <w:p>
            <w:pPr>
              <w:spacing w:after="20"/>
            </w:pPr>
            <w:r>
              <w:rPr>
                <w:b/>
                <w:color w:val="1C3A36"/>
                <w:sz w:val="18"/>
              </w:rPr>
              <w:t>Year 5</w:t>
            </w:r>
          </w:p>
        </w:tc>
      </w:tr>
      <w:tr>
        <w:tc>
          <w:tcPr>
            <w:tcW w:type="dxa" w:w="3240"/>
          </w:tcPr>
          <w:p>
            <w:pPr>
              <w:spacing w:after="20"/>
            </w:pPr>
            <w:r>
              <w:rPr>
                <w:color w:val="1C3A36"/>
                <w:sz w:val="18"/>
              </w:rPr>
              <w:t>Forward cost of capital</w:t>
            </w:r>
          </w:p>
        </w:tc>
        <w:tc>
          <w:tcPr>
            <w:tcW w:type="dxa" w:w="1354"/>
          </w:tcPr>
          <w:p>
            <w:pPr>
              <w:spacing w:after="20"/>
              <w:jc w:val="right"/>
            </w:pPr>
            <w:r>
              <w:rPr>
                <w:color w:val="1C3A36"/>
                <w:sz w:val="18"/>
              </w:rPr>
              <w:t>28.30%</w:t>
            </w:r>
          </w:p>
        </w:tc>
        <w:tc>
          <w:tcPr>
            <w:tcW w:type="dxa" w:w="1354"/>
          </w:tcPr>
          <w:p>
            <w:pPr>
              <w:spacing w:after="20"/>
              <w:jc w:val="right"/>
            </w:pPr>
            <w:r>
              <w:rPr>
                <w:color w:val="1C3A36"/>
                <w:sz w:val="18"/>
              </w:rPr>
              <w:t>23.94%</w:t>
            </w:r>
          </w:p>
        </w:tc>
        <w:tc>
          <w:tcPr>
            <w:tcW w:type="dxa" w:w="1354"/>
          </w:tcPr>
          <w:p>
            <w:pPr>
              <w:spacing w:after="20"/>
              <w:jc w:val="right"/>
            </w:pPr>
            <w:r>
              <w:rPr>
                <w:color w:val="1C3A36"/>
                <w:sz w:val="18"/>
              </w:rPr>
              <w:t>20.68%</w:t>
            </w:r>
          </w:p>
        </w:tc>
        <w:tc>
          <w:tcPr>
            <w:tcW w:type="dxa" w:w="1354"/>
          </w:tcPr>
          <w:p>
            <w:pPr>
              <w:spacing w:after="20"/>
              <w:jc w:val="right"/>
            </w:pPr>
            <w:r>
              <w:rPr>
                <w:color w:val="1C3A36"/>
                <w:sz w:val="18"/>
              </w:rPr>
              <w:t>18.07%</w:t>
            </w:r>
          </w:p>
        </w:tc>
        <w:tc>
          <w:tcPr>
            <w:tcW w:type="dxa" w:w="1354"/>
          </w:tcPr>
          <w:p>
            <w:pPr>
              <w:spacing w:after="20"/>
              <w:jc w:val="right"/>
            </w:pPr>
            <w:r>
              <w:rPr>
                <w:color w:val="1C3A36"/>
                <w:sz w:val="18"/>
              </w:rPr>
              <w:t>16.32%</w:t>
            </w:r>
          </w:p>
        </w:tc>
      </w:tr>
      <w:tr>
        <w:tc>
          <w:tcPr>
            <w:tcW w:type="dxa" w:w="3240"/>
          </w:tcPr>
          <w:p>
            <w:pPr>
              <w:spacing w:after="20"/>
            </w:pPr>
            <w:r>
              <w:rPr>
                <w:color w:val="1C3A36"/>
                <w:sz w:val="18"/>
              </w:rPr>
              <w:t>Cumulative discount factor</w:t>
            </w:r>
          </w:p>
        </w:tc>
        <w:tc>
          <w:tcPr>
            <w:tcW w:type="dxa" w:w="1354"/>
          </w:tcPr>
          <w:p>
            <w:pPr>
              <w:spacing w:after="20"/>
              <w:jc w:val="right"/>
            </w:pPr>
            <w:r>
              <w:rPr>
                <w:color w:val="1C3A36"/>
                <w:sz w:val="18"/>
              </w:rPr>
              <w:t>0.7794</w:t>
            </w:r>
          </w:p>
        </w:tc>
        <w:tc>
          <w:tcPr>
            <w:tcW w:type="dxa" w:w="1354"/>
          </w:tcPr>
          <w:p>
            <w:pPr>
              <w:spacing w:after="20"/>
              <w:jc w:val="right"/>
            </w:pPr>
            <w:r>
              <w:rPr>
                <w:color w:val="1C3A36"/>
                <w:sz w:val="18"/>
              </w:rPr>
              <w:t>0.6289</w:t>
            </w:r>
          </w:p>
        </w:tc>
        <w:tc>
          <w:tcPr>
            <w:tcW w:type="dxa" w:w="1354"/>
          </w:tcPr>
          <w:p>
            <w:pPr>
              <w:spacing w:after="20"/>
              <w:jc w:val="right"/>
            </w:pPr>
            <w:r>
              <w:rPr>
                <w:color w:val="1C3A36"/>
                <w:sz w:val="18"/>
              </w:rPr>
              <w:t>0.5211</w:t>
            </w:r>
          </w:p>
        </w:tc>
        <w:tc>
          <w:tcPr>
            <w:tcW w:type="dxa" w:w="1354"/>
          </w:tcPr>
          <w:p>
            <w:pPr>
              <w:spacing w:after="20"/>
              <w:jc w:val="right"/>
            </w:pPr>
            <w:r>
              <w:rPr>
                <w:color w:val="1C3A36"/>
                <w:sz w:val="18"/>
              </w:rPr>
              <w:t>0.4414</w:t>
            </w:r>
          </w:p>
        </w:tc>
        <w:tc>
          <w:tcPr>
            <w:tcW w:type="dxa" w:w="1354"/>
          </w:tcPr>
          <w:p>
            <w:pPr>
              <w:spacing w:after="20"/>
              <w:jc w:val="right"/>
            </w:pPr>
            <w:r>
              <w:rPr>
                <w:color w:val="1C3A36"/>
                <w:sz w:val="18"/>
              </w:rPr>
              <w:t>0.3794</w:t>
            </w:r>
          </w:p>
        </w:tc>
      </w:tr>
    </w:tbl>
    <w:p>
      <w:pPr>
        <w:spacing w:after="40"/>
      </w:pPr>
    </w:p>
    <w:p>
      <w:pPr>
        <w:spacing w:after="200" w:before="0"/>
      </w:pPr>
      <w:r>
        <w:rPr>
          <w:b w:val="0"/>
          <w:i/>
          <w:color w:val="6E7B77"/>
          <w:sz w:val="17"/>
        </w:rPr>
        <w:t>Table 2 — The discount schedule. The shape of the slide is inherited from the assumed borrowing-cost path rather than invented separately.</w:t>
      </w:r>
    </w:p>
    <w:p>
      <w:pPr>
        <w:spacing w:after="80" w:before="200"/>
      </w:pPr>
      <w:r>
        <w:rPr>
          <w:b/>
          <w:i w:val="0"/>
          <w:color w:val="1C3A36"/>
          <w:sz w:val="24"/>
        </w:rPr>
        <w:t>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76"/>
        <w:gridCol w:w="2232"/>
      </w:tblGrid>
      <w:tr>
        <w:tc>
          <w:tcPr>
            <w:tcW w:type="dxa" w:w="5112"/>
            <w:shd w:val="clear" w:color="auto" w:fill="EAF0EE"/>
          </w:tcPr>
          <w:p>
            <w:pPr>
              <w:spacing w:after="20"/>
            </w:pPr>
            <w:r>
              <w:rPr>
                <w:b/>
                <w:color w:val="1C3A36"/>
                <w:sz w:val="18"/>
              </w:rPr>
            </w:r>
          </w:p>
        </w:tc>
        <w:tc>
          <w:tcPr>
            <w:tcW w:type="dxa" w:w="2376"/>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Per share (EGP)</w:t>
            </w:r>
          </w:p>
        </w:tc>
      </w:tr>
      <w:tr>
        <w:tc>
          <w:tcPr>
            <w:tcW w:type="dxa" w:w="5112"/>
          </w:tcPr>
          <w:p>
            <w:pPr>
              <w:spacing w:after="20"/>
            </w:pPr>
            <w:r>
              <w:rPr>
                <w:color w:val="1C3A36"/>
                <w:sz w:val="18"/>
              </w:rPr>
              <w:t>Present value of the explicit five years</w:t>
            </w:r>
          </w:p>
        </w:tc>
        <w:tc>
          <w:tcPr>
            <w:tcW w:type="dxa" w:w="2376"/>
          </w:tcPr>
          <w:p>
            <w:pPr>
              <w:spacing w:after="20"/>
              <w:jc w:val="right"/>
            </w:pPr>
            <w:r>
              <w:rPr>
                <w:color w:val="1C3A36"/>
                <w:sz w:val="18"/>
              </w:rPr>
              <w:t>5,258</w:t>
            </w:r>
          </w:p>
        </w:tc>
        <w:tc>
          <w:tcPr>
            <w:tcW w:type="dxa" w:w="2232"/>
          </w:tcPr>
          <w:p>
            <w:pPr>
              <w:spacing w:after="20"/>
              <w:jc w:val="right"/>
            </w:pPr>
            <w:r>
              <w:rPr>
                <w:color w:val="1C3A36"/>
                <w:sz w:val="18"/>
              </w:rPr>
              <w:t>20.16</w:t>
            </w:r>
          </w:p>
        </w:tc>
      </w:tr>
      <w:tr>
        <w:tc>
          <w:tcPr>
            <w:tcW w:type="dxa" w:w="5112"/>
          </w:tcPr>
          <w:p>
            <w:pPr>
              <w:spacing w:after="20"/>
            </w:pPr>
            <w:r>
              <w:rPr>
                <w:color w:val="1C3A36"/>
                <w:sz w:val="18"/>
              </w:rPr>
              <w:t>Present value of the terminal value</w:t>
            </w:r>
          </w:p>
        </w:tc>
        <w:tc>
          <w:tcPr>
            <w:tcW w:type="dxa" w:w="2376"/>
          </w:tcPr>
          <w:p>
            <w:pPr>
              <w:spacing w:after="20"/>
              <w:jc w:val="right"/>
            </w:pPr>
            <w:r>
              <w:rPr>
                <w:color w:val="1C3A36"/>
                <w:sz w:val="18"/>
              </w:rPr>
              <w:t>3,646</w:t>
            </w:r>
          </w:p>
        </w:tc>
        <w:tc>
          <w:tcPr>
            <w:tcW w:type="dxa" w:w="2232"/>
          </w:tcPr>
          <w:p>
            <w:pPr>
              <w:spacing w:after="20"/>
              <w:jc w:val="right"/>
            </w:pPr>
            <w:r>
              <w:rPr>
                <w:color w:val="1C3A36"/>
                <w:sz w:val="18"/>
              </w:rPr>
              <w:t>13.98</w:t>
            </w:r>
          </w:p>
        </w:tc>
      </w:tr>
      <w:tr>
        <w:tc>
          <w:tcPr>
            <w:tcW w:type="dxa" w:w="5112"/>
          </w:tcPr>
          <w:p>
            <w:pPr>
              <w:spacing w:after="20"/>
            </w:pPr>
            <w:r>
              <w:rPr>
                <w:color w:val="1C3A36"/>
                <w:sz w:val="18"/>
              </w:rPr>
              <w:t>Enterprise value</w:t>
            </w:r>
          </w:p>
        </w:tc>
        <w:tc>
          <w:tcPr>
            <w:tcW w:type="dxa" w:w="2376"/>
          </w:tcPr>
          <w:p>
            <w:pPr>
              <w:spacing w:after="20"/>
              <w:jc w:val="right"/>
            </w:pPr>
            <w:r>
              <w:rPr>
                <w:color w:val="1C3A36"/>
                <w:sz w:val="18"/>
              </w:rPr>
              <w:t>8,904</w:t>
            </w:r>
          </w:p>
        </w:tc>
        <w:tc>
          <w:tcPr>
            <w:tcW w:type="dxa" w:w="2232"/>
          </w:tcPr>
          <w:p>
            <w:pPr>
              <w:spacing w:after="20"/>
              <w:jc w:val="right"/>
            </w:pPr>
            <w:r>
              <w:rPr>
                <w:color w:val="1C3A36"/>
                <w:sz w:val="18"/>
              </w:rPr>
              <w:t>34.14</w:t>
            </w:r>
          </w:p>
        </w:tc>
      </w:tr>
      <w:tr>
        <w:tc>
          <w:tcPr>
            <w:tcW w:type="dxa" w:w="5112"/>
            <w:shd w:val="clear" w:color="auto" w:fill="F6F1E6"/>
          </w:tcPr>
          <w:p>
            <w:pPr>
              <w:spacing w:after="20"/>
            </w:pPr>
            <w:r>
              <w:rPr>
                <w:b/>
                <w:color w:val="1C3A36"/>
                <w:sz w:val="18"/>
              </w:rPr>
              <w:t>Terminal value as a percentage of enterprise value</w:t>
            </w:r>
          </w:p>
        </w:tc>
        <w:tc>
          <w:tcPr>
            <w:tcW w:type="dxa" w:w="2376"/>
            <w:shd w:val="clear" w:color="auto" w:fill="F6F1E6"/>
          </w:tcPr>
          <w:p>
            <w:pPr>
              <w:spacing w:after="20"/>
              <w:jc w:val="right"/>
            </w:pPr>
            <w:r>
              <w:rPr>
                <w:b/>
                <w:color w:val="1C3A36"/>
                <w:sz w:val="18"/>
              </w:rPr>
              <w:t>41.0%</w:t>
            </w:r>
          </w:p>
        </w:tc>
        <w:tc>
          <w:tcPr>
            <w:tcW w:type="dxa" w:w="2232"/>
            <w:shd w:val="clear" w:color="auto" w:fill="F6F1E6"/>
          </w:tcPr>
          <w:p>
            <w:pPr>
              <w:spacing w:after="20"/>
              <w:jc w:val="right"/>
            </w:pPr>
            <w:r>
              <w:rPr>
                <w:b/>
                <w:color w:val="1C3A36"/>
                <w:sz w:val="18"/>
              </w:rPr>
              <w:t>—</w:t>
            </w:r>
          </w:p>
        </w:tc>
      </w:tr>
      <w:tr>
        <w:tc>
          <w:tcPr>
            <w:tcW w:type="dxa" w:w="5112"/>
          </w:tcPr>
          <w:p>
            <w:pPr>
              <w:spacing w:after="20"/>
            </w:pPr>
            <w:r>
              <w:rPr>
                <w:color w:val="1C3A36"/>
                <w:sz w:val="18"/>
              </w:rPr>
              <w:t>Plus net cash</w:t>
            </w:r>
          </w:p>
        </w:tc>
        <w:tc>
          <w:tcPr>
            <w:tcW w:type="dxa" w:w="2376"/>
          </w:tcPr>
          <w:p>
            <w:pPr>
              <w:spacing w:after="20"/>
              <w:jc w:val="right"/>
            </w:pPr>
            <w:r>
              <w:rPr>
                <w:color w:val="1C3A36"/>
                <w:sz w:val="18"/>
              </w:rPr>
              <w:t>5,307</w:t>
            </w:r>
          </w:p>
        </w:tc>
        <w:tc>
          <w:tcPr>
            <w:tcW w:type="dxa" w:w="2232"/>
          </w:tcPr>
          <w:p>
            <w:pPr>
              <w:spacing w:after="20"/>
              <w:jc w:val="right"/>
            </w:pPr>
            <w:r>
              <w:rPr>
                <w:color w:val="1C3A36"/>
                <w:sz w:val="18"/>
              </w:rPr>
              <w:t>20.35</w:t>
            </w:r>
          </w:p>
        </w:tc>
      </w:tr>
      <w:tr>
        <w:tc>
          <w:tcPr>
            <w:tcW w:type="dxa" w:w="5112"/>
            <w:shd w:val="clear" w:color="auto" w:fill="F6F1E6"/>
          </w:tcPr>
          <w:p>
            <w:pPr>
              <w:spacing w:after="20"/>
            </w:pPr>
            <w:r>
              <w:rPr>
                <w:b/>
                <w:color w:val="1C3A36"/>
                <w:sz w:val="18"/>
              </w:rPr>
              <w:t>Equity value</w:t>
            </w:r>
          </w:p>
        </w:tc>
        <w:tc>
          <w:tcPr>
            <w:tcW w:type="dxa" w:w="2376"/>
            <w:shd w:val="clear" w:color="auto" w:fill="F6F1E6"/>
          </w:tcPr>
          <w:p>
            <w:pPr>
              <w:spacing w:after="20"/>
              <w:jc w:val="right"/>
            </w:pPr>
            <w:r>
              <w:rPr>
                <w:b/>
                <w:color w:val="1C3A36"/>
                <w:sz w:val="18"/>
              </w:rPr>
              <w:t>14,211</w:t>
            </w:r>
          </w:p>
        </w:tc>
        <w:tc>
          <w:tcPr>
            <w:tcW w:type="dxa" w:w="2232"/>
            <w:shd w:val="clear" w:color="auto" w:fill="F6F1E6"/>
          </w:tcPr>
          <w:p>
            <w:pPr>
              <w:spacing w:after="20"/>
              <w:jc w:val="right"/>
            </w:pPr>
            <w:r>
              <w:rPr>
                <w:b/>
                <w:color w:val="1C3A36"/>
                <w:sz w:val="18"/>
              </w:rPr>
              <w:t>54.49</w:t>
            </w:r>
          </w:p>
        </w:tc>
      </w:tr>
      <w:tr>
        <w:tc>
          <w:tcPr>
            <w:tcW w:type="dxa" w:w="5112"/>
          </w:tcPr>
          <w:p>
            <w:pPr>
              <w:spacing w:after="20"/>
            </w:pPr>
            <w:r>
              <w:rPr>
                <w:color w:val="1C3A36"/>
                <w:sz w:val="18"/>
              </w:rPr>
              <w:t>Market price</w:t>
            </w:r>
          </w:p>
        </w:tc>
        <w:tc>
          <w:tcPr>
            <w:tcW w:type="dxa" w:w="2376"/>
          </w:tcPr>
          <w:p>
            <w:pPr>
              <w:spacing w:after="20"/>
              <w:jc w:val="right"/>
            </w:pPr>
            <w:r>
              <w:rPr>
                <w:color w:val="1C3A36"/>
                <w:sz w:val="18"/>
              </w:rPr>
              <w:t>—</w:t>
            </w:r>
          </w:p>
        </w:tc>
        <w:tc>
          <w:tcPr>
            <w:tcW w:type="dxa" w:w="2232"/>
          </w:tcPr>
          <w:p>
            <w:pPr>
              <w:spacing w:after="20"/>
              <w:jc w:val="right"/>
            </w:pPr>
            <w:r>
              <w:rPr>
                <w:color w:val="1C3A36"/>
                <w:sz w:val="18"/>
              </w:rPr>
              <w:t>79.00</w:t>
            </w:r>
          </w:p>
        </w:tc>
      </w:tr>
    </w:tbl>
    <w:p>
      <w:pPr>
        <w:spacing w:after="40"/>
      </w:pPr>
    </w:p>
    <w:p>
      <w:pPr>
        <w:spacing w:after="200" w:before="0"/>
      </w:pPr>
      <w:r>
        <w:rPr>
          <w:b w:val="0"/>
          <w:i/>
          <w:color w:val="6E7B77"/>
          <w:sz w:val="17"/>
        </w:rPr>
        <w:t>Table 3 — The bridge. Net cash is ADDED, because this company holds more cash than debt. Terminal value is 41% of enterprise value — a modest share, and deliberately so; the next section explains why.</w:t>
      </w:r>
    </w:p>
    <w:p>
      <w:pPr>
        <w:spacing w:after="80" w:before="200"/>
      </w:pPr>
      <w:r>
        <w:rPr>
          <w:b/>
          <w:i w:val="0"/>
          <w:color w:val="1C3A36"/>
          <w:sz w:val="24"/>
        </w:rPr>
        <w:t>The terminal value, and the judgement that decides it</w:t>
      </w:r>
    </w:p>
    <w:p>
      <w:pPr>
        <w:spacing w:after="120" w:before="0"/>
      </w:pPr>
      <w:r>
        <w:rPr>
          <w:b w:val="0"/>
          <w:i w:val="0"/>
          <w:color w:val="1C3A36"/>
          <w:sz w:val="21"/>
        </w:rPr>
        <w:t>The single most consequential judgement in this valuation is what return the company earns on capital in perpetuity, because that sets how much of its profit growth must be paid for. Measured on the books, the answer is absurd. The El Hassana plant was commissioned from 1997 and is carried at historic cost in pre-devaluation pounds, so book invested capital at the end of the forecast is only EGP 1,351 million and the implied return on it is 172%. Taken at face value that would mean 5% perpetual growth could be bought for 2.9% of profit — growth for almost nothing.</w:t>
      </w:r>
    </w:p>
    <w:p>
      <w:pPr>
        <w:spacing w:after="120" w:before="0"/>
      </w:pPr>
      <w:r>
        <w:rPr>
          <w:b w:val="0"/>
          <w:i w:val="0"/>
          <w:color w:val="1C3A36"/>
          <w:sz w:val="21"/>
        </w:rPr>
        <w:t>So the terminal return is struck on replacement cost instead. Building 3.8 million tonnes of grey-cement capacity costs about USD 130 per annual tonne, which is EGP 24,601 million at today's exchange rate. On that basis the terminal return on capital is 9.4% and the reinvestment rate is 53.1% of profit. Growth is only real if someone pays today's price for the capacity that delivers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37"/>
        <w:gridCol w:w="1526"/>
        <w:gridCol w:w="1411"/>
        <w:gridCol w:w="1210"/>
        <w:gridCol w:w="1526"/>
        <w:gridCol w:w="1584"/>
        <w:gridCol w:w="1526"/>
      </w:tblGrid>
      <w:tr>
        <w:tc>
          <w:tcPr>
            <w:tcW w:type="dxa" w:w="1037"/>
            <w:shd w:val="clear" w:color="auto" w:fill="EAF0EE"/>
          </w:tcPr>
          <w:p>
            <w:pPr>
              <w:spacing w:after="20"/>
            </w:pPr>
            <w:r>
              <w:rPr>
                <w:b/>
                <w:color w:val="1C3A36"/>
                <w:sz w:val="17"/>
              </w:rPr>
              <w:t>Year</w:t>
            </w:r>
          </w:p>
        </w:tc>
        <w:tc>
          <w:tcPr>
            <w:tcW w:type="dxa" w:w="1526"/>
            <w:shd w:val="clear" w:color="auto" w:fill="EAF0EE"/>
          </w:tcPr>
          <w:p>
            <w:pPr>
              <w:spacing w:after="20"/>
            </w:pPr>
            <w:r>
              <w:rPr>
                <w:b/>
                <w:color w:val="1C3A36"/>
                <w:sz w:val="17"/>
              </w:rPr>
              <w:t>Capex (EGP mn)</w:t>
            </w:r>
          </w:p>
        </w:tc>
        <w:tc>
          <w:tcPr>
            <w:tcW w:type="dxa" w:w="1411"/>
            <w:shd w:val="clear" w:color="auto" w:fill="EAF0EE"/>
          </w:tcPr>
          <w:p>
            <w:pPr>
              <w:spacing w:after="20"/>
            </w:pPr>
            <w:r>
              <w:rPr>
                <w:b/>
                <w:color w:val="1C3A36"/>
                <w:sz w:val="17"/>
              </w:rPr>
              <w:t>Capex / EBITDA</w:t>
            </w:r>
          </w:p>
        </w:tc>
        <w:tc>
          <w:tcPr>
            <w:tcW w:type="dxa" w:w="1210"/>
            <w:shd w:val="clear" w:color="auto" w:fill="EAF0EE"/>
          </w:tcPr>
          <w:p>
            <w:pPr>
              <w:spacing w:after="20"/>
            </w:pPr>
            <w:r>
              <w:rPr>
                <w:b/>
                <w:color w:val="1C3A36"/>
                <w:sz w:val="17"/>
              </w:rPr>
              <w:t>Character</w:t>
            </w:r>
          </w:p>
        </w:tc>
        <w:tc>
          <w:tcPr>
            <w:tcW w:type="dxa" w:w="1526"/>
            <w:shd w:val="clear" w:color="auto" w:fill="EAF0EE"/>
          </w:tcPr>
          <w:p>
            <w:pPr>
              <w:spacing w:after="20"/>
            </w:pPr>
            <w:r>
              <w:rPr>
                <w:b/>
                <w:color w:val="1C3A36"/>
                <w:sz w:val="17"/>
              </w:rPr>
              <w:t>NOPAT (EGP mn)</w:t>
            </w:r>
          </w:p>
        </w:tc>
        <w:tc>
          <w:tcPr>
            <w:tcW w:type="dxa" w:w="1584"/>
            <w:shd w:val="clear" w:color="auto" w:fill="EAF0EE"/>
          </w:tcPr>
          <w:p>
            <w:pPr>
              <w:spacing w:after="20"/>
            </w:pPr>
            <w:r>
              <w:rPr>
                <w:b/>
                <w:color w:val="1C3A36"/>
                <w:sz w:val="17"/>
              </w:rPr>
              <w:t>Return on capital</w:t>
            </w:r>
          </w:p>
        </w:tc>
        <w:tc>
          <w:tcPr>
            <w:tcW w:type="dxa" w:w="1526"/>
            <w:shd w:val="clear" w:color="auto" w:fill="EAF0EE"/>
          </w:tcPr>
          <w:p>
            <w:pPr>
              <w:spacing w:after="20"/>
            </w:pPr>
            <w:r>
              <w:rPr>
                <w:b/>
                <w:color w:val="1C3A36"/>
                <w:sz w:val="17"/>
              </w:rPr>
              <w:t>Reinvestment rate</w:t>
            </w:r>
          </w:p>
        </w:tc>
      </w:tr>
      <w:tr>
        <w:tc>
          <w:tcPr>
            <w:tcW w:type="dxa" w:w="1037"/>
          </w:tcPr>
          <w:p>
            <w:pPr>
              <w:spacing w:after="20"/>
            </w:pPr>
            <w:r>
              <w:rPr>
                <w:color w:val="1C3A36"/>
                <w:sz w:val="17"/>
              </w:rPr>
              <w:t>FY2023</w:t>
            </w:r>
          </w:p>
        </w:tc>
        <w:tc>
          <w:tcPr>
            <w:tcW w:type="dxa" w:w="1526"/>
          </w:tcPr>
          <w:p>
            <w:pPr>
              <w:spacing w:after="20"/>
              <w:jc w:val="right"/>
            </w:pPr>
            <w:r>
              <w:rPr>
                <w:color w:val="1C3A36"/>
                <w:sz w:val="17"/>
              </w:rPr>
              <w:t>205</w:t>
            </w:r>
          </w:p>
        </w:tc>
        <w:tc>
          <w:tcPr>
            <w:tcW w:type="dxa" w:w="1411"/>
          </w:tcPr>
          <w:p>
            <w:pPr>
              <w:spacing w:after="20"/>
              <w:jc w:val="right"/>
            </w:pPr>
            <w:r>
              <w:rPr>
                <w:color w:val="1C3A36"/>
                <w:sz w:val="17"/>
              </w:rPr>
              <w:t>2.48x</w:t>
            </w:r>
          </w:p>
        </w:tc>
        <w:tc>
          <w:tcPr>
            <w:tcW w:type="dxa" w:w="1210"/>
          </w:tcPr>
          <w:p>
            <w:pPr>
              <w:spacing w:after="20"/>
              <w:jc w:val="right"/>
            </w:pPr>
            <w:r>
              <w:rPr>
                <w:color w:val="1C3A36"/>
                <w:sz w:val="17"/>
              </w:rPr>
              <w:t>burst</w:t>
            </w:r>
          </w:p>
        </w:tc>
        <w:tc>
          <w:tcPr>
            <w:tcW w:type="dxa" w:w="1526"/>
          </w:tcPr>
          <w:p>
            <w:pPr>
              <w:spacing w:after="20"/>
              <w:jc w:val="right"/>
            </w:pPr>
            <w:r>
              <w:rPr>
                <w:color w:val="1C3A36"/>
                <w:sz w:val="17"/>
              </w:rPr>
              <w:t>-319</w:t>
            </w:r>
          </w:p>
        </w:tc>
        <w:tc>
          <w:tcPr>
            <w:tcW w:type="dxa" w:w="1584"/>
          </w:tcPr>
          <w:p>
            <w:pPr>
              <w:spacing w:after="20"/>
              <w:jc w:val="right"/>
            </w:pPr>
            <w:r>
              <w:rPr>
                <w:color w:val="1C3A36"/>
                <w:sz w:val="17"/>
              </w:rPr>
              <w:t>-26.3%</w:t>
            </w:r>
          </w:p>
        </w:tc>
        <w:tc>
          <w:tcPr>
            <w:tcW w:type="dxa" w:w="1526"/>
          </w:tcPr>
          <w:p>
            <w:pPr>
              <w:spacing w:after="20"/>
              <w:jc w:val="right"/>
            </w:pPr>
            <w:r>
              <w:rPr>
                <w:color w:val="1C3A36"/>
                <w:sz w:val="17"/>
              </w:rPr>
              <w:t>—</w:t>
            </w:r>
          </w:p>
        </w:tc>
      </w:tr>
      <w:tr>
        <w:tc>
          <w:tcPr>
            <w:tcW w:type="dxa" w:w="1037"/>
          </w:tcPr>
          <w:p>
            <w:pPr>
              <w:spacing w:after="20"/>
            </w:pPr>
            <w:r>
              <w:rPr>
                <w:color w:val="1C3A36"/>
                <w:sz w:val="17"/>
              </w:rPr>
              <w:t>FY2024</w:t>
            </w:r>
          </w:p>
        </w:tc>
        <w:tc>
          <w:tcPr>
            <w:tcW w:type="dxa" w:w="1526"/>
          </w:tcPr>
          <w:p>
            <w:pPr>
              <w:spacing w:after="20"/>
              <w:jc w:val="right"/>
            </w:pPr>
            <w:r>
              <w:rPr>
                <w:color w:val="1C3A36"/>
                <w:sz w:val="17"/>
              </w:rPr>
              <w:t>308</w:t>
            </w:r>
          </w:p>
        </w:tc>
        <w:tc>
          <w:tcPr>
            <w:tcW w:type="dxa" w:w="1411"/>
          </w:tcPr>
          <w:p>
            <w:pPr>
              <w:spacing w:after="20"/>
              <w:jc w:val="right"/>
            </w:pPr>
            <w:r>
              <w:rPr>
                <w:color w:val="1C3A36"/>
                <w:sz w:val="17"/>
              </w:rPr>
              <w:t>0.19x</w:t>
            </w:r>
          </w:p>
        </w:tc>
        <w:tc>
          <w:tcPr>
            <w:tcW w:type="dxa" w:w="1210"/>
          </w:tcPr>
          <w:p>
            <w:pPr>
              <w:spacing w:after="20"/>
              <w:jc w:val="right"/>
            </w:pPr>
            <w:r>
              <w:rPr>
                <w:color w:val="1C3A36"/>
                <w:sz w:val="17"/>
              </w:rPr>
              <w:t>stable</w:t>
            </w:r>
          </w:p>
        </w:tc>
        <w:tc>
          <w:tcPr>
            <w:tcW w:type="dxa" w:w="1526"/>
          </w:tcPr>
          <w:p>
            <w:pPr>
              <w:spacing w:after="20"/>
              <w:jc w:val="right"/>
            </w:pPr>
            <w:r>
              <w:rPr>
                <w:color w:val="1C3A36"/>
                <w:sz w:val="17"/>
              </w:rPr>
              <w:t>924</w:t>
            </w:r>
          </w:p>
        </w:tc>
        <w:tc>
          <w:tcPr>
            <w:tcW w:type="dxa" w:w="1584"/>
          </w:tcPr>
          <w:p>
            <w:pPr>
              <w:spacing w:after="20"/>
              <w:jc w:val="right"/>
            </w:pPr>
            <w:r>
              <w:rPr>
                <w:color w:val="1C3A36"/>
                <w:sz w:val="17"/>
              </w:rPr>
              <w:t>76.2%</w:t>
            </w:r>
          </w:p>
        </w:tc>
        <w:tc>
          <w:tcPr>
            <w:tcW w:type="dxa" w:w="1526"/>
          </w:tcPr>
          <w:p>
            <w:pPr>
              <w:spacing w:after="20"/>
              <w:jc w:val="right"/>
            </w:pPr>
            <w:r>
              <w:rPr>
                <w:color w:val="1C3A36"/>
                <w:sz w:val="17"/>
              </w:rPr>
              <w:t>-9.7%</w:t>
            </w:r>
          </w:p>
        </w:tc>
      </w:tr>
      <w:tr>
        <w:tc>
          <w:tcPr>
            <w:tcW w:type="dxa" w:w="1037"/>
          </w:tcPr>
          <w:p>
            <w:pPr>
              <w:spacing w:after="20"/>
            </w:pPr>
            <w:r>
              <w:rPr>
                <w:color w:val="1C3A36"/>
                <w:sz w:val="17"/>
              </w:rPr>
              <w:t>FY2025</w:t>
            </w:r>
          </w:p>
        </w:tc>
        <w:tc>
          <w:tcPr>
            <w:tcW w:type="dxa" w:w="1526"/>
          </w:tcPr>
          <w:p>
            <w:pPr>
              <w:spacing w:after="20"/>
              <w:jc w:val="right"/>
            </w:pPr>
            <w:r>
              <w:rPr>
                <w:color w:val="1C3A36"/>
                <w:sz w:val="17"/>
              </w:rPr>
              <w:t>436</w:t>
            </w:r>
          </w:p>
        </w:tc>
        <w:tc>
          <w:tcPr>
            <w:tcW w:type="dxa" w:w="1411"/>
          </w:tcPr>
          <w:p>
            <w:pPr>
              <w:spacing w:after="20"/>
              <w:jc w:val="right"/>
            </w:pPr>
            <w:r>
              <w:rPr>
                <w:color w:val="1C3A36"/>
                <w:sz w:val="17"/>
              </w:rPr>
              <w:t>0.17x</w:t>
            </w:r>
          </w:p>
        </w:tc>
        <w:tc>
          <w:tcPr>
            <w:tcW w:type="dxa" w:w="1210"/>
          </w:tcPr>
          <w:p>
            <w:pPr>
              <w:spacing w:after="20"/>
              <w:jc w:val="right"/>
            </w:pPr>
            <w:r>
              <w:rPr>
                <w:color w:val="1C3A36"/>
                <w:sz w:val="17"/>
              </w:rPr>
              <w:t>stable</w:t>
            </w:r>
          </w:p>
        </w:tc>
        <w:tc>
          <w:tcPr>
            <w:tcW w:type="dxa" w:w="1526"/>
          </w:tcPr>
          <w:p>
            <w:pPr>
              <w:spacing w:after="20"/>
              <w:jc w:val="right"/>
            </w:pPr>
            <w:r>
              <w:rPr>
                <w:color w:val="1C3A36"/>
                <w:sz w:val="17"/>
              </w:rPr>
              <w:t>1,646</w:t>
            </w:r>
          </w:p>
        </w:tc>
        <w:tc>
          <w:tcPr>
            <w:tcW w:type="dxa" w:w="1584"/>
          </w:tcPr>
          <w:p>
            <w:pPr>
              <w:spacing w:after="20"/>
              <w:jc w:val="right"/>
            </w:pPr>
            <w:r>
              <w:rPr>
                <w:color w:val="1C3A36"/>
                <w:sz w:val="17"/>
              </w:rPr>
              <w:t>192.8%</w:t>
            </w:r>
          </w:p>
        </w:tc>
        <w:tc>
          <w:tcPr>
            <w:tcW w:type="dxa" w:w="1526"/>
          </w:tcPr>
          <w:p>
            <w:pPr>
              <w:spacing w:after="20"/>
              <w:jc w:val="right"/>
            </w:pPr>
            <w:r>
              <w:rPr>
                <w:color w:val="1C3A36"/>
                <w:sz w:val="17"/>
              </w:rPr>
              <w:t>1.1%</w:t>
            </w:r>
          </w:p>
        </w:tc>
      </w:tr>
    </w:tbl>
    <w:p>
      <w:pPr>
        <w:spacing w:after="40"/>
      </w:pPr>
    </w:p>
    <w:p>
      <w:pPr>
        <w:spacing w:after="200" w:before="0"/>
      </w:pPr>
      <w:r>
        <w:rPr>
          <w:b w:val="0"/>
          <w:i/>
          <w:color w:val="6E7B77"/>
          <w:sz w:val="17"/>
        </w:rPr>
        <w:t>Table 4 — Historical reinvestment and returns, on the book basis, showing exactly the distortion the replacement-cost measure corrects.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And this is why growth does not help. </w:t>
            </w:r>
            <w:r>
              <w:rPr>
                <w:color w:val="1C3A36"/>
                <w:sz w:val="19"/>
              </w:rPr>
              <w:t>Terminal return on capital of 9.4% sits BELOW the terminal cost of capital of 16.3%. Every extra point of perpetual growth must be bought with reinvestment that earns less than it costs. Raising the terminal growth rate from 3% to 7% therefore LOWERS the value, from EGP 57.28 to EGP 50.50. That is not a modelling artefact; it is the correct reading of a mature plant in an oversupplied market. This company creates value by harvesting and distributing, not by growing.</w:t>
            </w:r>
          </w:p>
        </w:tc>
      </w:tr>
    </w:tbl>
    <w:p>
      <w:pPr>
        <w:spacing w:after="40"/>
      </w:pPr>
    </w:p>
    <w:p>
      <w:pPr>
        <w:spacing w:after="80" w:before="200"/>
      </w:pPr>
      <w:r>
        <w:rPr>
          <w:b/>
          <w:i w:val="0"/>
          <w:color w:val="1C3A36"/>
          <w:sz w:val="24"/>
        </w:rPr>
        <w:t>1.2  The asset lens — enterprise value per tonne against replacement cost</w:t>
      </w:r>
    </w:p>
    <w:p>
      <w:pPr>
        <w:spacing w:after="120" w:before="0"/>
      </w:pPr>
      <w:r>
        <w:rPr>
          <w:b w:val="0"/>
          <w:i w:val="0"/>
          <w:color w:val="1C3A36"/>
          <w:sz w:val="21"/>
        </w:rPr>
        <w:t>For cement, the sector's own yardstick is enterprise value per annual tonne of capacity, and it is used here in place of a book-value lens. That substitution is deliberate: a plant commissioned in 1997 and carried through a five-fold devaluation has a book value that measures the accounting rather than the asset, so a price-to-book ratio on this company says almost nothing.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Enterprise value at the market price (EGP mn)</w:t>
            </w:r>
          </w:p>
        </w:tc>
        <w:tc>
          <w:tcPr>
            <w:tcW w:type="dxa" w:w="3312"/>
          </w:tcPr>
          <w:p>
            <w:pPr>
              <w:spacing w:after="20"/>
              <w:jc w:val="right"/>
            </w:pPr>
            <w:r>
              <w:rPr>
                <w:color w:val="1C3A36"/>
                <w:sz w:val="18"/>
              </w:rPr>
              <w:t>15,297</w:t>
            </w:r>
          </w:p>
        </w:tc>
      </w:tr>
      <w:tr>
        <w:tc>
          <w:tcPr>
            <w:tcW w:type="dxa" w:w="6408"/>
          </w:tcPr>
          <w:p>
            <w:pPr>
              <w:spacing w:after="20"/>
            </w:pPr>
            <w:r>
              <w:rPr>
                <w:color w:val="1C3A36"/>
                <w:sz w:val="18"/>
              </w:rPr>
              <w:t>Capacity (million tonnes a year)</w:t>
            </w:r>
          </w:p>
        </w:tc>
        <w:tc>
          <w:tcPr>
            <w:tcW w:type="dxa" w:w="3312"/>
          </w:tcPr>
          <w:p>
            <w:pPr>
              <w:spacing w:after="20"/>
              <w:jc w:val="right"/>
            </w:pPr>
            <w:r>
              <w:rPr>
                <w:color w:val="1C3A36"/>
                <w:sz w:val="18"/>
              </w:rPr>
              <w:t>3.8</w:t>
            </w:r>
          </w:p>
        </w:tc>
      </w:tr>
      <w:tr>
        <w:tc>
          <w:tcPr>
            <w:tcW w:type="dxa" w:w="6408"/>
          </w:tcPr>
          <w:p>
            <w:pPr>
              <w:spacing w:after="20"/>
            </w:pPr>
            <w:r>
              <w:rPr>
                <w:color w:val="1C3A36"/>
                <w:sz w:val="18"/>
              </w:rPr>
              <w:t>Enterprise value per tonne, at market (USD/t)</w:t>
            </w:r>
          </w:p>
        </w:tc>
        <w:tc>
          <w:tcPr>
            <w:tcW w:type="dxa" w:w="3312"/>
          </w:tcPr>
          <w:p>
            <w:pPr>
              <w:spacing w:after="20"/>
              <w:jc w:val="right"/>
            </w:pPr>
            <w:r>
              <w:rPr>
                <w:color w:val="1C3A36"/>
                <w:sz w:val="18"/>
              </w:rPr>
              <w:t>80.8</w:t>
            </w:r>
          </w:p>
        </w:tc>
      </w:tr>
      <w:tr>
        <w:tc>
          <w:tcPr>
            <w:tcW w:type="dxa" w:w="6408"/>
          </w:tcPr>
          <w:p>
            <w:pPr>
              <w:spacing w:after="20"/>
            </w:pPr>
            <w:r>
              <w:rPr>
                <w:color w:val="1C3A36"/>
                <w:sz w:val="18"/>
              </w:rPr>
              <w:t>Replacement cost of new capacity (USD/t)</w:t>
            </w:r>
          </w:p>
        </w:tc>
        <w:tc>
          <w:tcPr>
            <w:tcW w:type="dxa" w:w="3312"/>
          </w:tcPr>
          <w:p>
            <w:pPr>
              <w:spacing w:after="20"/>
              <w:jc w:val="right"/>
            </w:pPr>
            <w:r>
              <w:rPr>
                <w:color w:val="1C3A36"/>
                <w:sz w:val="18"/>
              </w:rPr>
              <w:t>130</w:t>
            </w:r>
          </w:p>
        </w:tc>
      </w:tr>
      <w:tr>
        <w:tc>
          <w:tcPr>
            <w:tcW w:type="dxa" w:w="6408"/>
          </w:tcPr>
          <w:p>
            <w:pPr>
              <w:spacing w:after="20"/>
            </w:pPr>
            <w:r>
              <w:rPr>
                <w:color w:val="1C3A36"/>
                <w:sz w:val="18"/>
              </w:rPr>
              <w:t>Discount to replacement cost</w:t>
            </w:r>
          </w:p>
        </w:tc>
        <w:tc>
          <w:tcPr>
            <w:tcW w:type="dxa" w:w="3312"/>
          </w:tcPr>
          <w:p>
            <w:pPr>
              <w:spacing w:after="20"/>
              <w:jc w:val="right"/>
            </w:pPr>
            <w:r>
              <w:rPr>
                <w:color w:val="1C3A36"/>
                <w:sz w:val="18"/>
              </w:rPr>
              <w:t>-37.8%</w:t>
            </w:r>
          </w:p>
        </w:tc>
      </w:tr>
      <w:tr>
        <w:tc>
          <w:tcPr>
            <w:tcW w:type="dxa" w:w="6408"/>
          </w:tcPr>
          <w:p>
            <w:pPr>
              <w:spacing w:after="20"/>
            </w:pPr>
            <w:r>
              <w:rPr>
                <w:color w:val="1C3A36"/>
                <w:sz w:val="18"/>
              </w:rPr>
              <w:t>Justified enterprise value per tonne (USD/t)</w:t>
            </w:r>
          </w:p>
        </w:tc>
        <w:tc>
          <w:tcPr>
            <w:tcW w:type="dxa" w:w="3312"/>
          </w:tcPr>
          <w:p>
            <w:pPr>
              <w:spacing w:after="20"/>
              <w:jc w:val="right"/>
            </w:pPr>
            <w:r>
              <w:rPr>
                <w:color w:val="1C3A36"/>
                <w:sz w:val="18"/>
              </w:rPr>
              <w:t>95</w:t>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89.28</w:t>
            </w:r>
          </w:p>
        </w:tc>
      </w:tr>
    </w:tbl>
    <w:p>
      <w:pPr>
        <w:spacing w:after="40"/>
      </w:pPr>
    </w:p>
    <w:p>
      <w:pPr>
        <w:spacing w:after="200" w:before="0"/>
      </w:pPr>
      <w:r>
        <w:rPr>
          <w:b w:val="0"/>
          <w:i/>
          <w:color w:val="6E7B77"/>
          <w:sz w:val="17"/>
        </w:rPr>
        <w:t>Table 5 — The asset lens. The justified figure sits below replacement cost because nobody pays build cost for capacity in a market with a structural surplus.</w:t>
      </w:r>
    </w:p>
    <w:p>
      <w:pPr>
        <w:spacing w:after="120" w:before="0"/>
      </w:pPr>
      <w:r>
        <w:rPr>
          <w:b w:val="0"/>
          <w:i w:val="0"/>
          <w:color w:val="1C3A36"/>
          <w:sz w:val="21"/>
        </w:rPr>
        <w:t>This is the most generous of the four lenses, and the reason is instructive rather than convenient: the market is paying roughly USD 81 per annual tonne for an operating, profitable, cash-generative plant, against USD 130 to build one. That gap is real. What it does not tell you is whether the plant will earn its cost of capital, which is what the cash-flow lens answers and answers less generously. The disagreement between these two lenses is the central question about this company, and section 1.5 does not average it away.</w:t>
      </w:r>
    </w:p>
    <w:p>
      <w:pPr>
        <w:spacing w:after="80" w:before="200"/>
      </w:pPr>
      <w:r>
        <w:rPr>
          <w:b/>
          <w:i w:val="0"/>
          <w:color w:val="1C3A36"/>
          <w:sz w:val="24"/>
        </w:rPr>
        <w:t>1.3  Relative multiples</w:t>
      </w:r>
    </w:p>
    <w:p>
      <w:pPr>
        <w:spacing w:after="120" w:before="0"/>
      </w:pPr>
      <w:r>
        <w:rPr>
          <w:b w:val="0"/>
          <w:i w:val="0"/>
          <w:color w:val="1C3A36"/>
          <w:sz w:val="21"/>
        </w:rPr>
        <w:t>The named Egyptian comparator is Misr Beni Suef Cement, which posted the same 2025 step-change: attributable profit up 373.7% to EGP 3.946 billion on sales of EGP 5.700 billion, trading at 6.44 times trailing earnings and 5.03 times EBITDA. Arabian Cement reported roughly EGP 3.6 billion of consolidated profit on the same industry conditions. The uniformity across the peer group is itself the finding: this was a sector event, not a company event, which is why the multiple here is applied to normalised rather than trailing earnings.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FY2025 revenue (EGP mn)</w:t>
            </w:r>
          </w:p>
        </w:tc>
        <w:tc>
          <w:tcPr>
            <w:tcW w:type="dxa" w:w="3312"/>
          </w:tcPr>
          <w:p>
            <w:pPr>
              <w:spacing w:after="20"/>
              <w:jc w:val="right"/>
            </w:pPr>
            <w:r>
              <w:rPr>
                <w:color w:val="1C3A36"/>
                <w:sz w:val="18"/>
              </w:rPr>
              <w:t>9,090</w:t>
            </w:r>
          </w:p>
        </w:tc>
      </w:tr>
      <w:tr>
        <w:tc>
          <w:tcPr>
            <w:tcW w:type="dxa" w:w="6408"/>
          </w:tcPr>
          <w:p>
            <w:pPr>
              <w:spacing w:after="20"/>
            </w:pPr>
            <w:r>
              <w:rPr>
                <w:color w:val="1C3A36"/>
                <w:sz w:val="18"/>
              </w:rPr>
              <w:t>Mid-cycle EBITDA margin</w:t>
            </w:r>
          </w:p>
        </w:tc>
        <w:tc>
          <w:tcPr>
            <w:tcW w:type="dxa" w:w="3312"/>
          </w:tcPr>
          <w:p>
            <w:pPr>
              <w:spacing w:after="20"/>
              <w:jc w:val="right"/>
            </w:pPr>
            <w:r>
              <w:rPr>
                <w:color w:val="1C3A36"/>
                <w:sz w:val="18"/>
              </w:rPr>
              <w:t>26.5%</w:t>
            </w:r>
          </w:p>
        </w:tc>
      </w:tr>
      <w:tr>
        <w:tc>
          <w:tcPr>
            <w:tcW w:type="dxa" w:w="6408"/>
          </w:tcPr>
          <w:p>
            <w:pPr>
              <w:spacing w:after="20"/>
            </w:pPr>
            <w:r>
              <w:rPr>
                <w:color w:val="1C3A36"/>
                <w:sz w:val="18"/>
              </w:rPr>
              <w:t>Normalised EBITDA (EGP mn)</w:t>
            </w:r>
          </w:p>
        </w:tc>
        <w:tc>
          <w:tcPr>
            <w:tcW w:type="dxa" w:w="3312"/>
          </w:tcPr>
          <w:p>
            <w:pPr>
              <w:spacing w:after="20"/>
              <w:jc w:val="right"/>
            </w:pPr>
            <w:r>
              <w:rPr>
                <w:color w:val="1C3A36"/>
                <w:sz w:val="18"/>
              </w:rPr>
              <w:t>2,409</w:t>
            </w:r>
          </w:p>
        </w:tc>
      </w:tr>
      <w:tr>
        <w:tc>
          <w:tcPr>
            <w:tcW w:type="dxa" w:w="6408"/>
          </w:tcPr>
          <w:p>
            <w:pPr>
              <w:spacing w:after="20"/>
            </w:pPr>
            <w:r>
              <w:rPr>
                <w:color w:val="1C3A36"/>
                <w:sz w:val="18"/>
              </w:rPr>
              <w:t>Justified EV/EBITDA</w:t>
            </w:r>
          </w:p>
        </w:tc>
        <w:tc>
          <w:tcPr>
            <w:tcW w:type="dxa" w:w="3312"/>
          </w:tcPr>
          <w:p>
            <w:pPr>
              <w:spacing w:after="20"/>
              <w:jc w:val="right"/>
            </w:pPr>
            <w:r>
              <w:rPr>
                <w:color w:val="1C3A36"/>
                <w:sz w:val="18"/>
              </w:rPr>
              <w:t>5.0x</w:t>
            </w:r>
          </w:p>
        </w:tc>
      </w:tr>
      <w:tr>
        <w:tc>
          <w:tcPr>
            <w:tcW w:type="dxa" w:w="6408"/>
          </w:tcPr>
          <w:p>
            <w:pPr>
              <w:spacing w:after="20"/>
            </w:pPr>
            <w:r>
              <w:rPr>
                <w:color w:val="1C3A36"/>
                <w:sz w:val="18"/>
              </w:rPr>
              <w:t>Implied enterprise value (EGP mn)</w:t>
            </w:r>
          </w:p>
        </w:tc>
        <w:tc>
          <w:tcPr>
            <w:tcW w:type="dxa" w:w="3312"/>
          </w:tcPr>
          <w:p>
            <w:pPr>
              <w:spacing w:after="20"/>
              <w:jc w:val="right"/>
            </w:pPr>
            <w:r>
              <w:rPr>
                <w:color w:val="1C3A36"/>
                <w:sz w:val="18"/>
              </w:rPr>
              <w:t>12,044</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5,307</w:t>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66.53</w:t>
            </w:r>
          </w:p>
        </w:tc>
      </w:tr>
    </w:tbl>
    <w:p>
      <w:pPr>
        <w:spacing w:after="40"/>
      </w:pPr>
    </w:p>
    <w:p>
      <w:pPr>
        <w:spacing w:after="200" w:before="0"/>
      </w:pPr>
      <w:r>
        <w:rPr>
          <w:b w:val="0"/>
          <w:i/>
          <w:color w:val="6E7B77"/>
          <w:sz w:val="17"/>
        </w:rPr>
        <w:t>Table 6 — The relative lens, struck at the peer's own EBITDA multiple with no premium for net cash, which the bridge adds separately.</w:t>
      </w:r>
    </w:p>
    <w:p>
      <w:pPr>
        <w:spacing w:after="80" w:before="200"/>
      </w:pPr>
      <w:r>
        <w:rPr>
          <w:b/>
          <w:i w:val="0"/>
          <w:color w:val="1C3A36"/>
          <w:sz w:val="24"/>
        </w:rPr>
        <w:t>1.4  Normalised earnings power — where this sits in the cycle</w:t>
      </w:r>
    </w:p>
    <w:p>
      <w:pPr>
        <w:spacing w:after="120" w:before="0"/>
      </w:pPr>
      <w:r>
        <w:rPr>
          <w:b w:val="0"/>
          <w:i w:val="0"/>
          <w:color w:val="1C3A36"/>
          <w:sz w:val="21"/>
        </w:rPr>
        <w:t>2025 was the first year since 2008 that Egypt's cement supply and demand balanced. Domestic consumption rose 13.4% to 54 million tonnes, production rose 18% to about 65 million tonnes, operating utilisation reached 98%, and prices roughly doubled after the competition authority permanently lifted production quotas in July 2025. Every one of those is a cyclical high, not a plateau.</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Normalised EBITDA (EGP mn)</w:t>
            </w:r>
          </w:p>
        </w:tc>
        <w:tc>
          <w:tcPr>
            <w:tcW w:type="dxa" w:w="3312"/>
          </w:tcPr>
          <w:p>
            <w:pPr>
              <w:spacing w:after="20"/>
              <w:jc w:val="right"/>
            </w:pPr>
            <w:r>
              <w:rPr>
                <w:color w:val="1C3A36"/>
                <w:sz w:val="18"/>
              </w:rPr>
              <w:t>2,409</w:t>
            </w:r>
          </w:p>
        </w:tc>
      </w:tr>
      <w:tr>
        <w:tc>
          <w:tcPr>
            <w:tcW w:type="dxa" w:w="6408"/>
          </w:tcPr>
          <w:p>
            <w:pPr>
              <w:spacing w:after="20"/>
            </w:pPr>
            <w:r>
              <w:rPr>
                <w:color w:val="1C3A36"/>
                <w:sz w:val="18"/>
              </w:rPr>
              <w:t>Less depreciation &amp; amortisation (EGP mn)</w:t>
            </w:r>
          </w:p>
        </w:tc>
        <w:tc>
          <w:tcPr>
            <w:tcW w:type="dxa" w:w="3312"/>
          </w:tcPr>
          <w:p>
            <w:pPr>
              <w:spacing w:after="20"/>
              <w:jc w:val="right"/>
            </w:pPr>
            <w:r>
              <w:rPr>
                <w:color w:val="1C3A36"/>
                <w:sz w:val="18"/>
              </w:rPr>
              <w:t>-418</w:t>
            </w:r>
          </w:p>
        </w:tc>
      </w:tr>
      <w:tr>
        <w:tc>
          <w:tcPr>
            <w:tcW w:type="dxa" w:w="6408"/>
          </w:tcPr>
          <w:p>
            <w:pPr>
              <w:spacing w:after="20"/>
            </w:pPr>
            <w:r>
              <w:rPr>
                <w:color w:val="1C3A36"/>
                <w:sz w:val="18"/>
              </w:rPr>
              <w:t>Normalised NOPAT (EGP mn)</w:t>
            </w:r>
          </w:p>
        </w:tc>
        <w:tc>
          <w:tcPr>
            <w:tcW w:type="dxa" w:w="3312"/>
          </w:tcPr>
          <w:p>
            <w:pPr>
              <w:spacing w:after="20"/>
              <w:jc w:val="right"/>
            </w:pPr>
            <w:r>
              <w:rPr>
                <w:color w:val="1C3A36"/>
                <w:sz w:val="18"/>
              </w:rPr>
              <w:t>1,543</w:t>
            </w:r>
          </w:p>
        </w:tc>
      </w:tr>
      <w:tr>
        <w:tc>
          <w:tcPr>
            <w:tcW w:type="dxa" w:w="6408"/>
          </w:tcPr>
          <w:p>
            <w:pPr>
              <w:spacing w:after="20"/>
            </w:pPr>
            <w:r>
              <w:rPr>
                <w:color w:val="1C3A36"/>
                <w:sz w:val="18"/>
              </w:rPr>
              <w:t>Plus after-tax treasury income (EGP mn)</w:t>
            </w:r>
          </w:p>
        </w:tc>
        <w:tc>
          <w:tcPr>
            <w:tcW w:type="dxa" w:w="3312"/>
          </w:tcPr>
          <w:p>
            <w:pPr>
              <w:spacing w:after="20"/>
              <w:jc w:val="right"/>
            </w:pPr>
            <w:r>
              <w:rPr>
                <w:color w:val="1C3A36"/>
                <w:sz w:val="18"/>
              </w:rPr>
              <w:t>617</w:t>
            </w:r>
          </w:p>
        </w:tc>
      </w:tr>
      <w:tr>
        <w:tc>
          <w:tcPr>
            <w:tcW w:type="dxa" w:w="6408"/>
          </w:tcPr>
          <w:p>
            <w:pPr>
              <w:spacing w:after="20"/>
            </w:pPr>
            <w:r>
              <w:rPr>
                <w:color w:val="1C3A36"/>
                <w:sz w:val="18"/>
              </w:rPr>
              <w:t>Normalised earnings (EGP mn)</w:t>
            </w:r>
          </w:p>
        </w:tc>
        <w:tc>
          <w:tcPr>
            <w:tcW w:type="dxa" w:w="3312"/>
          </w:tcPr>
          <w:p>
            <w:pPr>
              <w:spacing w:after="20"/>
              <w:jc w:val="right"/>
            </w:pPr>
            <w:r>
              <w:rPr>
                <w:color w:val="1C3A36"/>
                <w:sz w:val="18"/>
              </w:rPr>
              <w:t>2,160</w:t>
            </w:r>
          </w:p>
        </w:tc>
      </w:tr>
      <w:tr>
        <w:tc>
          <w:tcPr>
            <w:tcW w:type="dxa" w:w="6408"/>
          </w:tcPr>
          <w:p>
            <w:pPr>
              <w:spacing w:after="20"/>
            </w:pPr>
            <w:r>
              <w:rPr>
                <w:color w:val="1C3A36"/>
                <w:sz w:val="18"/>
              </w:rPr>
              <w:t>Justified price/earnings</w:t>
            </w:r>
          </w:p>
        </w:tc>
        <w:tc>
          <w:tcPr>
            <w:tcW w:type="dxa" w:w="3312"/>
          </w:tcPr>
          <w:p>
            <w:pPr>
              <w:spacing w:after="20"/>
              <w:jc w:val="right"/>
            </w:pPr>
            <w:r>
              <w:rPr>
                <w:color w:val="1C3A36"/>
                <w:sz w:val="18"/>
              </w:rPr>
              <w:t>7.0x</w:t>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57.97</w:t>
            </w:r>
          </w:p>
        </w:tc>
      </w:tr>
    </w:tbl>
    <w:p>
      <w:pPr>
        <w:spacing w:after="40"/>
      </w:pPr>
    </w:p>
    <w:p>
      <w:pPr>
        <w:spacing w:after="200" w:before="0"/>
      </w:pPr>
      <w:r>
        <w:rPr>
          <w:b w:val="0"/>
          <w:i/>
          <w:color w:val="6E7B77"/>
          <w:sz w:val="17"/>
        </w:rPr>
        <w:t>Table 7 — Normalised earnings power, on a mid-cycle margin struck between the FY2024 outturn and the FY2025 peak.</w:t>
      </w:r>
    </w:p>
    <w:p>
      <w:pPr>
        <w:spacing w:after="80" w:before="200"/>
      </w:pPr>
      <w:r>
        <w:rPr>
          <w:b/>
          <w:i w:val="0"/>
          <w:color w:val="1C3A36"/>
          <w:sz w:val="24"/>
        </w:rPr>
        <w:t>1.5  Synthesis — four lenses, one field</w:t>
      </w:r>
    </w:p>
    <w:p>
      <w:pPr>
        <w:spacing w:after="120" w:before="0"/>
      </w:pPr>
      <w:r>
        <w:rPr>
          <w:b w:val="0"/>
          <w:i w:val="0"/>
          <w:color w:val="1C3A36"/>
          <w:sz w:val="21"/>
        </w:rPr>
        <w:t>The four lenses do not agree, and the spread between them is the honest output rather than a problem to be smoothed. The cash-flow and normalised-earnings lenses, which both ask what the business earns, land in the middle fifties. The relative lens lands in the mid sixties. The asset lens, which asks only what the plant is worth, lands near ninety. The market price of EGP 79.00 sits between the earnings answers and the asset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37"/>
        <w:gridCol w:w="1037"/>
        <w:gridCol w:w="1037"/>
        <w:gridCol w:w="893"/>
        <w:gridCol w:w="3672"/>
      </w:tblGrid>
      <w:tr>
        <w:tc>
          <w:tcPr>
            <w:tcW w:type="dxa" w:w="2333"/>
            <w:shd w:val="clear" w:color="auto" w:fill="EAF0EE"/>
          </w:tcPr>
          <w:p>
            <w:pPr>
              <w:spacing w:after="20"/>
            </w:pPr>
            <w:r>
              <w:rPr>
                <w:b/>
                <w:color w:val="1C3A36"/>
                <w:sz w:val="18"/>
              </w:rPr>
              <w:t>Lens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893"/>
            <w:shd w:val="clear" w:color="auto" w:fill="EAF0EE"/>
          </w:tcPr>
          <w:p>
            <w:pPr>
              <w:spacing w:after="20"/>
            </w:pPr>
            <w:r>
              <w:rPr>
                <w:b/>
                <w:color w:val="1C3A36"/>
                <w:sz w:val="18"/>
              </w:rPr>
              <w:t>Weight</w:t>
            </w:r>
          </w:p>
        </w:tc>
        <w:tc>
          <w:tcPr>
            <w:tcW w:type="dxa" w:w="3672"/>
            <w:shd w:val="clear" w:color="auto" w:fill="EAF0EE"/>
          </w:tcPr>
          <w:p>
            <w:pPr>
              <w:spacing w:after="20"/>
            </w:pPr>
            <w:r>
              <w:rPr>
                <w:b/>
                <w:color w:val="1C3A36"/>
                <w:sz w:val="18"/>
              </w:rPr>
              <w:t>What it is measuring</w:t>
            </w:r>
          </w:p>
        </w:tc>
      </w:tr>
      <w:tr>
        <w:tc>
          <w:tcPr>
            <w:tcW w:type="dxa" w:w="2333"/>
          </w:tcPr>
          <w:p>
            <w:pPr>
              <w:spacing w:after="20"/>
            </w:pPr>
            <w:r>
              <w:rPr>
                <w:color w:val="1C3A36"/>
                <w:sz w:val="18"/>
              </w:rPr>
              <w:t>DCF (cash flow)</w:t>
            </w:r>
          </w:p>
        </w:tc>
        <w:tc>
          <w:tcPr>
            <w:tcW w:type="dxa" w:w="1037"/>
          </w:tcPr>
          <w:p>
            <w:pPr>
              <w:spacing w:after="20"/>
              <w:jc w:val="right"/>
            </w:pPr>
            <w:r>
              <w:rPr>
                <w:color w:val="1C3A36"/>
                <w:sz w:val="18"/>
              </w:rPr>
              <w:t>49.21</w:t>
            </w:r>
          </w:p>
        </w:tc>
        <w:tc>
          <w:tcPr>
            <w:tcW w:type="dxa" w:w="1037"/>
          </w:tcPr>
          <w:p>
            <w:pPr>
              <w:spacing w:after="20"/>
              <w:jc w:val="right"/>
            </w:pPr>
            <w:r>
              <w:rPr>
                <w:color w:val="1C3A36"/>
                <w:sz w:val="18"/>
              </w:rPr>
              <w:t>54.49</w:t>
            </w:r>
          </w:p>
        </w:tc>
        <w:tc>
          <w:tcPr>
            <w:tcW w:type="dxa" w:w="1037"/>
          </w:tcPr>
          <w:p>
            <w:pPr>
              <w:spacing w:after="20"/>
              <w:jc w:val="right"/>
            </w:pPr>
            <w:r>
              <w:rPr>
                <w:color w:val="1C3A36"/>
                <w:sz w:val="18"/>
              </w:rPr>
              <w:t>59.01</w:t>
            </w:r>
          </w:p>
        </w:tc>
        <w:tc>
          <w:tcPr>
            <w:tcW w:type="dxa" w:w="893"/>
          </w:tcPr>
          <w:p>
            <w:pPr>
              <w:spacing w:after="20"/>
              <w:jc w:val="right"/>
            </w:pPr>
            <w:r>
              <w:rPr>
                <w:color w:val="1C3A36"/>
                <w:sz w:val="18"/>
              </w:rPr>
              <w:t>45%</w:t>
            </w:r>
          </w:p>
        </w:tc>
        <w:tc>
          <w:tcPr>
            <w:tcW w:type="dxa" w:w="3672"/>
          </w:tcPr>
          <w:p>
            <w:pPr>
              <w:spacing w:after="20"/>
              <w:jc w:val="right"/>
            </w:pPr>
            <w:r>
              <w:rPr>
                <w:color w:val="1C3A36"/>
                <w:sz w:val="18"/>
              </w:rPr>
              <w:t>What the cash flows are worth, discounted</w:t>
            </w:r>
          </w:p>
        </w:tc>
      </w:tr>
      <w:tr>
        <w:tc>
          <w:tcPr>
            <w:tcW w:type="dxa" w:w="2333"/>
          </w:tcPr>
          <w:p>
            <w:pPr>
              <w:spacing w:after="20"/>
            </w:pPr>
            <w:r>
              <w:rPr>
                <w:color w:val="1C3A36"/>
                <w:sz w:val="18"/>
              </w:rPr>
              <w:t>Relative multiples</w:t>
            </w:r>
          </w:p>
        </w:tc>
        <w:tc>
          <w:tcPr>
            <w:tcW w:type="dxa" w:w="1037"/>
          </w:tcPr>
          <w:p>
            <w:pPr>
              <w:spacing w:after="20"/>
              <w:jc w:val="right"/>
            </w:pPr>
            <w:r>
              <w:rPr>
                <w:color w:val="1C3A36"/>
                <w:sz w:val="18"/>
              </w:rPr>
              <w:t>57.29</w:t>
            </w:r>
          </w:p>
        </w:tc>
        <w:tc>
          <w:tcPr>
            <w:tcW w:type="dxa" w:w="1037"/>
          </w:tcPr>
          <w:p>
            <w:pPr>
              <w:spacing w:after="20"/>
              <w:jc w:val="right"/>
            </w:pPr>
            <w:r>
              <w:rPr>
                <w:color w:val="1C3A36"/>
                <w:sz w:val="18"/>
              </w:rPr>
              <w:t>66.53</w:t>
            </w:r>
          </w:p>
        </w:tc>
        <w:tc>
          <w:tcPr>
            <w:tcW w:type="dxa" w:w="1037"/>
          </w:tcPr>
          <w:p>
            <w:pPr>
              <w:spacing w:after="20"/>
              <w:jc w:val="right"/>
            </w:pPr>
            <w:r>
              <w:rPr>
                <w:color w:val="1C3A36"/>
                <w:sz w:val="18"/>
              </w:rPr>
              <w:t>75.76</w:t>
            </w:r>
          </w:p>
        </w:tc>
        <w:tc>
          <w:tcPr>
            <w:tcW w:type="dxa" w:w="893"/>
          </w:tcPr>
          <w:p>
            <w:pPr>
              <w:spacing w:after="20"/>
              <w:jc w:val="right"/>
            </w:pPr>
            <w:r>
              <w:rPr>
                <w:color w:val="1C3A36"/>
                <w:sz w:val="18"/>
              </w:rPr>
              <w:t>20%</w:t>
            </w:r>
          </w:p>
        </w:tc>
        <w:tc>
          <w:tcPr>
            <w:tcW w:type="dxa" w:w="3672"/>
          </w:tcPr>
          <w:p>
            <w:pPr>
              <w:spacing w:after="20"/>
              <w:jc w:val="right"/>
            </w:pPr>
            <w:r>
              <w:rPr>
                <w:color w:val="1C3A36"/>
                <w:sz w:val="18"/>
              </w:rPr>
              <w:t>What the market pays peers for the same EBITDA</w:t>
            </w:r>
          </w:p>
        </w:tc>
      </w:tr>
      <w:tr>
        <w:tc>
          <w:tcPr>
            <w:tcW w:type="dxa" w:w="2333"/>
          </w:tcPr>
          <w:p>
            <w:pPr>
              <w:spacing w:after="20"/>
            </w:pPr>
            <w:r>
              <w:rPr>
                <w:color w:val="1C3A36"/>
                <w:sz w:val="18"/>
              </w:rPr>
              <w:t>Normalised earnings</w:t>
            </w:r>
          </w:p>
        </w:tc>
        <w:tc>
          <w:tcPr>
            <w:tcW w:type="dxa" w:w="1037"/>
          </w:tcPr>
          <w:p>
            <w:pPr>
              <w:spacing w:after="20"/>
              <w:jc w:val="right"/>
            </w:pPr>
            <w:r>
              <w:rPr>
                <w:color w:val="1C3A36"/>
                <w:sz w:val="18"/>
              </w:rPr>
              <w:t>49.69</w:t>
            </w:r>
          </w:p>
        </w:tc>
        <w:tc>
          <w:tcPr>
            <w:tcW w:type="dxa" w:w="1037"/>
          </w:tcPr>
          <w:p>
            <w:pPr>
              <w:spacing w:after="20"/>
              <w:jc w:val="right"/>
            </w:pPr>
            <w:r>
              <w:rPr>
                <w:color w:val="1C3A36"/>
                <w:sz w:val="18"/>
              </w:rPr>
              <w:t>57.97</w:t>
            </w:r>
          </w:p>
        </w:tc>
        <w:tc>
          <w:tcPr>
            <w:tcW w:type="dxa" w:w="1037"/>
          </w:tcPr>
          <w:p>
            <w:pPr>
              <w:spacing w:after="20"/>
              <w:jc w:val="right"/>
            </w:pPr>
            <w:r>
              <w:rPr>
                <w:color w:val="1C3A36"/>
                <w:sz w:val="18"/>
              </w:rPr>
              <w:t>66.25</w:t>
            </w:r>
          </w:p>
        </w:tc>
        <w:tc>
          <w:tcPr>
            <w:tcW w:type="dxa" w:w="893"/>
          </w:tcPr>
          <w:p>
            <w:pPr>
              <w:spacing w:after="20"/>
              <w:jc w:val="right"/>
            </w:pPr>
            <w:r>
              <w:rPr>
                <w:color w:val="1C3A36"/>
                <w:sz w:val="18"/>
              </w:rPr>
              <w:t>20%</w:t>
            </w:r>
          </w:p>
        </w:tc>
        <w:tc>
          <w:tcPr>
            <w:tcW w:type="dxa" w:w="3672"/>
          </w:tcPr>
          <w:p>
            <w:pPr>
              <w:spacing w:after="20"/>
              <w:jc w:val="right"/>
            </w:pPr>
            <w:r>
              <w:rPr>
                <w:color w:val="1C3A36"/>
                <w:sz w:val="18"/>
              </w:rPr>
              <w:t>What the business earns through the cycle</w:t>
            </w:r>
          </w:p>
        </w:tc>
      </w:tr>
      <w:tr>
        <w:tc>
          <w:tcPr>
            <w:tcW w:type="dxa" w:w="2333"/>
          </w:tcPr>
          <w:p>
            <w:pPr>
              <w:spacing w:after="20"/>
            </w:pPr>
            <w:r>
              <w:rPr>
                <w:color w:val="1C3A36"/>
                <w:sz w:val="18"/>
              </w:rPr>
              <w:t>Asset / replacement cost</w:t>
            </w:r>
          </w:p>
        </w:tc>
        <w:tc>
          <w:tcPr>
            <w:tcW w:type="dxa" w:w="1037"/>
          </w:tcPr>
          <w:p>
            <w:pPr>
              <w:spacing w:after="20"/>
              <w:jc w:val="right"/>
            </w:pPr>
            <w:r>
              <w:rPr>
                <w:color w:val="1C3A36"/>
                <w:sz w:val="18"/>
              </w:rPr>
              <w:t>78.39</w:t>
            </w:r>
          </w:p>
        </w:tc>
        <w:tc>
          <w:tcPr>
            <w:tcW w:type="dxa" w:w="1037"/>
          </w:tcPr>
          <w:p>
            <w:pPr>
              <w:spacing w:after="20"/>
              <w:jc w:val="right"/>
            </w:pPr>
            <w:r>
              <w:rPr>
                <w:color w:val="1C3A36"/>
                <w:sz w:val="18"/>
              </w:rPr>
              <w:t>89.28</w:t>
            </w:r>
          </w:p>
        </w:tc>
        <w:tc>
          <w:tcPr>
            <w:tcW w:type="dxa" w:w="1037"/>
          </w:tcPr>
          <w:p>
            <w:pPr>
              <w:spacing w:after="20"/>
              <w:jc w:val="right"/>
            </w:pPr>
            <w:r>
              <w:rPr>
                <w:color w:val="1C3A36"/>
                <w:sz w:val="18"/>
              </w:rPr>
              <w:t>100.16</w:t>
            </w:r>
          </w:p>
        </w:tc>
        <w:tc>
          <w:tcPr>
            <w:tcW w:type="dxa" w:w="893"/>
          </w:tcPr>
          <w:p>
            <w:pPr>
              <w:spacing w:after="20"/>
              <w:jc w:val="right"/>
            </w:pPr>
            <w:r>
              <w:rPr>
                <w:color w:val="1C3A36"/>
                <w:sz w:val="18"/>
              </w:rPr>
              <w:t>15%</w:t>
            </w:r>
          </w:p>
        </w:tc>
        <w:tc>
          <w:tcPr>
            <w:tcW w:type="dxa" w:w="3672"/>
          </w:tcPr>
          <w:p>
            <w:pPr>
              <w:spacing w:after="20"/>
              <w:jc w:val="right"/>
            </w:pPr>
            <w:r>
              <w:rPr>
                <w:color w:val="1C3A36"/>
                <w:sz w:val="18"/>
              </w:rPr>
              <w:t>What the plant itself is worth</w:t>
            </w:r>
          </w:p>
        </w:tc>
      </w:tr>
      <w:tr>
        <w:tc>
          <w:tcPr>
            <w:tcW w:type="dxa" w:w="2333"/>
            <w:shd w:val="clear" w:color="auto" w:fill="F6F1E6"/>
          </w:tcPr>
          <w:p>
            <w:pPr>
              <w:spacing w:after="20"/>
            </w:pPr>
            <w:r>
              <w:rPr>
                <w:b/>
                <w:color w:val="1C3A36"/>
                <w:sz w:val="18"/>
              </w:rPr>
              <w:t>Weighted central</w:t>
            </w:r>
          </w:p>
        </w:tc>
        <w:tc>
          <w:tcPr>
            <w:tcW w:type="dxa" w:w="1037"/>
            <w:shd w:val="clear" w:color="auto" w:fill="F6F1E6"/>
          </w:tcPr>
          <w:p>
            <w:pPr>
              <w:spacing w:after="20"/>
              <w:jc w:val="right"/>
            </w:pPr>
            <w:r>
              <w:rPr>
                <w:b/>
                <w:color w:val="1C3A36"/>
                <w:sz w:val="18"/>
              </w:rPr>
              <w:t>53.70</w:t>
            </w:r>
          </w:p>
        </w:tc>
        <w:tc>
          <w:tcPr>
            <w:tcW w:type="dxa" w:w="1037"/>
            <w:shd w:val="clear" w:color="auto" w:fill="F6F1E6"/>
          </w:tcPr>
          <w:p>
            <w:pPr>
              <w:spacing w:after="20"/>
              <w:jc w:val="right"/>
            </w:pPr>
            <w:r>
              <w:rPr>
                <w:b/>
                <w:color w:val="1C3A36"/>
                <w:sz w:val="18"/>
              </w:rPr>
              <w:t>62.81</w:t>
            </w:r>
          </w:p>
        </w:tc>
        <w:tc>
          <w:tcPr>
            <w:tcW w:type="dxa" w:w="1037"/>
            <w:shd w:val="clear" w:color="auto" w:fill="F6F1E6"/>
          </w:tcPr>
          <w:p>
            <w:pPr>
              <w:spacing w:after="20"/>
              <w:jc w:val="right"/>
            </w:pPr>
            <w:r>
              <w:rPr>
                <w:b/>
                <w:color w:val="1C3A36"/>
                <w:sz w:val="18"/>
              </w:rPr>
              <w:t>71.60</w:t>
            </w:r>
          </w:p>
        </w:tc>
        <w:tc>
          <w:tcPr>
            <w:tcW w:type="dxa" w:w="893"/>
            <w:shd w:val="clear" w:color="auto" w:fill="F6F1E6"/>
          </w:tcPr>
          <w:p>
            <w:pPr>
              <w:spacing w:after="20"/>
              <w:jc w:val="right"/>
            </w:pPr>
            <w:r>
              <w:rPr>
                <w:b/>
                <w:color w:val="1C3A36"/>
                <w:sz w:val="18"/>
              </w:rPr>
              <w:t>100%</w:t>
            </w:r>
          </w:p>
        </w:tc>
        <w:tc>
          <w:tcPr>
            <w:tcW w:type="dxa" w:w="3672"/>
            <w:shd w:val="clear" w:color="auto" w:fill="F6F1E6"/>
          </w:tcPr>
          <w:p>
            <w:pPr>
              <w:spacing w:after="20"/>
              <w:jc w:val="right"/>
            </w:pPr>
            <w:r>
              <w:rPr>
                <w:b/>
                <w:color w:val="1C3A36"/>
                <w:sz w:val="18"/>
              </w:rPr>
              <w:t>The blend</w:t>
            </w:r>
          </w:p>
        </w:tc>
      </w:tr>
    </w:tbl>
    <w:p>
      <w:pPr>
        <w:spacing w:after="40"/>
      </w:pPr>
    </w:p>
    <w:p>
      <w:pPr>
        <w:spacing w:after="200" w:before="0"/>
      </w:pPr>
      <w:r>
        <w:rPr>
          <w:b w:val="0"/>
          <w:i/>
          <w:color w:val="6E7B77"/>
          <w:sz w:val="17"/>
        </w:rPr>
        <w:t>Table 8 — The four lenses side by side. Weighting is applied to the base cases; the ranges are shown so the reader can weight them differently.</w:t>
      </w:r>
    </w:p>
    <w:p>
      <w:pPr>
        <w:spacing w:after="80" w:before="200"/>
      </w:pPr>
      <w:r>
        <w:rPr>
          <w:b/>
          <w:i w:val="0"/>
          <w:color w:val="1C3A36"/>
          <w:sz w:val="24"/>
        </w:rPr>
        <w:t>1.6  The drivers — a volume-and-price build on one plant</w:t>
      </w:r>
    </w:p>
    <w:p>
      <w:pPr>
        <w:spacing w:after="120" w:before="0"/>
      </w:pPr>
      <w:r>
        <w:rPr>
          <w:b w:val="0"/>
          <w:i w:val="0"/>
          <w:color w:val="1C3A36"/>
          <w:sz w:val="21"/>
        </w:rPr>
        <w:t>Revenue is built from tonnes and price per tonne rather than from a growth rate. For the historical years, volume is the Egyptian market multiplied by the company's share of it, and realised price is then solved as disclosed revenue divided by that volume, so the build reproduces the reported top line exactly. The forecast compounds both legs forward.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31"/>
        <w:gridCol w:w="979"/>
        <w:gridCol w:w="979"/>
        <w:gridCol w:w="979"/>
        <w:gridCol w:w="979"/>
        <w:gridCol w:w="979"/>
        <w:gridCol w:w="979"/>
        <w:gridCol w:w="979"/>
        <w:gridCol w:w="979"/>
      </w:tblGrid>
      <w:tr>
        <w:tc>
          <w:tcPr>
            <w:tcW w:type="dxa" w:w="2131"/>
            <w:shd w:val="clear" w:color="auto" w:fill="EAF0EE"/>
          </w:tcPr>
          <w:p>
            <w:pPr>
              <w:spacing w:after="20"/>
            </w:pPr>
            <w:r>
              <w:rPr>
                <w:b/>
                <w:color w:val="1C3A36"/>
                <w:sz w:val="17"/>
              </w:rPr>
            </w:r>
          </w:p>
        </w:tc>
        <w:tc>
          <w:tcPr>
            <w:tcW w:type="dxa" w:w="979"/>
            <w:shd w:val="clear" w:color="auto" w:fill="EAF0EE"/>
          </w:tcPr>
          <w:p>
            <w:pPr>
              <w:spacing w:after="20"/>
            </w:pPr>
            <w:r>
              <w:rPr>
                <w:b/>
                <w:color w:val="1C3A36"/>
                <w:sz w:val="17"/>
              </w:rPr>
              <w:t>FY2023</w:t>
            </w:r>
          </w:p>
        </w:tc>
        <w:tc>
          <w:tcPr>
            <w:tcW w:type="dxa" w:w="979"/>
            <w:shd w:val="clear" w:color="auto" w:fill="EAF0EE"/>
          </w:tcPr>
          <w:p>
            <w:pPr>
              <w:spacing w:after="20"/>
            </w:pPr>
            <w:r>
              <w:rPr>
                <w:b/>
                <w:color w:val="1C3A36"/>
                <w:sz w:val="17"/>
              </w:rPr>
              <w:t>FY2024</w:t>
            </w:r>
          </w:p>
        </w:tc>
        <w:tc>
          <w:tcPr>
            <w:tcW w:type="dxa" w:w="979"/>
            <w:shd w:val="clear" w:color="auto" w:fill="EAF0EE"/>
          </w:tcPr>
          <w:p>
            <w:pPr>
              <w:spacing w:after="20"/>
            </w:pPr>
            <w:r>
              <w:rPr>
                <w:b/>
                <w:color w:val="1C3A36"/>
                <w:sz w:val="17"/>
              </w:rPr>
              <w:t>FY2025</w:t>
            </w:r>
          </w:p>
        </w:tc>
        <w:tc>
          <w:tcPr>
            <w:tcW w:type="dxa" w:w="979"/>
            <w:shd w:val="clear" w:color="auto" w:fill="EAF0EE"/>
          </w:tcPr>
          <w:p>
            <w:pPr>
              <w:spacing w:after="20"/>
            </w:pPr>
            <w:r>
              <w:rPr>
                <w:b/>
                <w:color w:val="1C3A36"/>
                <w:sz w:val="17"/>
              </w:rPr>
              <w:t>FY2026E</w:t>
            </w:r>
          </w:p>
        </w:tc>
        <w:tc>
          <w:tcPr>
            <w:tcW w:type="dxa" w:w="979"/>
            <w:shd w:val="clear" w:color="auto" w:fill="EAF0EE"/>
          </w:tcPr>
          <w:p>
            <w:pPr>
              <w:spacing w:after="20"/>
            </w:pPr>
            <w:r>
              <w:rPr>
                <w:b/>
                <w:color w:val="1C3A36"/>
                <w:sz w:val="17"/>
              </w:rPr>
              <w:t>FY2027E</w:t>
            </w:r>
          </w:p>
        </w:tc>
        <w:tc>
          <w:tcPr>
            <w:tcW w:type="dxa" w:w="979"/>
            <w:shd w:val="clear" w:color="auto" w:fill="EAF0EE"/>
          </w:tcPr>
          <w:p>
            <w:pPr>
              <w:spacing w:after="20"/>
            </w:pPr>
            <w:r>
              <w:rPr>
                <w:b/>
                <w:color w:val="1C3A36"/>
                <w:sz w:val="17"/>
              </w:rPr>
              <w:t>FY2028E</w:t>
            </w:r>
          </w:p>
        </w:tc>
        <w:tc>
          <w:tcPr>
            <w:tcW w:type="dxa" w:w="979"/>
            <w:shd w:val="clear" w:color="auto" w:fill="EAF0EE"/>
          </w:tcPr>
          <w:p>
            <w:pPr>
              <w:spacing w:after="20"/>
            </w:pPr>
            <w:r>
              <w:rPr>
                <w:b/>
                <w:color w:val="1C3A36"/>
                <w:sz w:val="17"/>
              </w:rPr>
              <w:t>FY2029E</w:t>
            </w:r>
          </w:p>
        </w:tc>
        <w:tc>
          <w:tcPr>
            <w:tcW w:type="dxa" w:w="979"/>
            <w:shd w:val="clear" w:color="auto" w:fill="EAF0EE"/>
          </w:tcPr>
          <w:p>
            <w:pPr>
              <w:spacing w:after="20"/>
            </w:pPr>
            <w:r>
              <w:rPr>
                <w:b/>
                <w:color w:val="1C3A36"/>
                <w:sz w:val="17"/>
              </w:rPr>
              <w:t>FY2030E</w:t>
            </w:r>
          </w:p>
        </w:tc>
      </w:tr>
      <w:tr>
        <w:tc>
          <w:tcPr>
            <w:tcW w:type="dxa" w:w="2131"/>
          </w:tcPr>
          <w:p>
            <w:pPr>
              <w:spacing w:after="20"/>
            </w:pPr>
            <w:r>
              <w:rPr>
                <w:color w:val="1C3A36"/>
                <w:sz w:val="17"/>
              </w:rPr>
              <w:t>Sales volume (Mt)</w:t>
            </w:r>
          </w:p>
        </w:tc>
        <w:tc>
          <w:tcPr>
            <w:tcW w:type="dxa" w:w="979"/>
          </w:tcPr>
          <w:p>
            <w:pPr>
              <w:spacing w:after="20"/>
              <w:jc w:val="right"/>
            </w:pPr>
            <w:r>
              <w:rPr>
                <w:color w:val="1C3A36"/>
                <w:sz w:val="17"/>
              </w:rPr>
              <w:t>2.02</w:t>
            </w:r>
          </w:p>
        </w:tc>
        <w:tc>
          <w:tcPr>
            <w:tcW w:type="dxa" w:w="979"/>
          </w:tcPr>
          <w:p>
            <w:pPr>
              <w:spacing w:after="20"/>
              <w:jc w:val="right"/>
            </w:pPr>
            <w:r>
              <w:rPr>
                <w:color w:val="1C3A36"/>
                <w:sz w:val="17"/>
              </w:rPr>
              <w:t>2.38</w:t>
            </w:r>
          </w:p>
        </w:tc>
        <w:tc>
          <w:tcPr>
            <w:tcW w:type="dxa" w:w="979"/>
          </w:tcPr>
          <w:p>
            <w:pPr>
              <w:spacing w:after="20"/>
              <w:jc w:val="right"/>
            </w:pPr>
            <w:r>
              <w:rPr>
                <w:color w:val="1C3A36"/>
                <w:sz w:val="17"/>
              </w:rPr>
              <w:t>2.70</w:t>
            </w:r>
          </w:p>
        </w:tc>
        <w:tc>
          <w:tcPr>
            <w:tcW w:type="dxa" w:w="979"/>
          </w:tcPr>
          <w:p>
            <w:pPr>
              <w:spacing w:after="20"/>
              <w:jc w:val="right"/>
            </w:pPr>
            <w:r>
              <w:rPr>
                <w:color w:val="1C3A36"/>
                <w:sz w:val="17"/>
              </w:rPr>
              <w:t>2.73</w:t>
            </w:r>
          </w:p>
        </w:tc>
        <w:tc>
          <w:tcPr>
            <w:tcW w:type="dxa" w:w="979"/>
          </w:tcPr>
          <w:p>
            <w:pPr>
              <w:spacing w:after="20"/>
              <w:jc w:val="right"/>
            </w:pPr>
            <w:r>
              <w:rPr>
                <w:color w:val="1C3A36"/>
                <w:sz w:val="17"/>
              </w:rPr>
              <w:t>2.80</w:t>
            </w:r>
          </w:p>
        </w:tc>
        <w:tc>
          <w:tcPr>
            <w:tcW w:type="dxa" w:w="979"/>
          </w:tcPr>
          <w:p>
            <w:pPr>
              <w:spacing w:after="20"/>
              <w:jc w:val="right"/>
            </w:pPr>
            <w:r>
              <w:rPr>
                <w:color w:val="1C3A36"/>
                <w:sz w:val="17"/>
              </w:rPr>
              <w:t>2.87</w:t>
            </w:r>
          </w:p>
        </w:tc>
        <w:tc>
          <w:tcPr>
            <w:tcW w:type="dxa" w:w="979"/>
          </w:tcPr>
          <w:p>
            <w:pPr>
              <w:spacing w:after="20"/>
              <w:jc w:val="right"/>
            </w:pPr>
            <w:r>
              <w:rPr>
                <w:color w:val="1C3A36"/>
                <w:sz w:val="17"/>
              </w:rPr>
              <w:t>2.94</w:t>
            </w:r>
          </w:p>
        </w:tc>
        <w:tc>
          <w:tcPr>
            <w:tcW w:type="dxa" w:w="979"/>
          </w:tcPr>
          <w:p>
            <w:pPr>
              <w:spacing w:after="20"/>
              <w:jc w:val="right"/>
            </w:pPr>
            <w:r>
              <w:rPr>
                <w:color w:val="1C3A36"/>
                <w:sz w:val="17"/>
              </w:rPr>
              <w:t>3.01</w:t>
            </w:r>
          </w:p>
        </w:tc>
      </w:tr>
      <w:tr>
        <w:tc>
          <w:tcPr>
            <w:tcW w:type="dxa" w:w="2131"/>
          </w:tcPr>
          <w:p>
            <w:pPr>
              <w:spacing w:after="20"/>
            </w:pPr>
            <w:r>
              <w:rPr>
                <w:color w:val="1C3A36"/>
                <w:sz w:val="17"/>
              </w:rPr>
              <w:t>Capacity utilisation</w:t>
            </w:r>
          </w:p>
        </w:tc>
        <w:tc>
          <w:tcPr>
            <w:tcW w:type="dxa" w:w="979"/>
          </w:tcPr>
          <w:p>
            <w:pPr>
              <w:spacing w:after="20"/>
              <w:jc w:val="right"/>
            </w:pPr>
            <w:r>
              <w:rPr>
                <w:color w:val="1C3A36"/>
                <w:sz w:val="17"/>
              </w:rPr>
              <w:t>53.2%</w:t>
            </w:r>
          </w:p>
        </w:tc>
        <w:tc>
          <w:tcPr>
            <w:tcW w:type="dxa" w:w="979"/>
          </w:tcPr>
          <w:p>
            <w:pPr>
              <w:spacing w:after="20"/>
              <w:jc w:val="right"/>
            </w:pPr>
            <w:r>
              <w:rPr>
                <w:color w:val="1C3A36"/>
                <w:sz w:val="17"/>
              </w:rPr>
              <w:t>62.6%</w:t>
            </w:r>
          </w:p>
        </w:tc>
        <w:tc>
          <w:tcPr>
            <w:tcW w:type="dxa" w:w="979"/>
          </w:tcPr>
          <w:p>
            <w:pPr>
              <w:spacing w:after="20"/>
              <w:jc w:val="right"/>
            </w:pPr>
            <w:r>
              <w:rPr>
                <w:color w:val="1C3A36"/>
                <w:sz w:val="17"/>
              </w:rPr>
              <w:t>71.1%</w:t>
            </w:r>
          </w:p>
        </w:tc>
        <w:tc>
          <w:tcPr>
            <w:tcW w:type="dxa" w:w="979"/>
          </w:tcPr>
          <w:p>
            <w:pPr>
              <w:spacing w:after="20"/>
              <w:jc w:val="right"/>
            </w:pPr>
            <w:r>
              <w:rPr>
                <w:color w:val="1C3A36"/>
                <w:sz w:val="17"/>
              </w:rPr>
              <w:t>71.8%</w:t>
            </w:r>
          </w:p>
        </w:tc>
        <w:tc>
          <w:tcPr>
            <w:tcW w:type="dxa" w:w="979"/>
          </w:tcPr>
          <w:p>
            <w:pPr>
              <w:spacing w:after="20"/>
              <w:jc w:val="right"/>
            </w:pPr>
            <w:r>
              <w:rPr>
                <w:color w:val="1C3A36"/>
                <w:sz w:val="17"/>
              </w:rPr>
              <w:t>73.6%</w:t>
            </w:r>
          </w:p>
        </w:tc>
        <w:tc>
          <w:tcPr>
            <w:tcW w:type="dxa" w:w="979"/>
          </w:tcPr>
          <w:p>
            <w:pPr>
              <w:spacing w:after="20"/>
              <w:jc w:val="right"/>
            </w:pPr>
            <w:r>
              <w:rPr>
                <w:color w:val="1C3A36"/>
                <w:sz w:val="17"/>
              </w:rPr>
              <w:t>75.4%</w:t>
            </w:r>
          </w:p>
        </w:tc>
        <w:tc>
          <w:tcPr>
            <w:tcW w:type="dxa" w:w="979"/>
          </w:tcPr>
          <w:p>
            <w:pPr>
              <w:spacing w:after="20"/>
              <w:jc w:val="right"/>
            </w:pPr>
            <w:r>
              <w:rPr>
                <w:color w:val="1C3A36"/>
                <w:sz w:val="17"/>
              </w:rPr>
              <w:t>77.3%</w:t>
            </w:r>
          </w:p>
        </w:tc>
        <w:tc>
          <w:tcPr>
            <w:tcW w:type="dxa" w:w="979"/>
          </w:tcPr>
          <w:p>
            <w:pPr>
              <w:spacing w:after="20"/>
              <w:jc w:val="right"/>
            </w:pPr>
            <w:r>
              <w:rPr>
                <w:color w:val="1C3A36"/>
                <w:sz w:val="17"/>
              </w:rPr>
              <w:t>79.2%</w:t>
            </w:r>
          </w:p>
        </w:tc>
      </w:tr>
      <w:tr>
        <w:tc>
          <w:tcPr>
            <w:tcW w:type="dxa" w:w="2131"/>
          </w:tcPr>
          <w:p>
            <w:pPr>
              <w:spacing w:after="20"/>
            </w:pPr>
            <w:r>
              <w:rPr>
                <w:color w:val="1C3A36"/>
                <w:sz w:val="17"/>
              </w:rPr>
              <w:t>Realised price (EGP/t)</w:t>
            </w:r>
          </w:p>
        </w:tc>
        <w:tc>
          <w:tcPr>
            <w:tcW w:type="dxa" w:w="979"/>
          </w:tcPr>
          <w:p>
            <w:pPr>
              <w:spacing w:after="20"/>
              <w:jc w:val="right"/>
            </w:pPr>
            <w:r>
              <w:rPr>
                <w:color w:val="1C3A36"/>
                <w:sz w:val="17"/>
              </w:rPr>
              <w:t>2,118</w:t>
            </w:r>
          </w:p>
        </w:tc>
        <w:tc>
          <w:tcPr>
            <w:tcW w:type="dxa" w:w="979"/>
          </w:tcPr>
          <w:p>
            <w:pPr>
              <w:spacing w:after="20"/>
              <w:jc w:val="right"/>
            </w:pPr>
            <w:r>
              <w:rPr>
                <w:color w:val="1C3A36"/>
                <w:sz w:val="17"/>
              </w:rPr>
              <w:t>2,697</w:t>
            </w:r>
          </w:p>
        </w:tc>
        <w:tc>
          <w:tcPr>
            <w:tcW w:type="dxa" w:w="979"/>
          </w:tcPr>
          <w:p>
            <w:pPr>
              <w:spacing w:after="20"/>
              <w:jc w:val="right"/>
            </w:pPr>
            <w:r>
              <w:rPr>
                <w:color w:val="1C3A36"/>
                <w:sz w:val="17"/>
              </w:rPr>
              <w:t>3,367</w:t>
            </w:r>
          </w:p>
        </w:tc>
        <w:tc>
          <w:tcPr>
            <w:tcW w:type="dxa" w:w="979"/>
          </w:tcPr>
          <w:p>
            <w:pPr>
              <w:spacing w:after="20"/>
              <w:jc w:val="right"/>
            </w:pPr>
            <w:r>
              <w:rPr>
                <w:color w:val="1C3A36"/>
                <w:sz w:val="17"/>
              </w:rPr>
              <w:t>3,569</w:t>
            </w:r>
          </w:p>
        </w:tc>
        <w:tc>
          <w:tcPr>
            <w:tcW w:type="dxa" w:w="979"/>
          </w:tcPr>
          <w:p>
            <w:pPr>
              <w:spacing w:after="20"/>
              <w:jc w:val="right"/>
            </w:pPr>
            <w:r>
              <w:rPr>
                <w:color w:val="1C3A36"/>
                <w:sz w:val="17"/>
              </w:rPr>
              <w:t>3,729</w:t>
            </w:r>
          </w:p>
        </w:tc>
        <w:tc>
          <w:tcPr>
            <w:tcW w:type="dxa" w:w="979"/>
          </w:tcPr>
          <w:p>
            <w:pPr>
              <w:spacing w:after="20"/>
              <w:jc w:val="right"/>
            </w:pPr>
            <w:r>
              <w:rPr>
                <w:color w:val="1C3A36"/>
                <w:sz w:val="17"/>
              </w:rPr>
              <w:t>3,916</w:t>
            </w:r>
          </w:p>
        </w:tc>
        <w:tc>
          <w:tcPr>
            <w:tcW w:type="dxa" w:w="979"/>
          </w:tcPr>
          <w:p>
            <w:pPr>
              <w:spacing w:after="20"/>
              <w:jc w:val="right"/>
            </w:pPr>
            <w:r>
              <w:rPr>
                <w:color w:val="1C3A36"/>
                <w:sz w:val="17"/>
              </w:rPr>
              <w:t>4,131</w:t>
            </w:r>
          </w:p>
        </w:tc>
        <w:tc>
          <w:tcPr>
            <w:tcW w:type="dxa" w:w="979"/>
          </w:tcPr>
          <w:p>
            <w:pPr>
              <w:spacing w:after="20"/>
              <w:jc w:val="right"/>
            </w:pPr>
            <w:r>
              <w:rPr>
                <w:color w:val="1C3A36"/>
                <w:sz w:val="17"/>
              </w:rPr>
              <w:t>4,342</w:t>
            </w:r>
          </w:p>
        </w:tc>
      </w:tr>
      <w:tr>
        <w:tc>
          <w:tcPr>
            <w:tcW w:type="dxa" w:w="2131"/>
          </w:tcPr>
          <w:p>
            <w:pPr>
              <w:spacing w:after="20"/>
            </w:pPr>
            <w:r>
              <w:rPr>
                <w:color w:val="1C3A36"/>
                <w:sz w:val="17"/>
              </w:rPr>
              <w:t>Revenue (EGP mn)</w:t>
            </w:r>
          </w:p>
        </w:tc>
        <w:tc>
          <w:tcPr>
            <w:tcW w:type="dxa" w:w="979"/>
          </w:tcPr>
          <w:p>
            <w:pPr>
              <w:spacing w:after="20"/>
              <w:jc w:val="right"/>
            </w:pPr>
            <w:r>
              <w:rPr>
                <w:color w:val="1C3A36"/>
                <w:sz w:val="17"/>
              </w:rPr>
              <w:t>4,280</w:t>
            </w:r>
          </w:p>
        </w:tc>
        <w:tc>
          <w:tcPr>
            <w:tcW w:type="dxa" w:w="979"/>
          </w:tcPr>
          <w:p>
            <w:pPr>
              <w:spacing w:after="20"/>
              <w:jc w:val="right"/>
            </w:pPr>
            <w:r>
              <w:rPr>
                <w:color w:val="1C3A36"/>
                <w:sz w:val="17"/>
              </w:rPr>
              <w:t>6,420</w:t>
            </w:r>
          </w:p>
        </w:tc>
        <w:tc>
          <w:tcPr>
            <w:tcW w:type="dxa" w:w="979"/>
          </w:tcPr>
          <w:p>
            <w:pPr>
              <w:spacing w:after="20"/>
              <w:jc w:val="right"/>
            </w:pPr>
            <w:r>
              <w:rPr>
                <w:color w:val="1C3A36"/>
                <w:sz w:val="17"/>
              </w:rPr>
              <w:t>9,090</w:t>
            </w:r>
          </w:p>
        </w:tc>
        <w:tc>
          <w:tcPr>
            <w:tcW w:type="dxa" w:w="979"/>
          </w:tcPr>
          <w:p>
            <w:pPr>
              <w:spacing w:after="20"/>
              <w:jc w:val="right"/>
            </w:pPr>
            <w:r>
              <w:rPr>
                <w:color w:val="1C3A36"/>
                <w:sz w:val="17"/>
              </w:rPr>
              <w:t>9,732</w:t>
            </w:r>
          </w:p>
        </w:tc>
        <w:tc>
          <w:tcPr>
            <w:tcW w:type="dxa" w:w="979"/>
          </w:tcPr>
          <w:p>
            <w:pPr>
              <w:spacing w:after="20"/>
              <w:jc w:val="right"/>
            </w:pPr>
            <w:r>
              <w:rPr>
                <w:color w:val="1C3A36"/>
                <w:sz w:val="17"/>
              </w:rPr>
              <w:t>10,424</w:t>
            </w:r>
          </w:p>
        </w:tc>
        <w:tc>
          <w:tcPr>
            <w:tcW w:type="dxa" w:w="979"/>
          </w:tcPr>
          <w:p>
            <w:pPr>
              <w:spacing w:after="20"/>
              <w:jc w:val="right"/>
            </w:pPr>
            <w:r>
              <w:rPr>
                <w:color w:val="1C3A36"/>
                <w:sz w:val="17"/>
              </w:rPr>
              <w:t>11,219</w:t>
            </w:r>
          </w:p>
        </w:tc>
        <w:tc>
          <w:tcPr>
            <w:tcW w:type="dxa" w:w="979"/>
          </w:tcPr>
          <w:p>
            <w:pPr>
              <w:spacing w:after="20"/>
              <w:jc w:val="right"/>
            </w:pPr>
            <w:r>
              <w:rPr>
                <w:color w:val="1C3A36"/>
                <w:sz w:val="17"/>
              </w:rPr>
              <w:t>12,132</w:t>
            </w:r>
          </w:p>
        </w:tc>
        <w:tc>
          <w:tcPr>
            <w:tcW w:type="dxa" w:w="979"/>
          </w:tcPr>
          <w:p>
            <w:pPr>
              <w:spacing w:after="20"/>
              <w:jc w:val="right"/>
            </w:pPr>
            <w:r>
              <w:rPr>
                <w:color w:val="1C3A36"/>
                <w:sz w:val="17"/>
              </w:rPr>
              <w:t>13,069</w:t>
            </w:r>
          </w:p>
        </w:tc>
      </w:tr>
    </w:tbl>
    <w:p>
      <w:pPr>
        <w:spacing w:after="40"/>
      </w:pPr>
    </w:p>
    <w:p>
      <w:pPr>
        <w:spacing w:after="200" w:before="0"/>
      </w:pPr>
      <w:r>
        <w:rPr>
          <w:b w:val="0"/>
          <w:i/>
          <w:color w:val="6E7B77"/>
          <w:sz w:val="17"/>
        </w:rPr>
        <w:t>Table 9 — The unit build. Utilisation of about 71% against a market running at 98% reflects a plant in North Sinai serving a market centred elsewhere.</w:t>
      </w:r>
    </w:p>
    <w:p>
      <w:pPr>
        <w:spacing w:after="120" w:before="0"/>
      </w:pPr>
      <w:r>
        <w:rPr>
          <w:b w:val="0"/>
          <w:i w:val="0"/>
          <w:color w:val="1C3A36"/>
          <w:sz w:val="21"/>
        </w:rPr>
        <w:t>The price path is the part that deserves scrutiny. Nominal realised prices rise 4.5% to 6.0% a year across the forecast. Against Egyptian inflation running near 16% in 2026 and easing toward the central bank's 7% and then 5% targets, that is a real price decline in every single year. That is not pessimism for its own sake; it is what a supply glut does to pricing power, and the next section names the specific mechanism.</w:t>
      </w:r>
    </w:p>
    <w:p>
      <w:pPr>
        <w:spacing w:after="80" w:before="200"/>
      </w:pPr>
      <w:r>
        <w:rPr>
          <w:b/>
          <w:i w:val="0"/>
          <w:color w:val="1C3A36"/>
          <w:sz w:val="24"/>
        </w:rPr>
        <w:t>1.7  The crux — the cycle first, the capacity revival second, the cash third</w:t>
      </w:r>
    </w:p>
    <w:p>
      <w:pPr>
        <w:spacing w:after="120" w:before="0"/>
      </w:pPr>
      <w:r>
        <w:rPr>
          <w:b w:val="0"/>
          <w:i w:val="0"/>
          <w:color w:val="1C3A36"/>
          <w:sz w:val="21"/>
        </w:rPr>
        <w:t>Three things decide this valuation, in this order.</w:t>
      </w:r>
    </w:p>
    <w:p>
      <w:pPr>
        <w:pStyle w:val="ListBullet"/>
        <w:spacing w:after="60"/>
      </w:pPr>
      <w:r>
        <w:rPr>
          <w:b/>
          <w:color w:val="1C3A36"/>
          <w:sz w:val="21"/>
        </w:rPr>
        <w:t xml:space="preserve">The structural surplus. </w:t>
      </w:r>
      <w:r>
        <w:rPr>
          <w:color w:val="1C3A36"/>
          <w:sz w:val="21"/>
        </w:rPr>
        <w:t>Egypt can already make far more cement than it uses. Nameplate capacity is 76 million tonnes a year against domestic consumption of 54 million. Exports of 18.5 million tonnes absorb much of the gap, but they fell about 6% in 2025 even as the domestic market boomed.</w:t>
      </w:r>
    </w:p>
    <w:p>
      <w:pPr>
        <w:pStyle w:val="ListBullet"/>
        <w:spacing w:after="60"/>
      </w:pPr>
      <w:r>
        <w:rPr>
          <w:b/>
          <w:color w:val="1C3A36"/>
          <w:sz w:val="21"/>
        </w:rPr>
        <w:t xml:space="preserve">The revival programme. </w:t>
      </w:r>
      <w:r>
        <w:rPr>
          <w:color w:val="1C3A36"/>
          <w:sz w:val="21"/>
        </w:rPr>
        <w:t>Between seven and nine dormant production lines are under study for revival, potentially adding 12.6 million tonnes from the second half of 2026 — about 23% of domestic consumption, arriving inside the forecast window. Restarting a mothballed line costs a fraction of building a new one, which is precisely why the threat is credible and why the asset lens should not be read as a floor.</w:t>
      </w:r>
    </w:p>
    <w:p>
      <w:pPr>
        <w:pStyle w:val="ListBullet"/>
        <w:spacing w:after="60"/>
      </w:pPr>
      <w:r>
        <w:rPr>
          <w:b/>
          <w:color w:val="1C3A36"/>
          <w:sz w:val="21"/>
        </w:rPr>
        <w:t xml:space="preserve">The cash. </w:t>
      </w:r>
      <w:r>
        <w:rPr>
          <w:color w:val="1C3A36"/>
          <w:sz w:val="21"/>
        </w:rPr>
        <w:t>Net cash of EGP 5,307 million is 37% of the market capitalisation. It is why profit after tax exceeds EBITDA — a cash pile earning Egyptian policy rates throws off more than the plant does in a weak year — and it is why the equity is far less risky than the operating business alone. It is also the lens with the most uncertainty attached, for reasons section 7 sets out.</w:t>
      </w:r>
    </w:p>
    <w:p>
      <w:pPr>
        <w:spacing w:after="40"/>
        <w:jc w:val="center"/>
      </w:pPr>
      <w:r>
        <w:drawing>
          <wp:inline xmlns:a="http://schemas.openxmlformats.org/drawingml/2006/main" xmlns:pic="http://schemas.openxmlformats.org/drawingml/2006/picture">
            <wp:extent cx="6035040" cy="2481072"/>
            <wp:docPr id="3" name="Picture 3"/>
            <wp:cNvGraphicFramePr>
              <a:graphicFrameLocks noChangeAspect="1"/>
            </wp:cNvGraphicFramePr>
            <a:graphic>
              <a:graphicData uri="http://schemas.openxmlformats.org/drawingml/2006/picture">
                <pic:pic>
                  <pic:nvPicPr>
                    <pic:cNvPr id="0" name="fig8_sector.png"/>
                    <pic:cNvPicPr/>
                  </pic:nvPicPr>
                  <pic:blipFill>
                    <a:blip r:embed="rId11"/>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3 — The Egyptian cement balance. The surplus, and what is queuing to join it.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cost of equity starts from the Egyptian ten-year government yield of 22.31%. That yield is high largely because of Egypt's own sovereign default risk, so charging a country equity premium on top of it without adjustment would count that risk twice. The sovereign default spread is therefore netted out of the risk-free rate before the premium is added.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808"/>
        <w:gridCol w:w="2808"/>
      </w:tblGrid>
      <w:tr>
        <w:tc>
          <w:tcPr>
            <w:tcW w:type="dxa" w:w="4104"/>
            <w:shd w:val="clear" w:color="auto" w:fill="EAF0EE"/>
          </w:tcPr>
          <w:p>
            <w:pPr>
              <w:spacing w:after="20"/>
            </w:pPr>
            <w:r>
              <w:rPr>
                <w:b/>
                <w:color w:val="1C3A36"/>
                <w:sz w:val="18"/>
              </w:rPr>
            </w:r>
          </w:p>
        </w:tc>
        <w:tc>
          <w:tcPr>
            <w:tcW w:type="dxa" w:w="2808"/>
            <w:shd w:val="clear" w:color="auto" w:fill="EAF0EE"/>
          </w:tcPr>
          <w:p>
            <w:pPr>
              <w:spacing w:after="20"/>
            </w:pPr>
            <w:r>
              <w:rPr>
                <w:b/>
                <w:color w:val="1C3A36"/>
                <w:sz w:val="18"/>
              </w:rPr>
              <w:t>Explicit window</w:t>
            </w:r>
          </w:p>
        </w:tc>
        <w:tc>
          <w:tcPr>
            <w:tcW w:type="dxa" w:w="2808"/>
            <w:shd w:val="clear" w:color="auto" w:fill="EAF0EE"/>
          </w:tcPr>
          <w:p>
            <w:pPr>
              <w:spacing w:after="20"/>
            </w:pPr>
            <w:r>
              <w:rPr>
                <w:b/>
                <w:color w:val="1C3A36"/>
                <w:sz w:val="18"/>
              </w:rPr>
              <w:t>Terminal</w:t>
            </w:r>
          </w:p>
        </w:tc>
      </w:tr>
      <w:tr>
        <w:tc>
          <w:tcPr>
            <w:tcW w:type="dxa" w:w="4104"/>
          </w:tcPr>
          <w:p>
            <w:pPr>
              <w:spacing w:after="20"/>
            </w:pPr>
            <w:r>
              <w:rPr>
                <w:color w:val="1C3A36"/>
                <w:sz w:val="18"/>
              </w:rPr>
              <w:t>Risk-free rate</w:t>
            </w:r>
          </w:p>
        </w:tc>
        <w:tc>
          <w:tcPr>
            <w:tcW w:type="dxa" w:w="2808"/>
          </w:tcPr>
          <w:p>
            <w:pPr>
              <w:spacing w:after="20"/>
              <w:jc w:val="right"/>
            </w:pPr>
            <w:r>
              <w:rPr>
                <w:color w:val="1C3A36"/>
                <w:sz w:val="18"/>
              </w:rPr>
              <w:t>22.31%</w:t>
            </w:r>
          </w:p>
        </w:tc>
        <w:tc>
          <w:tcPr>
            <w:tcW w:type="dxa" w:w="2808"/>
          </w:tcPr>
          <w:p>
            <w:pPr>
              <w:spacing w:after="20"/>
              <w:jc w:val="right"/>
            </w:pPr>
            <w:r>
              <w:rPr>
                <w:color w:val="1C3A36"/>
                <w:sz w:val="18"/>
              </w:rPr>
              <w:t>10.50%</w:t>
            </w:r>
          </w:p>
        </w:tc>
      </w:tr>
      <w:tr>
        <w:tc>
          <w:tcPr>
            <w:tcW w:type="dxa" w:w="4104"/>
          </w:tcPr>
          <w:p>
            <w:pPr>
              <w:spacing w:after="20"/>
            </w:pPr>
            <w:r>
              <w:rPr>
                <w:color w:val="1C3A36"/>
                <w:sz w:val="18"/>
              </w:rPr>
              <w:t>Less sovereign default spread</w:t>
            </w:r>
          </w:p>
        </w:tc>
        <w:tc>
          <w:tcPr>
            <w:tcW w:type="dxa" w:w="2808"/>
          </w:tcPr>
          <w:p>
            <w:pPr>
              <w:spacing w:after="20"/>
              <w:jc w:val="right"/>
            </w:pPr>
            <w:r>
              <w:rPr>
                <w:color w:val="1C3A36"/>
                <w:sz w:val="18"/>
              </w:rPr>
              <w:t>-3.40%</w:t>
            </w:r>
          </w:p>
        </w:tc>
        <w:tc>
          <w:tcPr>
            <w:tcW w:type="dxa" w:w="2808"/>
          </w:tcPr>
          <w:p>
            <w:pPr>
              <w:spacing w:after="20"/>
              <w:jc w:val="right"/>
            </w:pPr>
            <w:r>
              <w:rPr>
                <w:color w:val="1C3A36"/>
                <w:sz w:val="18"/>
              </w:rPr>
              <w:t>—</w:t>
            </w:r>
          </w:p>
        </w:tc>
      </w:tr>
      <w:tr>
        <w:tc>
          <w:tcPr>
            <w:tcW w:type="dxa" w:w="4104"/>
          </w:tcPr>
          <w:p>
            <w:pPr>
              <w:spacing w:after="20"/>
            </w:pPr>
            <w:r>
              <w:rPr>
                <w:color w:val="1C3A36"/>
                <w:sz w:val="18"/>
              </w:rPr>
              <w:t>Normalised risk-free rate</w:t>
            </w:r>
          </w:p>
        </w:tc>
        <w:tc>
          <w:tcPr>
            <w:tcW w:type="dxa" w:w="2808"/>
          </w:tcPr>
          <w:p>
            <w:pPr>
              <w:spacing w:after="20"/>
              <w:jc w:val="right"/>
            </w:pPr>
            <w:r>
              <w:rPr>
                <w:color w:val="1C3A36"/>
                <w:sz w:val="18"/>
              </w:rPr>
              <w:t>18.91%</w:t>
            </w:r>
          </w:p>
        </w:tc>
        <w:tc>
          <w:tcPr>
            <w:tcW w:type="dxa" w:w="2808"/>
          </w:tcPr>
          <w:p>
            <w:pPr>
              <w:spacing w:after="20"/>
              <w:jc w:val="right"/>
            </w:pPr>
            <w:r>
              <w:rPr>
                <w:color w:val="1C3A36"/>
                <w:sz w:val="18"/>
              </w:rPr>
              <w:t>10.50%</w:t>
            </w:r>
          </w:p>
        </w:tc>
      </w:tr>
      <w:tr>
        <w:tc>
          <w:tcPr>
            <w:tcW w:type="dxa" w:w="4104"/>
          </w:tcPr>
          <w:p>
            <w:pPr>
              <w:spacing w:after="20"/>
            </w:pPr>
            <w:r>
              <w:rPr>
                <w:color w:val="1C3A36"/>
                <w:sz w:val="18"/>
              </w:rPr>
              <w:t>Beta</w:t>
            </w:r>
          </w:p>
        </w:tc>
        <w:tc>
          <w:tcPr>
            <w:tcW w:type="dxa" w:w="2808"/>
          </w:tcPr>
          <w:p>
            <w:pPr>
              <w:spacing w:after="20"/>
              <w:jc w:val="right"/>
            </w:pPr>
            <w:r>
              <w:rPr>
                <w:color w:val="1C3A36"/>
                <w:sz w:val="18"/>
              </w:rPr>
              <w:t>1.00</w:t>
            </w:r>
          </w:p>
        </w:tc>
        <w:tc>
          <w:tcPr>
            <w:tcW w:type="dxa" w:w="2808"/>
          </w:tcPr>
          <w:p>
            <w:pPr>
              <w:spacing w:after="20"/>
              <w:jc w:val="right"/>
            </w:pPr>
            <w:r>
              <w:rPr>
                <w:color w:val="1C3A36"/>
                <w:sz w:val="18"/>
              </w:rPr>
              <w:t>1.00</w:t>
            </w:r>
          </w:p>
        </w:tc>
      </w:tr>
      <w:tr>
        <w:tc>
          <w:tcPr>
            <w:tcW w:type="dxa" w:w="4104"/>
          </w:tcPr>
          <w:p>
            <w:pPr>
              <w:spacing w:after="20"/>
            </w:pPr>
            <w:r>
              <w:rPr>
                <w:color w:val="1C3A36"/>
                <w:sz w:val="18"/>
              </w:rPr>
              <w:t>Equity risk premium</w:t>
            </w:r>
          </w:p>
        </w:tc>
        <w:tc>
          <w:tcPr>
            <w:tcW w:type="dxa" w:w="2808"/>
          </w:tcPr>
          <w:p>
            <w:pPr>
              <w:spacing w:after="20"/>
              <w:jc w:val="right"/>
            </w:pPr>
            <w:r>
              <w:rPr>
                <w:color w:val="1C3A36"/>
                <w:sz w:val="18"/>
              </w:rPr>
              <w:t>9.41%</w:t>
            </w:r>
          </w:p>
        </w:tc>
        <w:tc>
          <w:tcPr>
            <w:tcW w:type="dxa" w:w="2808"/>
          </w:tcPr>
          <w:p>
            <w:pPr>
              <w:spacing w:after="20"/>
              <w:jc w:val="right"/>
            </w:pPr>
            <w:r>
              <w:rPr>
                <w:color w:val="1C3A36"/>
                <w:sz w:val="18"/>
              </w:rPr>
              <w:t>7.00%</w:t>
            </w:r>
          </w:p>
        </w:tc>
      </w:tr>
      <w:tr>
        <w:tc>
          <w:tcPr>
            <w:tcW w:type="dxa" w:w="4104"/>
          </w:tcPr>
          <w:p>
            <w:pPr>
              <w:spacing w:after="20"/>
            </w:pPr>
            <w:r>
              <w:rPr>
                <w:color w:val="1C3A36"/>
                <w:sz w:val="18"/>
              </w:rPr>
              <w:t>Cost of equity</w:t>
            </w:r>
          </w:p>
        </w:tc>
        <w:tc>
          <w:tcPr>
            <w:tcW w:type="dxa" w:w="2808"/>
          </w:tcPr>
          <w:p>
            <w:pPr>
              <w:spacing w:after="20"/>
              <w:jc w:val="right"/>
            </w:pPr>
            <w:r>
              <w:rPr>
                <w:color w:val="1C3A36"/>
                <w:sz w:val="18"/>
              </w:rPr>
              <w:t>28.32%</w:t>
            </w:r>
          </w:p>
        </w:tc>
        <w:tc>
          <w:tcPr>
            <w:tcW w:type="dxa" w:w="2808"/>
          </w:tcPr>
          <w:p>
            <w:pPr>
              <w:spacing w:after="20"/>
              <w:jc w:val="right"/>
            </w:pPr>
            <w:r>
              <w:rPr>
                <w:color w:val="1C3A36"/>
                <w:sz w:val="18"/>
              </w:rPr>
              <w:t>17.50%</w:t>
            </w:r>
          </w:p>
        </w:tc>
      </w:tr>
      <w:tr>
        <w:tc>
          <w:tcPr>
            <w:tcW w:type="dxa" w:w="4104"/>
          </w:tcPr>
          <w:p>
            <w:pPr>
              <w:spacing w:after="20"/>
            </w:pPr>
            <w:r>
              <w:rPr>
                <w:color w:val="1C3A36"/>
                <w:sz w:val="18"/>
              </w:rPr>
              <w:t>Cost of debt after tax</w:t>
            </w:r>
          </w:p>
        </w:tc>
        <w:tc>
          <w:tcPr>
            <w:tcW w:type="dxa" w:w="2808"/>
          </w:tcPr>
          <w:p>
            <w:pPr>
              <w:spacing w:after="20"/>
              <w:jc w:val="right"/>
            </w:pPr>
            <w:r>
              <w:rPr>
                <w:color w:val="1C3A36"/>
                <w:sz w:val="18"/>
              </w:rPr>
              <w:t>16.66%</w:t>
            </w:r>
          </w:p>
        </w:tc>
        <w:tc>
          <w:tcPr>
            <w:tcW w:type="dxa" w:w="2808"/>
          </w:tcPr>
          <w:p>
            <w:pPr>
              <w:spacing w:after="20"/>
              <w:jc w:val="right"/>
            </w:pPr>
            <w:r>
              <w:rPr>
                <w:color w:val="1C3A36"/>
                <w:sz w:val="18"/>
              </w:rPr>
              <w:t>11.62%</w:t>
            </w:r>
          </w:p>
        </w:tc>
      </w:tr>
      <w:tr>
        <w:tc>
          <w:tcPr>
            <w:tcW w:type="dxa" w:w="4104"/>
          </w:tcPr>
          <w:p>
            <w:pPr>
              <w:spacing w:after="20"/>
            </w:pPr>
            <w:r>
              <w:rPr>
                <w:color w:val="1C3A36"/>
                <w:sz w:val="18"/>
              </w:rPr>
              <w:t>Debt weight</w:t>
            </w:r>
          </w:p>
        </w:tc>
        <w:tc>
          <w:tcPr>
            <w:tcW w:type="dxa" w:w="2808"/>
          </w:tcPr>
          <w:p>
            <w:pPr>
              <w:spacing w:after="20"/>
              <w:jc w:val="right"/>
            </w:pPr>
            <w:r>
              <w:rPr>
                <w:color w:val="1C3A36"/>
                <w:sz w:val="18"/>
              </w:rPr>
              <w:t>0.18%</w:t>
            </w:r>
          </w:p>
        </w:tc>
        <w:tc>
          <w:tcPr>
            <w:tcW w:type="dxa" w:w="2808"/>
          </w:tcPr>
          <w:p>
            <w:pPr>
              <w:spacing w:after="20"/>
              <w:jc w:val="right"/>
            </w:pPr>
            <w:r>
              <w:rPr>
                <w:color w:val="1C3A36"/>
                <w:sz w:val="18"/>
              </w:rPr>
              <w:t>20.00%</w:t>
            </w:r>
          </w:p>
        </w:tc>
      </w:tr>
      <w:tr>
        <w:tc>
          <w:tcPr>
            <w:tcW w:type="dxa" w:w="4104"/>
          </w:tcPr>
          <w:p>
            <w:pPr>
              <w:spacing w:after="20"/>
            </w:pPr>
            <w:r>
              <w:rPr>
                <w:color w:val="1C3A36"/>
                <w:sz w:val="18"/>
              </w:rPr>
              <w:t>Weighted average cost of capital</w:t>
            </w:r>
          </w:p>
        </w:tc>
        <w:tc>
          <w:tcPr>
            <w:tcW w:type="dxa" w:w="2808"/>
          </w:tcPr>
          <w:p>
            <w:pPr>
              <w:spacing w:after="20"/>
              <w:jc w:val="right"/>
            </w:pPr>
            <w:r>
              <w:rPr>
                <w:color w:val="1C3A36"/>
                <w:sz w:val="18"/>
              </w:rPr>
              <w:t>28.30%</w:t>
            </w:r>
          </w:p>
        </w:tc>
        <w:tc>
          <w:tcPr>
            <w:tcW w:type="dxa" w:w="2808"/>
          </w:tcPr>
          <w:p>
            <w:pPr>
              <w:spacing w:after="20"/>
              <w:jc w:val="right"/>
            </w:pPr>
            <w:r>
              <w:rPr>
                <w:color w:val="1C3A36"/>
                <w:sz w:val="18"/>
              </w:rPr>
              <w:t>16.32%</w:t>
            </w:r>
          </w:p>
        </w:tc>
      </w:tr>
    </w:tbl>
    <w:p>
      <w:pPr>
        <w:spacing w:after="40"/>
      </w:pPr>
    </w:p>
    <w:p>
      <w:pPr>
        <w:spacing w:after="200" w:before="0"/>
      </w:pPr>
      <w:r>
        <w:rPr>
          <w:b w:val="0"/>
          <w:i/>
          <w:color w:val="6E7B77"/>
          <w:sz w:val="17"/>
        </w:rPr>
        <w:t>Table 10 — The cost of capital, built from its components. The retired construction that leaves the sovereign spread in the risk-free rate would give a cost of equity of 31.72%, some 340 basis points higher.</w:t>
      </w:r>
    </w:p>
    <w:p>
      <w:pPr>
        <w:spacing w:after="120" w:before="0"/>
      </w:pPr>
      <w:r>
        <w:rPr>
          <w:b w:val="0"/>
          <w:i w:val="0"/>
          <w:color w:val="1C3A36"/>
          <w:sz w:val="21"/>
        </w:rPr>
        <w:t>The terminal rates are house views, and are labelled as such rather than presented as observations. The terminal risk-free rate of 10.5% is the central bank's own stated medium-term inflation target of 5% plus a standard emerging-market real-rate convention of about 5.5 points. The terminal cost of debt of 15% is the midpoint of Egypt's long-run corporate borrowing range. Neither is reverse-engineered from a target price.</w:t>
      </w:r>
    </w:p>
    <w:p>
      <w:pPr>
        <w:spacing w:after="80" w:before="200"/>
      </w:pPr>
      <w:r>
        <w:rPr>
          <w:b/>
          <w:i w:val="0"/>
          <w:color w:val="1C3A36"/>
          <w:sz w:val="24"/>
        </w:rPr>
        <w:t>The beta, and why it is not the regression's answer</w:t>
      </w:r>
    </w:p>
    <w:p>
      <w:pPr>
        <w:spacing w:after="120" w:before="0"/>
      </w:pPr>
      <w:r>
        <w:rPr>
          <w:b w:val="0"/>
          <w:i w:val="0"/>
          <w:color w:val="1C3A36"/>
          <w:sz w:val="21"/>
        </w:rPr>
        <w:t>A five-year weekly regression of the shares against an equal-weight Egyptian composite returns a beta of 0.49 with an R-squared of 0.038 over 256 observations and a standard error of 0.153. That R-squared is below the 5% floor this house requires, so the regression is not usable and its answer is not used. No Egyptian listed cement peer carries a price history in the covered library, so a re-levered peer beta is unavailable too.</w:t>
      </w:r>
    </w:p>
    <w:p>
      <w:pPr>
        <w:spacing w:after="120" w:before="0"/>
      </w:pPr>
      <w:r>
        <w:rPr>
          <w:b w:val="0"/>
          <w:i w:val="0"/>
          <w:color w:val="1C3A36"/>
          <w:sz w:val="21"/>
        </w:rPr>
        <w:t>A beta of 1.00 is therefore adopted, and it is corroborated rather than assumed. The shares trade with an unchanged closing price on 29.3% of sessions — three and a half times the Egyptian median and the second thinnest of 33 covered names — which biases any contemporaneous regression downward by construction. Correcting for that with a lead-and-lag estimator lifts the beta to 0.84, with a 90% interval of 0.35 to 1.32 that comfortably contains 1.00. A capital-intensive materials producer would normally sit between 1.0 and 1.5; this one sits at the bottom of that band because it carries no financial leverage at 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67"/>
        <w:gridCol w:w="1267"/>
        <w:gridCol w:w="1656"/>
        <w:gridCol w:w="1267"/>
        <w:gridCol w:w="1267"/>
      </w:tblGrid>
      <w:tr>
        <w:tc>
          <w:tcPr>
            <w:tcW w:type="dxa" w:w="3312"/>
            <w:shd w:val="clear" w:color="auto" w:fill="EAF0EE"/>
          </w:tcPr>
          <w:p>
            <w:pPr>
              <w:spacing w:after="20"/>
            </w:pPr>
            <w:r>
              <w:rPr>
                <w:b/>
                <w:color w:val="1C3A36"/>
                <w:sz w:val="18"/>
              </w:rPr>
              <w:t>Beta</w:t>
            </w:r>
          </w:p>
        </w:tc>
        <w:tc>
          <w:tcPr>
            <w:tcW w:type="dxa" w:w="1267"/>
            <w:shd w:val="clear" w:color="auto" w:fill="EAF0EE"/>
          </w:tcPr>
          <w:p>
            <w:pPr>
              <w:spacing w:after="20"/>
            </w:pPr>
            <w:r>
              <w:rPr>
                <w:b/>
                <w:color w:val="1C3A36"/>
                <w:sz w:val="18"/>
              </w:rPr>
              <w:t>0.60</w:t>
            </w:r>
          </w:p>
        </w:tc>
        <w:tc>
          <w:tcPr>
            <w:tcW w:type="dxa" w:w="1267"/>
            <w:shd w:val="clear" w:color="auto" w:fill="EAF0EE"/>
          </w:tcPr>
          <w:p>
            <w:pPr>
              <w:spacing w:after="20"/>
            </w:pPr>
            <w:r>
              <w:rPr>
                <w:b/>
                <w:color w:val="1C3A36"/>
                <w:sz w:val="18"/>
              </w:rPr>
              <w:t>0.80</w:t>
            </w:r>
          </w:p>
        </w:tc>
        <w:tc>
          <w:tcPr>
            <w:tcW w:type="dxa" w:w="1656"/>
            <w:shd w:val="clear" w:color="auto" w:fill="EAF0EE"/>
          </w:tcPr>
          <w:p>
            <w:pPr>
              <w:spacing w:after="20"/>
            </w:pPr>
            <w:r>
              <w:rPr>
                <w:b/>
                <w:color w:val="1C3A36"/>
                <w:sz w:val="18"/>
              </w:rPr>
              <w:t>1.00 (adopted)</w:t>
            </w:r>
          </w:p>
        </w:tc>
        <w:tc>
          <w:tcPr>
            <w:tcW w:type="dxa" w:w="1267"/>
            <w:shd w:val="clear" w:color="auto" w:fill="EAF0EE"/>
          </w:tcPr>
          <w:p>
            <w:pPr>
              <w:spacing w:after="20"/>
            </w:pPr>
            <w:r>
              <w:rPr>
                <w:b/>
                <w:color w:val="1C3A36"/>
                <w:sz w:val="18"/>
              </w:rPr>
              <w:t>1.15</w:t>
            </w:r>
          </w:p>
        </w:tc>
        <w:tc>
          <w:tcPr>
            <w:tcW w:type="dxa" w:w="1267"/>
            <w:shd w:val="clear" w:color="auto" w:fill="EAF0EE"/>
          </w:tcPr>
          <w:p>
            <w:pPr>
              <w:spacing w:after="20"/>
            </w:pPr>
            <w:r>
              <w:rPr>
                <w:b/>
                <w:color w:val="1C3A36"/>
                <w:sz w:val="18"/>
              </w:rPr>
              <w:t>1.30</w:t>
            </w:r>
          </w:p>
        </w:tc>
      </w:tr>
      <w:tr>
        <w:tc>
          <w:tcPr>
            <w:tcW w:type="dxa" w:w="3312"/>
          </w:tcPr>
          <w:p>
            <w:pPr>
              <w:spacing w:after="20"/>
            </w:pPr>
            <w:r>
              <w:rPr>
                <w:color w:val="1C3A36"/>
                <w:sz w:val="18"/>
              </w:rPr>
              <w:t>Fair value per share (EGP)</w:t>
            </w:r>
          </w:p>
        </w:tc>
        <w:tc>
          <w:tcPr>
            <w:tcW w:type="dxa" w:w="1267"/>
          </w:tcPr>
          <w:p>
            <w:pPr>
              <w:spacing w:after="20"/>
              <w:jc w:val="right"/>
            </w:pPr>
            <w:r>
              <w:rPr>
                <w:color w:val="1C3A36"/>
                <w:sz w:val="18"/>
              </w:rPr>
              <w:t>61.63</w:t>
            </w:r>
          </w:p>
        </w:tc>
        <w:tc>
          <w:tcPr>
            <w:tcW w:type="dxa" w:w="1267"/>
          </w:tcPr>
          <w:p>
            <w:pPr>
              <w:spacing w:after="20"/>
              <w:jc w:val="right"/>
            </w:pPr>
            <w:r>
              <w:rPr>
                <w:color w:val="1C3A36"/>
                <w:sz w:val="18"/>
              </w:rPr>
              <w:t>57.69</w:t>
            </w:r>
          </w:p>
        </w:tc>
        <w:tc>
          <w:tcPr>
            <w:tcW w:type="dxa" w:w="1656"/>
          </w:tcPr>
          <w:p>
            <w:pPr>
              <w:spacing w:after="20"/>
              <w:jc w:val="right"/>
            </w:pPr>
            <w:r>
              <w:rPr>
                <w:color w:val="1C3A36"/>
                <w:sz w:val="18"/>
              </w:rPr>
              <w:t>54.49</w:t>
            </w:r>
          </w:p>
        </w:tc>
        <w:tc>
          <w:tcPr>
            <w:tcW w:type="dxa" w:w="1267"/>
          </w:tcPr>
          <w:p>
            <w:pPr>
              <w:spacing w:after="20"/>
              <w:jc w:val="right"/>
            </w:pPr>
            <w:r>
              <w:rPr>
                <w:color w:val="1C3A36"/>
                <w:sz w:val="18"/>
              </w:rPr>
              <w:t>52.45</w:t>
            </w:r>
          </w:p>
        </w:tc>
        <w:tc>
          <w:tcPr>
            <w:tcW w:type="dxa" w:w="1267"/>
          </w:tcPr>
          <w:p>
            <w:pPr>
              <w:spacing w:after="20"/>
              <w:jc w:val="right"/>
            </w:pPr>
            <w:r>
              <w:rPr>
                <w:color w:val="1C3A36"/>
                <w:sz w:val="18"/>
              </w:rPr>
              <w:t>50.65</w:t>
            </w:r>
          </w:p>
        </w:tc>
      </w:tr>
    </w:tbl>
    <w:p>
      <w:pPr>
        <w:spacing w:after="40"/>
      </w:pPr>
    </w:p>
    <w:p>
      <w:pPr>
        <w:spacing w:after="200" w:before="0"/>
      </w:pPr>
      <w:r>
        <w:rPr>
          <w:b w:val="0"/>
          <w:i/>
          <w:color w:val="6E7B77"/>
          <w:sz w:val="17"/>
        </w:rPr>
        <w:t>Table 11 — Beta sensitivity across the confidence interval and fixed anchors.</w:t>
      </w:r>
    </w:p>
    <w:p>
      <w:pPr>
        <w:spacing w:after="80" w:before="200"/>
      </w:pPr>
      <w:r>
        <w:rPr>
          <w:b/>
          <w:i w:val="0"/>
          <w:color w:val="1C3A36"/>
          <w:sz w:val="24"/>
        </w:rPr>
        <w:t>1.9  Sensitivity — the discount rate, the growth, the margin and the replacement cost</w:t>
      </w:r>
    </w:p>
    <w:p>
      <w:pPr>
        <w:spacing w:after="40"/>
        <w:jc w:val="center"/>
      </w:pPr>
      <w:r>
        <w:drawing>
          <wp:inline xmlns:a="http://schemas.openxmlformats.org/drawingml/2006/main" xmlns:pic="http://schemas.openxmlformats.org/drawingml/2006/picture">
            <wp:extent cx="5943600" cy="2971800"/>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943600" cy="2971800"/>
                    </a:xfrm>
                    <a:prstGeom prst="rect"/>
                  </pic:spPr>
                </pic:pic>
              </a:graphicData>
            </a:graphic>
          </wp:inline>
        </w:drawing>
      </w:r>
    </w:p>
    <w:p>
      <w:pPr>
        <w:spacing w:after="200" w:before="0"/>
      </w:pPr>
      <w:r>
        <w:rPr>
          <w:b w:val="0"/>
          <w:i/>
          <w:color w:val="6E7B77"/>
          <w:sz w:val="17"/>
        </w:rPr>
        <w:t>Figure 4 — Fair value across the cost of capital and the terminal growth rate. Reading left to right, higher growth lowers the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Explicit cost of capital</w:t>
            </w:r>
          </w:p>
        </w:tc>
        <w:tc>
          <w:tcPr>
            <w:tcW w:type="dxa" w:w="1411"/>
            <w:shd w:val="clear" w:color="auto" w:fill="EAF0EE"/>
          </w:tcPr>
          <w:p>
            <w:pPr>
              <w:spacing w:after="20"/>
            </w:pPr>
            <w:r>
              <w:rPr>
                <w:b/>
                <w:color w:val="1C3A36"/>
                <w:sz w:val="18"/>
              </w:rPr>
              <w:t>g = 3%</w:t>
            </w:r>
          </w:p>
        </w:tc>
        <w:tc>
          <w:tcPr>
            <w:tcW w:type="dxa" w:w="1411"/>
            <w:shd w:val="clear" w:color="auto" w:fill="EAF0EE"/>
          </w:tcPr>
          <w:p>
            <w:pPr>
              <w:spacing w:after="20"/>
            </w:pPr>
            <w:r>
              <w:rPr>
                <w:b/>
                <w:color w:val="1C3A36"/>
                <w:sz w:val="18"/>
              </w:rPr>
              <w:t>g = 4%</w:t>
            </w:r>
          </w:p>
        </w:tc>
        <w:tc>
          <w:tcPr>
            <w:tcW w:type="dxa" w:w="1411"/>
            <w:shd w:val="clear" w:color="auto" w:fill="EAF0EE"/>
          </w:tcPr>
          <w:p>
            <w:pPr>
              <w:spacing w:after="20"/>
            </w:pPr>
            <w:r>
              <w:rPr>
                <w:b/>
                <w:color w:val="1C3A36"/>
                <w:sz w:val="18"/>
              </w:rPr>
              <w:t>g = 5%</w:t>
            </w:r>
          </w:p>
        </w:tc>
        <w:tc>
          <w:tcPr>
            <w:tcW w:type="dxa" w:w="1411"/>
            <w:shd w:val="clear" w:color="auto" w:fill="EAF0EE"/>
          </w:tcPr>
          <w:p>
            <w:pPr>
              <w:spacing w:after="20"/>
            </w:pPr>
            <w:r>
              <w:rPr>
                <w:b/>
                <w:color w:val="1C3A36"/>
                <w:sz w:val="18"/>
              </w:rPr>
              <w:t>g = 6%</w:t>
            </w:r>
          </w:p>
        </w:tc>
        <w:tc>
          <w:tcPr>
            <w:tcW w:type="dxa" w:w="1411"/>
            <w:shd w:val="clear" w:color="auto" w:fill="EAF0EE"/>
          </w:tcPr>
          <w:p>
            <w:pPr>
              <w:spacing w:after="20"/>
            </w:pPr>
            <w:r>
              <w:rPr>
                <w:b/>
                <w:color w:val="1C3A36"/>
                <w:sz w:val="18"/>
              </w:rPr>
              <w:t>g = 7%</w:t>
            </w:r>
          </w:p>
        </w:tc>
      </w:tr>
      <w:tr>
        <w:tc>
          <w:tcPr>
            <w:tcW w:type="dxa" w:w="2736"/>
          </w:tcPr>
          <w:p>
            <w:pPr>
              <w:spacing w:after="20"/>
            </w:pPr>
            <w:r>
              <w:rPr>
                <w:color w:val="1C3A36"/>
                <w:sz w:val="18"/>
              </w:rPr>
              <w:t>25.30%</w:t>
            </w:r>
          </w:p>
        </w:tc>
        <w:tc>
          <w:tcPr>
            <w:tcW w:type="dxa" w:w="1411"/>
          </w:tcPr>
          <w:p>
            <w:pPr>
              <w:spacing w:after="20"/>
              <w:jc w:val="right"/>
            </w:pPr>
            <w:r>
              <w:rPr>
                <w:color w:val="1C3A36"/>
                <w:sz w:val="18"/>
              </w:rPr>
              <w:t>59.01</w:t>
            </w:r>
          </w:p>
        </w:tc>
        <w:tc>
          <w:tcPr>
            <w:tcW w:type="dxa" w:w="1411"/>
          </w:tcPr>
          <w:p>
            <w:pPr>
              <w:spacing w:after="20"/>
              <w:jc w:val="right"/>
            </w:pPr>
            <w:r>
              <w:rPr>
                <w:color w:val="1C3A36"/>
                <w:sz w:val="18"/>
              </w:rPr>
              <w:t>57.66</w:t>
            </w:r>
          </w:p>
        </w:tc>
        <w:tc>
          <w:tcPr>
            <w:tcW w:type="dxa" w:w="1411"/>
          </w:tcPr>
          <w:p>
            <w:pPr>
              <w:spacing w:after="20"/>
              <w:jc w:val="right"/>
            </w:pPr>
            <w:r>
              <w:rPr>
                <w:color w:val="1C3A36"/>
                <w:sz w:val="18"/>
              </w:rPr>
              <w:t>56.07</w:t>
            </w:r>
          </w:p>
        </w:tc>
        <w:tc>
          <w:tcPr>
            <w:tcW w:type="dxa" w:w="1411"/>
          </w:tcPr>
          <w:p>
            <w:pPr>
              <w:spacing w:after="20"/>
              <w:jc w:val="right"/>
            </w:pPr>
            <w:r>
              <w:rPr>
                <w:color w:val="1C3A36"/>
                <w:sz w:val="18"/>
              </w:rPr>
              <w:t>54.17</w:t>
            </w:r>
          </w:p>
        </w:tc>
        <w:tc>
          <w:tcPr>
            <w:tcW w:type="dxa" w:w="1411"/>
          </w:tcPr>
          <w:p>
            <w:pPr>
              <w:spacing w:after="20"/>
              <w:jc w:val="right"/>
            </w:pPr>
            <w:r>
              <w:rPr>
                <w:color w:val="1C3A36"/>
                <w:sz w:val="18"/>
              </w:rPr>
              <w:t>51.87</w:t>
            </w:r>
          </w:p>
        </w:tc>
      </w:tr>
      <w:tr>
        <w:tc>
          <w:tcPr>
            <w:tcW w:type="dxa" w:w="2736"/>
          </w:tcPr>
          <w:p>
            <w:pPr>
              <w:spacing w:after="20"/>
            </w:pPr>
            <w:r>
              <w:rPr>
                <w:color w:val="1C3A36"/>
                <w:sz w:val="18"/>
              </w:rPr>
              <w:t>26.80%</w:t>
            </w:r>
          </w:p>
        </w:tc>
        <w:tc>
          <w:tcPr>
            <w:tcW w:type="dxa" w:w="1411"/>
          </w:tcPr>
          <w:p>
            <w:pPr>
              <w:spacing w:after="20"/>
              <w:jc w:val="right"/>
            </w:pPr>
            <w:r>
              <w:rPr>
                <w:color w:val="1C3A36"/>
                <w:sz w:val="18"/>
              </w:rPr>
              <w:t>58.13</w:t>
            </w:r>
          </w:p>
        </w:tc>
        <w:tc>
          <w:tcPr>
            <w:tcW w:type="dxa" w:w="1411"/>
          </w:tcPr>
          <w:p>
            <w:pPr>
              <w:spacing w:after="20"/>
              <w:jc w:val="right"/>
            </w:pPr>
            <w:r>
              <w:rPr>
                <w:color w:val="1C3A36"/>
                <w:sz w:val="18"/>
              </w:rPr>
              <w:t>56.81</w:t>
            </w:r>
          </w:p>
        </w:tc>
        <w:tc>
          <w:tcPr>
            <w:tcW w:type="dxa" w:w="1411"/>
          </w:tcPr>
          <w:p>
            <w:pPr>
              <w:spacing w:after="20"/>
              <w:jc w:val="right"/>
            </w:pPr>
            <w:r>
              <w:rPr>
                <w:color w:val="1C3A36"/>
                <w:sz w:val="18"/>
              </w:rPr>
              <w:t>55.27</w:t>
            </w:r>
          </w:p>
        </w:tc>
        <w:tc>
          <w:tcPr>
            <w:tcW w:type="dxa" w:w="1411"/>
          </w:tcPr>
          <w:p>
            <w:pPr>
              <w:spacing w:after="20"/>
              <w:jc w:val="right"/>
            </w:pPr>
            <w:r>
              <w:rPr>
                <w:color w:val="1C3A36"/>
                <w:sz w:val="18"/>
              </w:rPr>
              <w:t>53.42</w:t>
            </w:r>
          </w:p>
        </w:tc>
        <w:tc>
          <w:tcPr>
            <w:tcW w:type="dxa" w:w="1411"/>
          </w:tcPr>
          <w:p>
            <w:pPr>
              <w:spacing w:after="20"/>
              <w:jc w:val="right"/>
            </w:pPr>
            <w:r>
              <w:rPr>
                <w:color w:val="1C3A36"/>
                <w:sz w:val="18"/>
              </w:rPr>
              <w:t>51.17</w:t>
            </w:r>
          </w:p>
        </w:tc>
      </w:tr>
      <w:tr>
        <w:tc>
          <w:tcPr>
            <w:tcW w:type="dxa" w:w="2736"/>
          </w:tcPr>
          <w:p>
            <w:pPr>
              <w:spacing w:after="20"/>
            </w:pPr>
            <w:r>
              <w:rPr>
                <w:color w:val="1C3A36"/>
                <w:sz w:val="18"/>
              </w:rPr>
              <w:t>28.30%</w:t>
            </w:r>
          </w:p>
        </w:tc>
        <w:tc>
          <w:tcPr>
            <w:tcW w:type="dxa" w:w="1411"/>
          </w:tcPr>
          <w:p>
            <w:pPr>
              <w:spacing w:after="20"/>
              <w:jc w:val="right"/>
            </w:pPr>
            <w:r>
              <w:rPr>
                <w:color w:val="1C3A36"/>
                <w:sz w:val="18"/>
              </w:rPr>
              <w:t>57.28</w:t>
            </w:r>
          </w:p>
        </w:tc>
        <w:tc>
          <w:tcPr>
            <w:tcW w:type="dxa" w:w="1411"/>
          </w:tcPr>
          <w:p>
            <w:pPr>
              <w:spacing w:after="20"/>
              <w:jc w:val="right"/>
            </w:pPr>
            <w:r>
              <w:rPr>
                <w:color w:val="1C3A36"/>
                <w:sz w:val="18"/>
              </w:rPr>
              <w:t>56.00</w:t>
            </w:r>
          </w:p>
        </w:tc>
        <w:tc>
          <w:tcPr>
            <w:tcW w:type="dxa" w:w="1411"/>
          </w:tcPr>
          <w:p>
            <w:pPr>
              <w:spacing w:after="20"/>
              <w:jc w:val="right"/>
            </w:pPr>
            <w:r>
              <w:rPr>
                <w:color w:val="1C3A36"/>
                <w:sz w:val="18"/>
              </w:rPr>
              <w:t>54.49</w:t>
            </w:r>
          </w:p>
        </w:tc>
        <w:tc>
          <w:tcPr>
            <w:tcW w:type="dxa" w:w="1411"/>
          </w:tcPr>
          <w:p>
            <w:pPr>
              <w:spacing w:after="20"/>
              <w:jc w:val="right"/>
            </w:pPr>
            <w:r>
              <w:rPr>
                <w:color w:val="1C3A36"/>
                <w:sz w:val="18"/>
              </w:rPr>
              <w:t>52.69</w:t>
            </w:r>
          </w:p>
        </w:tc>
        <w:tc>
          <w:tcPr>
            <w:tcW w:type="dxa" w:w="1411"/>
          </w:tcPr>
          <w:p>
            <w:pPr>
              <w:spacing w:after="20"/>
              <w:jc w:val="right"/>
            </w:pPr>
            <w:r>
              <w:rPr>
                <w:color w:val="1C3A36"/>
                <w:sz w:val="18"/>
              </w:rPr>
              <w:t>50.50</w:t>
            </w:r>
          </w:p>
        </w:tc>
      </w:tr>
      <w:tr>
        <w:tc>
          <w:tcPr>
            <w:tcW w:type="dxa" w:w="2736"/>
          </w:tcPr>
          <w:p>
            <w:pPr>
              <w:spacing w:after="20"/>
            </w:pPr>
            <w:r>
              <w:rPr>
                <w:color w:val="1C3A36"/>
                <w:sz w:val="18"/>
              </w:rPr>
              <w:t>29.80%</w:t>
            </w:r>
          </w:p>
        </w:tc>
        <w:tc>
          <w:tcPr>
            <w:tcW w:type="dxa" w:w="1411"/>
          </w:tcPr>
          <w:p>
            <w:pPr>
              <w:spacing w:after="20"/>
              <w:jc w:val="right"/>
            </w:pPr>
            <w:r>
              <w:rPr>
                <w:color w:val="1C3A36"/>
                <w:sz w:val="18"/>
              </w:rPr>
              <w:t>56.45</w:t>
            </w:r>
          </w:p>
        </w:tc>
        <w:tc>
          <w:tcPr>
            <w:tcW w:type="dxa" w:w="1411"/>
          </w:tcPr>
          <w:p>
            <w:pPr>
              <w:spacing w:after="20"/>
              <w:jc w:val="right"/>
            </w:pPr>
            <w:r>
              <w:rPr>
                <w:color w:val="1C3A36"/>
                <w:sz w:val="18"/>
              </w:rPr>
              <w:t>55.20</w:t>
            </w:r>
          </w:p>
        </w:tc>
        <w:tc>
          <w:tcPr>
            <w:tcW w:type="dxa" w:w="1411"/>
          </w:tcPr>
          <w:p>
            <w:pPr>
              <w:spacing w:after="20"/>
              <w:jc w:val="right"/>
            </w:pPr>
            <w:r>
              <w:rPr>
                <w:color w:val="1C3A36"/>
                <w:sz w:val="18"/>
              </w:rPr>
              <w:t>53.73</w:t>
            </w:r>
          </w:p>
        </w:tc>
        <w:tc>
          <w:tcPr>
            <w:tcW w:type="dxa" w:w="1411"/>
          </w:tcPr>
          <w:p>
            <w:pPr>
              <w:spacing w:after="20"/>
              <w:jc w:val="right"/>
            </w:pPr>
            <w:r>
              <w:rPr>
                <w:color w:val="1C3A36"/>
                <w:sz w:val="18"/>
              </w:rPr>
              <w:t>51.98</w:t>
            </w:r>
          </w:p>
        </w:tc>
        <w:tc>
          <w:tcPr>
            <w:tcW w:type="dxa" w:w="1411"/>
          </w:tcPr>
          <w:p>
            <w:pPr>
              <w:spacing w:after="20"/>
              <w:jc w:val="right"/>
            </w:pPr>
            <w:r>
              <w:rPr>
                <w:color w:val="1C3A36"/>
                <w:sz w:val="18"/>
              </w:rPr>
              <w:t>49.85</w:t>
            </w:r>
          </w:p>
        </w:tc>
      </w:tr>
      <w:tr>
        <w:tc>
          <w:tcPr>
            <w:tcW w:type="dxa" w:w="2736"/>
          </w:tcPr>
          <w:p>
            <w:pPr>
              <w:spacing w:after="20"/>
            </w:pPr>
            <w:r>
              <w:rPr>
                <w:color w:val="1C3A36"/>
                <w:sz w:val="18"/>
              </w:rPr>
              <w:t>31.30%</w:t>
            </w:r>
          </w:p>
        </w:tc>
        <w:tc>
          <w:tcPr>
            <w:tcW w:type="dxa" w:w="1411"/>
          </w:tcPr>
          <w:p>
            <w:pPr>
              <w:spacing w:after="20"/>
              <w:jc w:val="right"/>
            </w:pPr>
            <w:r>
              <w:rPr>
                <w:color w:val="1C3A36"/>
                <w:sz w:val="18"/>
              </w:rPr>
              <w:t>55.66</w:t>
            </w:r>
          </w:p>
        </w:tc>
        <w:tc>
          <w:tcPr>
            <w:tcW w:type="dxa" w:w="1411"/>
          </w:tcPr>
          <w:p>
            <w:pPr>
              <w:spacing w:after="20"/>
              <w:jc w:val="right"/>
            </w:pPr>
            <w:r>
              <w:rPr>
                <w:color w:val="1C3A36"/>
                <w:sz w:val="18"/>
              </w:rPr>
              <w:t>54.44</w:t>
            </w:r>
          </w:p>
        </w:tc>
        <w:tc>
          <w:tcPr>
            <w:tcW w:type="dxa" w:w="1411"/>
          </w:tcPr>
          <w:p>
            <w:pPr>
              <w:spacing w:after="20"/>
              <w:jc w:val="right"/>
            </w:pPr>
            <w:r>
              <w:rPr>
                <w:color w:val="1C3A36"/>
                <w:sz w:val="18"/>
              </w:rPr>
              <w:t>53.00</w:t>
            </w:r>
          </w:p>
        </w:tc>
        <w:tc>
          <w:tcPr>
            <w:tcW w:type="dxa" w:w="1411"/>
          </w:tcPr>
          <w:p>
            <w:pPr>
              <w:spacing w:after="20"/>
              <w:jc w:val="right"/>
            </w:pPr>
            <w:r>
              <w:rPr>
                <w:color w:val="1C3A36"/>
                <w:sz w:val="18"/>
              </w:rPr>
              <w:t>51.29</w:t>
            </w:r>
          </w:p>
        </w:tc>
        <w:tc>
          <w:tcPr>
            <w:tcW w:type="dxa" w:w="1411"/>
          </w:tcPr>
          <w:p>
            <w:pPr>
              <w:spacing w:after="20"/>
              <w:jc w:val="right"/>
            </w:pPr>
            <w:r>
              <w:rPr>
                <w:color w:val="1C3A36"/>
                <w:sz w:val="18"/>
              </w:rPr>
              <w:t>49.21</w:t>
            </w:r>
          </w:p>
        </w:tc>
      </w:tr>
    </w:tbl>
    <w:p>
      <w:pPr>
        <w:spacing w:after="40"/>
      </w:pPr>
    </w:p>
    <w:p>
      <w:pPr>
        <w:spacing w:after="200" w:before="0"/>
      </w:pPr>
      <w:r>
        <w:rPr>
          <w:b w:val="0"/>
          <w:i/>
          <w:color w:val="6E7B77"/>
          <w:sz w:val="17"/>
        </w:rPr>
        <w:t>Table 12 — The same grid in figures.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Explicit cost of capital</w:t>
            </w:r>
          </w:p>
        </w:tc>
        <w:tc>
          <w:tcPr>
            <w:tcW w:type="dxa" w:w="1411"/>
            <w:shd w:val="clear" w:color="auto" w:fill="EAF0EE"/>
          </w:tcPr>
          <w:p>
            <w:pPr>
              <w:spacing w:after="20"/>
            </w:pPr>
            <w:r>
              <w:rPr>
                <w:b/>
                <w:color w:val="1C3A36"/>
                <w:sz w:val="18"/>
              </w:rPr>
              <w:t>14.3%</w:t>
            </w:r>
          </w:p>
        </w:tc>
        <w:tc>
          <w:tcPr>
            <w:tcW w:type="dxa" w:w="1411"/>
            <w:shd w:val="clear" w:color="auto" w:fill="EAF0EE"/>
          </w:tcPr>
          <w:p>
            <w:pPr>
              <w:spacing w:after="20"/>
            </w:pPr>
            <w:r>
              <w:rPr>
                <w:b/>
                <w:color w:val="1C3A36"/>
                <w:sz w:val="18"/>
              </w:rPr>
              <w:t>15.3%</w:t>
            </w:r>
          </w:p>
        </w:tc>
        <w:tc>
          <w:tcPr>
            <w:tcW w:type="dxa" w:w="1411"/>
            <w:shd w:val="clear" w:color="auto" w:fill="EAF0EE"/>
          </w:tcPr>
          <w:p>
            <w:pPr>
              <w:spacing w:after="20"/>
            </w:pPr>
            <w:r>
              <w:rPr>
                <w:b/>
                <w:color w:val="1C3A36"/>
                <w:sz w:val="18"/>
              </w:rPr>
              <w:t>16.3%</w:t>
            </w:r>
          </w:p>
        </w:tc>
        <w:tc>
          <w:tcPr>
            <w:tcW w:type="dxa" w:w="1411"/>
            <w:shd w:val="clear" w:color="auto" w:fill="EAF0EE"/>
          </w:tcPr>
          <w:p>
            <w:pPr>
              <w:spacing w:after="20"/>
            </w:pPr>
            <w:r>
              <w:rPr>
                <w:b/>
                <w:color w:val="1C3A36"/>
                <w:sz w:val="18"/>
              </w:rPr>
              <w:t>17.3%</w:t>
            </w:r>
          </w:p>
        </w:tc>
        <w:tc>
          <w:tcPr>
            <w:tcW w:type="dxa" w:w="1411"/>
            <w:shd w:val="clear" w:color="auto" w:fill="EAF0EE"/>
          </w:tcPr>
          <w:p>
            <w:pPr>
              <w:spacing w:after="20"/>
            </w:pPr>
            <w:r>
              <w:rPr>
                <w:b/>
                <w:color w:val="1C3A36"/>
                <w:sz w:val="18"/>
              </w:rPr>
              <w:t>18.3%</w:t>
            </w:r>
          </w:p>
        </w:tc>
      </w:tr>
      <w:tr>
        <w:tc>
          <w:tcPr>
            <w:tcW w:type="dxa" w:w="2736"/>
          </w:tcPr>
          <w:p>
            <w:pPr>
              <w:spacing w:after="20"/>
            </w:pPr>
            <w:r>
              <w:rPr>
                <w:color w:val="1C3A36"/>
                <w:sz w:val="18"/>
              </w:rPr>
              <w:t>25.30%</w:t>
            </w:r>
          </w:p>
        </w:tc>
        <w:tc>
          <w:tcPr>
            <w:tcW w:type="dxa" w:w="1411"/>
          </w:tcPr>
          <w:p>
            <w:pPr>
              <w:spacing w:after="20"/>
              <w:jc w:val="right"/>
            </w:pPr>
            <w:r>
              <w:rPr>
                <w:color w:val="1C3A36"/>
                <w:sz w:val="18"/>
              </w:rPr>
              <w:t>60.49</w:t>
            </w:r>
          </w:p>
        </w:tc>
        <w:tc>
          <w:tcPr>
            <w:tcW w:type="dxa" w:w="1411"/>
          </w:tcPr>
          <w:p>
            <w:pPr>
              <w:spacing w:after="20"/>
              <w:jc w:val="right"/>
            </w:pPr>
            <w:r>
              <w:rPr>
                <w:color w:val="1C3A36"/>
                <w:sz w:val="18"/>
              </w:rPr>
              <w:t>58.07</w:t>
            </w:r>
          </w:p>
        </w:tc>
        <w:tc>
          <w:tcPr>
            <w:tcW w:type="dxa" w:w="1411"/>
          </w:tcPr>
          <w:p>
            <w:pPr>
              <w:spacing w:after="20"/>
              <w:jc w:val="right"/>
            </w:pPr>
            <w:r>
              <w:rPr>
                <w:color w:val="1C3A36"/>
                <w:sz w:val="18"/>
              </w:rPr>
              <w:t>56.07</w:t>
            </w:r>
          </w:p>
        </w:tc>
        <w:tc>
          <w:tcPr>
            <w:tcW w:type="dxa" w:w="1411"/>
          </w:tcPr>
          <w:p>
            <w:pPr>
              <w:spacing w:after="20"/>
              <w:jc w:val="right"/>
            </w:pPr>
            <w:r>
              <w:rPr>
                <w:color w:val="1C3A36"/>
                <w:sz w:val="18"/>
              </w:rPr>
              <w:t>54.38</w:t>
            </w:r>
          </w:p>
        </w:tc>
        <w:tc>
          <w:tcPr>
            <w:tcW w:type="dxa" w:w="1411"/>
          </w:tcPr>
          <w:p>
            <w:pPr>
              <w:spacing w:after="20"/>
              <w:jc w:val="right"/>
            </w:pPr>
            <w:r>
              <w:rPr>
                <w:color w:val="1C3A36"/>
                <w:sz w:val="18"/>
              </w:rPr>
              <w:t>52.92</w:t>
            </w:r>
          </w:p>
        </w:tc>
      </w:tr>
      <w:tr>
        <w:tc>
          <w:tcPr>
            <w:tcW w:type="dxa" w:w="2736"/>
          </w:tcPr>
          <w:p>
            <w:pPr>
              <w:spacing w:after="20"/>
            </w:pPr>
            <w:r>
              <w:rPr>
                <w:color w:val="1C3A36"/>
                <w:sz w:val="18"/>
              </w:rPr>
              <w:t>26.80%</w:t>
            </w:r>
          </w:p>
        </w:tc>
        <w:tc>
          <w:tcPr>
            <w:tcW w:type="dxa" w:w="1411"/>
          </w:tcPr>
          <w:p>
            <w:pPr>
              <w:spacing w:after="20"/>
              <w:jc w:val="right"/>
            </w:pPr>
            <w:r>
              <w:rPr>
                <w:color w:val="1C3A36"/>
                <w:sz w:val="18"/>
              </w:rPr>
              <w:t>59.56</w:t>
            </w:r>
          </w:p>
        </w:tc>
        <w:tc>
          <w:tcPr>
            <w:tcW w:type="dxa" w:w="1411"/>
          </w:tcPr>
          <w:p>
            <w:pPr>
              <w:spacing w:after="20"/>
              <w:jc w:val="right"/>
            </w:pPr>
            <w:r>
              <w:rPr>
                <w:color w:val="1C3A36"/>
                <w:sz w:val="18"/>
              </w:rPr>
              <w:t>57.22</w:t>
            </w:r>
          </w:p>
        </w:tc>
        <w:tc>
          <w:tcPr>
            <w:tcW w:type="dxa" w:w="1411"/>
          </w:tcPr>
          <w:p>
            <w:pPr>
              <w:spacing w:after="20"/>
              <w:jc w:val="right"/>
            </w:pPr>
            <w:r>
              <w:rPr>
                <w:color w:val="1C3A36"/>
                <w:sz w:val="18"/>
              </w:rPr>
              <w:t>55.27</w:t>
            </w:r>
          </w:p>
        </w:tc>
        <w:tc>
          <w:tcPr>
            <w:tcW w:type="dxa" w:w="1411"/>
          </w:tcPr>
          <w:p>
            <w:pPr>
              <w:spacing w:after="20"/>
              <w:jc w:val="right"/>
            </w:pPr>
            <w:r>
              <w:rPr>
                <w:color w:val="1C3A36"/>
                <w:sz w:val="18"/>
              </w:rPr>
              <w:t>53.62</w:t>
            </w:r>
          </w:p>
        </w:tc>
        <w:tc>
          <w:tcPr>
            <w:tcW w:type="dxa" w:w="1411"/>
          </w:tcPr>
          <w:p>
            <w:pPr>
              <w:spacing w:after="20"/>
              <w:jc w:val="right"/>
            </w:pPr>
            <w:r>
              <w:rPr>
                <w:color w:val="1C3A36"/>
                <w:sz w:val="18"/>
              </w:rPr>
              <w:t>52.20</w:t>
            </w:r>
          </w:p>
        </w:tc>
      </w:tr>
      <w:tr>
        <w:tc>
          <w:tcPr>
            <w:tcW w:type="dxa" w:w="2736"/>
          </w:tcPr>
          <w:p>
            <w:pPr>
              <w:spacing w:after="20"/>
            </w:pPr>
            <w:r>
              <w:rPr>
                <w:color w:val="1C3A36"/>
                <w:sz w:val="18"/>
              </w:rPr>
              <w:t>28.30%</w:t>
            </w:r>
          </w:p>
        </w:tc>
        <w:tc>
          <w:tcPr>
            <w:tcW w:type="dxa" w:w="1411"/>
          </w:tcPr>
          <w:p>
            <w:pPr>
              <w:spacing w:after="20"/>
              <w:jc w:val="right"/>
            </w:pPr>
            <w:r>
              <w:rPr>
                <w:color w:val="1C3A36"/>
                <w:sz w:val="18"/>
              </w:rPr>
              <w:t>58.67</w:t>
            </w:r>
          </w:p>
        </w:tc>
        <w:tc>
          <w:tcPr>
            <w:tcW w:type="dxa" w:w="1411"/>
          </w:tcPr>
          <w:p>
            <w:pPr>
              <w:spacing w:after="20"/>
              <w:jc w:val="right"/>
            </w:pPr>
            <w:r>
              <w:rPr>
                <w:color w:val="1C3A36"/>
                <w:sz w:val="18"/>
              </w:rPr>
              <w:t>56.39</w:t>
            </w:r>
          </w:p>
        </w:tc>
        <w:tc>
          <w:tcPr>
            <w:tcW w:type="dxa" w:w="1411"/>
          </w:tcPr>
          <w:p>
            <w:pPr>
              <w:spacing w:after="20"/>
              <w:jc w:val="right"/>
            </w:pPr>
            <w:r>
              <w:rPr>
                <w:color w:val="1C3A36"/>
                <w:sz w:val="18"/>
              </w:rPr>
              <w:t>54.49</w:t>
            </w:r>
          </w:p>
        </w:tc>
        <w:tc>
          <w:tcPr>
            <w:tcW w:type="dxa" w:w="1411"/>
          </w:tcPr>
          <w:p>
            <w:pPr>
              <w:spacing w:after="20"/>
              <w:jc w:val="right"/>
            </w:pPr>
            <w:r>
              <w:rPr>
                <w:color w:val="1C3A36"/>
                <w:sz w:val="18"/>
              </w:rPr>
              <w:t>52.88</w:t>
            </w:r>
          </w:p>
        </w:tc>
        <w:tc>
          <w:tcPr>
            <w:tcW w:type="dxa" w:w="1411"/>
          </w:tcPr>
          <w:p>
            <w:pPr>
              <w:spacing w:after="20"/>
              <w:jc w:val="right"/>
            </w:pPr>
            <w:r>
              <w:rPr>
                <w:color w:val="1C3A36"/>
                <w:sz w:val="18"/>
              </w:rPr>
              <w:t>51.50</w:t>
            </w:r>
          </w:p>
        </w:tc>
      </w:tr>
      <w:tr>
        <w:tc>
          <w:tcPr>
            <w:tcW w:type="dxa" w:w="2736"/>
          </w:tcPr>
          <w:p>
            <w:pPr>
              <w:spacing w:after="20"/>
            </w:pPr>
            <w:r>
              <w:rPr>
                <w:color w:val="1C3A36"/>
                <w:sz w:val="18"/>
              </w:rPr>
              <w:t>29.80%</w:t>
            </w:r>
          </w:p>
        </w:tc>
        <w:tc>
          <w:tcPr>
            <w:tcW w:type="dxa" w:w="1411"/>
          </w:tcPr>
          <w:p>
            <w:pPr>
              <w:spacing w:after="20"/>
              <w:jc w:val="right"/>
            </w:pPr>
            <w:r>
              <w:rPr>
                <w:color w:val="1C3A36"/>
                <w:sz w:val="18"/>
              </w:rPr>
              <w:t>57.81</w:t>
            </w:r>
          </w:p>
        </w:tc>
        <w:tc>
          <w:tcPr>
            <w:tcW w:type="dxa" w:w="1411"/>
          </w:tcPr>
          <w:p>
            <w:pPr>
              <w:spacing w:after="20"/>
              <w:jc w:val="right"/>
            </w:pPr>
            <w:r>
              <w:rPr>
                <w:color w:val="1C3A36"/>
                <w:sz w:val="18"/>
              </w:rPr>
              <w:t>55.58</w:t>
            </w:r>
          </w:p>
        </w:tc>
        <w:tc>
          <w:tcPr>
            <w:tcW w:type="dxa" w:w="1411"/>
          </w:tcPr>
          <w:p>
            <w:pPr>
              <w:spacing w:after="20"/>
              <w:jc w:val="right"/>
            </w:pPr>
            <w:r>
              <w:rPr>
                <w:color w:val="1C3A36"/>
                <w:sz w:val="18"/>
              </w:rPr>
              <w:t>53.73</w:t>
            </w:r>
          </w:p>
        </w:tc>
        <w:tc>
          <w:tcPr>
            <w:tcW w:type="dxa" w:w="1411"/>
          </w:tcPr>
          <w:p>
            <w:pPr>
              <w:spacing w:after="20"/>
              <w:jc w:val="right"/>
            </w:pPr>
            <w:r>
              <w:rPr>
                <w:color w:val="1C3A36"/>
                <w:sz w:val="18"/>
              </w:rPr>
              <w:t>52.17</w:t>
            </w:r>
          </w:p>
        </w:tc>
        <w:tc>
          <w:tcPr>
            <w:tcW w:type="dxa" w:w="1411"/>
          </w:tcPr>
          <w:p>
            <w:pPr>
              <w:spacing w:after="20"/>
              <w:jc w:val="right"/>
            </w:pPr>
            <w:r>
              <w:rPr>
                <w:color w:val="1C3A36"/>
                <w:sz w:val="18"/>
              </w:rPr>
              <w:t>50.83</w:t>
            </w:r>
          </w:p>
        </w:tc>
      </w:tr>
      <w:tr>
        <w:tc>
          <w:tcPr>
            <w:tcW w:type="dxa" w:w="2736"/>
          </w:tcPr>
          <w:p>
            <w:pPr>
              <w:spacing w:after="20"/>
            </w:pPr>
            <w:r>
              <w:rPr>
                <w:color w:val="1C3A36"/>
                <w:sz w:val="18"/>
              </w:rPr>
              <w:t>31.30%</w:t>
            </w:r>
          </w:p>
        </w:tc>
        <w:tc>
          <w:tcPr>
            <w:tcW w:type="dxa" w:w="1411"/>
          </w:tcPr>
          <w:p>
            <w:pPr>
              <w:spacing w:after="20"/>
              <w:jc w:val="right"/>
            </w:pPr>
            <w:r>
              <w:rPr>
                <w:color w:val="1C3A36"/>
                <w:sz w:val="18"/>
              </w:rPr>
              <w:t>56.98</w:t>
            </w:r>
          </w:p>
        </w:tc>
        <w:tc>
          <w:tcPr>
            <w:tcW w:type="dxa" w:w="1411"/>
          </w:tcPr>
          <w:p>
            <w:pPr>
              <w:spacing w:after="20"/>
              <w:jc w:val="right"/>
            </w:pPr>
            <w:r>
              <w:rPr>
                <w:color w:val="1C3A36"/>
                <w:sz w:val="18"/>
              </w:rPr>
              <w:t>54.81</w:t>
            </w:r>
          </w:p>
        </w:tc>
        <w:tc>
          <w:tcPr>
            <w:tcW w:type="dxa" w:w="1411"/>
          </w:tcPr>
          <w:p>
            <w:pPr>
              <w:spacing w:after="20"/>
              <w:jc w:val="right"/>
            </w:pPr>
            <w:r>
              <w:rPr>
                <w:color w:val="1C3A36"/>
                <w:sz w:val="18"/>
              </w:rPr>
              <w:t>53.00</w:t>
            </w:r>
          </w:p>
        </w:tc>
        <w:tc>
          <w:tcPr>
            <w:tcW w:type="dxa" w:w="1411"/>
          </w:tcPr>
          <w:p>
            <w:pPr>
              <w:spacing w:after="20"/>
              <w:jc w:val="right"/>
            </w:pPr>
            <w:r>
              <w:rPr>
                <w:color w:val="1C3A36"/>
                <w:sz w:val="18"/>
              </w:rPr>
              <w:t>51.48</w:t>
            </w:r>
          </w:p>
        </w:tc>
        <w:tc>
          <w:tcPr>
            <w:tcW w:type="dxa" w:w="1411"/>
          </w:tcPr>
          <w:p>
            <w:pPr>
              <w:spacing w:after="20"/>
              <w:jc w:val="right"/>
            </w:pPr>
            <w:r>
              <w:rPr>
                <w:color w:val="1C3A36"/>
                <w:sz w:val="18"/>
              </w:rPr>
              <w:t>50.17</w:t>
            </w:r>
          </w:p>
        </w:tc>
      </w:tr>
    </w:tbl>
    <w:p>
      <w:pPr>
        <w:spacing w:after="40"/>
      </w:pPr>
    </w:p>
    <w:p>
      <w:pPr>
        <w:spacing w:after="200" w:before="0"/>
      </w:pPr>
      <w:r>
        <w:rPr>
          <w:b w:val="0"/>
          <w:i/>
          <w:color w:val="6E7B77"/>
          <w:sz w:val="17"/>
        </w:rPr>
        <w:t>Table 13 — Explicit-window against terminal cost of capital, each varied independently. This shows what the valuation needs the economy to do, not merely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EBITDA margin shift</w:t>
            </w:r>
          </w:p>
        </w:tc>
        <w:tc>
          <w:tcPr>
            <w:tcW w:type="dxa" w:w="1411"/>
            <w:shd w:val="clear" w:color="auto" w:fill="EAF0EE"/>
          </w:tcPr>
          <w:p>
            <w:pPr>
              <w:spacing w:after="20"/>
            </w:pPr>
            <w:r>
              <w:rPr>
                <w:b/>
                <w:color w:val="1C3A36"/>
                <w:sz w:val="18"/>
              </w:rPr>
              <w:t>-4%</w:t>
            </w:r>
          </w:p>
        </w:tc>
        <w:tc>
          <w:tcPr>
            <w:tcW w:type="dxa" w:w="1411"/>
            <w:shd w:val="clear" w:color="auto" w:fill="EAF0EE"/>
          </w:tcPr>
          <w:p>
            <w:pPr>
              <w:spacing w:after="20"/>
            </w:pPr>
            <w:r>
              <w:rPr>
                <w:b/>
                <w:color w:val="1C3A36"/>
                <w:sz w:val="18"/>
              </w:rPr>
              <w:t>-2%</w:t>
            </w:r>
          </w:p>
        </w:tc>
        <w:tc>
          <w:tcPr>
            <w:tcW w:type="dxa" w:w="1411"/>
            <w:shd w:val="clear" w:color="auto" w:fill="EAF0EE"/>
          </w:tcPr>
          <w:p>
            <w:pPr>
              <w:spacing w:after="20"/>
            </w:pPr>
            <w:r>
              <w:rPr>
                <w:b/>
                <w:color w:val="1C3A36"/>
                <w:sz w:val="18"/>
              </w:rPr>
              <w:t>+0%</w:t>
            </w:r>
          </w:p>
        </w:tc>
        <w:tc>
          <w:tcPr>
            <w:tcW w:type="dxa" w:w="1411"/>
            <w:shd w:val="clear" w:color="auto" w:fill="EAF0EE"/>
          </w:tcPr>
          <w:p>
            <w:pPr>
              <w:spacing w:after="20"/>
            </w:pPr>
            <w:r>
              <w:rPr>
                <w:b/>
                <w:color w:val="1C3A36"/>
                <w:sz w:val="18"/>
              </w:rPr>
              <w:t>+2%</w:t>
            </w:r>
          </w:p>
        </w:tc>
        <w:tc>
          <w:tcPr>
            <w:tcW w:type="dxa" w:w="1411"/>
            <w:shd w:val="clear" w:color="auto" w:fill="EAF0EE"/>
          </w:tcPr>
          <w:p>
            <w:pPr>
              <w:spacing w:after="20"/>
            </w:pPr>
            <w:r>
              <w:rPr>
                <w:b/>
                <w:color w:val="1C3A36"/>
                <w:sz w:val="18"/>
              </w:rPr>
              <w:t>+4%</w:t>
            </w:r>
          </w:p>
        </w:tc>
      </w:tr>
      <w:tr>
        <w:tc>
          <w:tcPr>
            <w:tcW w:type="dxa" w:w="2736"/>
          </w:tcPr>
          <w:p>
            <w:pPr>
              <w:spacing w:after="20"/>
            </w:pPr>
            <w:r>
              <w:rPr>
                <w:color w:val="1C3A36"/>
                <w:sz w:val="18"/>
              </w:rPr>
              <w:t>Fair value per share (EGP)</w:t>
            </w:r>
          </w:p>
        </w:tc>
        <w:tc>
          <w:tcPr>
            <w:tcW w:type="dxa" w:w="1411"/>
          </w:tcPr>
          <w:p>
            <w:pPr>
              <w:spacing w:after="20"/>
              <w:jc w:val="right"/>
            </w:pPr>
            <w:r>
              <w:rPr>
                <w:color w:val="1C3A36"/>
                <w:sz w:val="18"/>
              </w:rPr>
              <w:t>45.42</w:t>
            </w:r>
          </w:p>
        </w:tc>
        <w:tc>
          <w:tcPr>
            <w:tcW w:type="dxa" w:w="1411"/>
          </w:tcPr>
          <w:p>
            <w:pPr>
              <w:spacing w:after="20"/>
              <w:jc w:val="right"/>
            </w:pPr>
            <w:r>
              <w:rPr>
                <w:color w:val="1C3A36"/>
                <w:sz w:val="18"/>
              </w:rPr>
              <w:t>49.95</w:t>
            </w:r>
          </w:p>
        </w:tc>
        <w:tc>
          <w:tcPr>
            <w:tcW w:type="dxa" w:w="1411"/>
          </w:tcPr>
          <w:p>
            <w:pPr>
              <w:spacing w:after="20"/>
              <w:jc w:val="right"/>
            </w:pPr>
            <w:r>
              <w:rPr>
                <w:color w:val="1C3A36"/>
                <w:sz w:val="18"/>
              </w:rPr>
              <w:t>54.49</w:t>
            </w:r>
          </w:p>
        </w:tc>
        <w:tc>
          <w:tcPr>
            <w:tcW w:type="dxa" w:w="1411"/>
          </w:tcPr>
          <w:p>
            <w:pPr>
              <w:spacing w:after="20"/>
              <w:jc w:val="right"/>
            </w:pPr>
            <w:r>
              <w:rPr>
                <w:color w:val="1C3A36"/>
                <w:sz w:val="18"/>
              </w:rPr>
              <w:t>59.02</w:t>
            </w:r>
          </w:p>
        </w:tc>
        <w:tc>
          <w:tcPr>
            <w:tcW w:type="dxa" w:w="1411"/>
          </w:tcPr>
          <w:p>
            <w:pPr>
              <w:spacing w:after="20"/>
              <w:jc w:val="right"/>
            </w:pPr>
            <w:r>
              <w:rPr>
                <w:color w:val="1C3A36"/>
                <w:sz w:val="18"/>
              </w:rPr>
              <w:t>63.55</w:t>
            </w:r>
          </w:p>
        </w:tc>
      </w:tr>
    </w:tbl>
    <w:p>
      <w:pPr>
        <w:spacing w:after="40"/>
      </w:pPr>
    </w:p>
    <w:p>
      <w:pPr>
        <w:spacing w:after="200" w:before="0"/>
      </w:pPr>
      <w:r>
        <w:rPr>
          <w:b w:val="0"/>
          <w:i/>
          <w:color w:val="6E7B77"/>
          <w:sz w:val="17"/>
        </w:rPr>
        <w:t>Table 14 — Margin sensitivity. Each two-point change in the EBITDA margin is worth roughly EGP 4.50 a share.</w:t>
      </w:r>
    </w:p>
    <w:p>
      <w:pPr>
        <w:spacing w:after="120" w:before="280"/>
      </w:pPr>
      <w:r>
        <w:rPr>
          <w:b/>
          <w:i w:val="0"/>
          <w:color w:val="1C3A36"/>
          <w:sz w:val="30"/>
        </w:rPr>
        <w:t>2  Technical and price structure</w:t>
      </w:r>
    </w:p>
    <w:p>
      <w:pPr>
        <w:spacing w:after="120" w:before="0"/>
      </w:pPr>
      <w:r>
        <w:rPr>
          <w:b w:val="0"/>
          <w:i w:val="0"/>
          <w:color w:val="1C3A36"/>
          <w:sz w:val="21"/>
        </w:rPr>
        <w:t>The shares closed at EGP 79.00 on 6 August 2026. The price history is long and unusually eventful: EGP 3.62 at the 2021 low, still under EGP 10 through 2023, then a run to EGP 45 in 2024, EGP 75 in 2025 and a 2026 high of EGP 87.99. Over the five years to date the shares have risen more than tenfold.</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closing prices with the 50- and 200-day moving averages.</w:t>
      </w:r>
    </w:p>
    <w:p>
      <w:pPr>
        <w:spacing w:after="120" w:before="0"/>
      </w:pPr>
      <w:r>
        <w:rPr>
          <w:b w:val="0"/>
          <w:i w:val="0"/>
          <w:color w:val="1C3A36"/>
          <w:sz w:val="21"/>
        </w:rPr>
        <w:t>Two structural features matter more than any level. The first is liquidity: the stock prints an unchanged close on 29.3% of sessions, which is three and a half times the median for covered Egyptian names. Thin trading widens spreads, delays price discovery and makes any statistical read of this security less reliable than the same read on a liquid one. The second is the free float. Vicat holds 77.6%, leaving 22.4% in public hands, and in July 2025 Vicat filed a mandatory offer for that remainder at EGP 41.00 a share. The market price is now roughly double the offer price, so the offer is best read as a floor that the market has long since left behind rather than as a valuation.</w:t>
      </w:r>
    </w:p>
    <w:p>
      <w:pPr>
        <w:spacing w:after="120" w:before="280"/>
      </w:pPr>
      <w:r>
        <w:rPr>
          <w:b/>
          <w:i w:val="0"/>
          <w:color w:val="1C3A36"/>
          <w:sz w:val="30"/>
        </w:rPr>
        <w:t>3  A probabilistic price map</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this before the chart. </w:t>
            </w:r>
            <w:r>
              <w:rPr>
                <w:color w:val="1C3A36"/>
                <w:sz w:val="19"/>
              </w:rPr>
              <w:t>The distribution below is ILLUSTRATIVE ONLY and is materially too wide. Measured against a random-walk benchmark over the last five years, this security's distribution scores -12.8% — worse than the benchmark, not better — and covers 76% of outcomes inside a band meant to hold 50%. The cause is diagnosed and specific: on a security that does not trade every session, the benchmark's own volatility estimate collapses during quiet stretches, and the band drawn here stays wide enough for the jumps that follow. It should not be read with the confidence attached to a liquid name.</w:t>
            </w:r>
          </w:p>
        </w:tc>
      </w:tr>
    </w:tbl>
    <w:p>
      <w:pPr>
        <w:spacing w:after="40"/>
      </w:pP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 Illustrative only.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01"/>
        <w:gridCol w:w="1267"/>
        <w:gridCol w:w="1267"/>
        <w:gridCol w:w="1267"/>
        <w:gridCol w:w="1267"/>
        <w:gridCol w:w="1267"/>
        <w:gridCol w:w="1368"/>
      </w:tblGrid>
      <w:tr>
        <w:tc>
          <w:tcPr>
            <w:tcW w:type="dxa" w:w="1901"/>
            <w:shd w:val="clear" w:color="auto" w:fill="EAF0EE"/>
          </w:tcPr>
          <w:p>
            <w:pPr>
              <w:spacing w:after="20"/>
            </w:pPr>
            <w:r>
              <w:rPr>
                <w:b/>
                <w:color w:val="1C3A36"/>
                <w:sz w:val="18"/>
              </w:rPr>
              <w:t>Horizon</w:t>
            </w:r>
          </w:p>
        </w:tc>
        <w:tc>
          <w:tcPr>
            <w:tcW w:type="dxa" w:w="1267"/>
            <w:shd w:val="clear" w:color="auto" w:fill="EAF0EE"/>
          </w:tcPr>
          <w:p>
            <w:pPr>
              <w:spacing w:after="20"/>
            </w:pPr>
            <w:r>
              <w:rPr>
                <w:b/>
                <w:color w:val="1C3A36"/>
                <w:sz w:val="18"/>
              </w:rPr>
              <w:t>5th</w:t>
            </w:r>
          </w:p>
        </w:tc>
        <w:tc>
          <w:tcPr>
            <w:tcW w:type="dxa" w:w="1267"/>
            <w:shd w:val="clear" w:color="auto" w:fill="EAF0EE"/>
          </w:tcPr>
          <w:p>
            <w:pPr>
              <w:spacing w:after="20"/>
            </w:pPr>
            <w:r>
              <w:rPr>
                <w:b/>
                <w:color w:val="1C3A36"/>
                <w:sz w:val="18"/>
              </w:rPr>
              <w:t>25th</w:t>
            </w:r>
          </w:p>
        </w:tc>
        <w:tc>
          <w:tcPr>
            <w:tcW w:type="dxa" w:w="1267"/>
            <w:shd w:val="clear" w:color="auto" w:fill="EAF0EE"/>
          </w:tcPr>
          <w:p>
            <w:pPr>
              <w:spacing w:after="20"/>
            </w:pPr>
            <w:r>
              <w:rPr>
                <w:b/>
                <w:color w:val="1C3A36"/>
                <w:sz w:val="18"/>
              </w:rPr>
              <w:t>Median</w:t>
            </w:r>
          </w:p>
        </w:tc>
        <w:tc>
          <w:tcPr>
            <w:tcW w:type="dxa" w:w="1267"/>
            <w:shd w:val="clear" w:color="auto" w:fill="EAF0EE"/>
          </w:tcPr>
          <w:p>
            <w:pPr>
              <w:spacing w:after="20"/>
            </w:pPr>
            <w:r>
              <w:rPr>
                <w:b/>
                <w:color w:val="1C3A36"/>
                <w:sz w:val="18"/>
              </w:rPr>
              <w:t>75th</w:t>
            </w:r>
          </w:p>
        </w:tc>
        <w:tc>
          <w:tcPr>
            <w:tcW w:type="dxa" w:w="1267"/>
            <w:shd w:val="clear" w:color="auto" w:fill="EAF0EE"/>
          </w:tcPr>
          <w:p>
            <w:pPr>
              <w:spacing w:after="20"/>
            </w:pPr>
            <w:r>
              <w:rPr>
                <w:b/>
                <w:color w:val="1C3A36"/>
                <w:sz w:val="18"/>
              </w:rPr>
              <w:t>95th</w:t>
            </w:r>
          </w:p>
        </w:tc>
        <w:tc>
          <w:tcPr>
            <w:tcW w:type="dxa" w:w="1368"/>
            <w:shd w:val="clear" w:color="auto" w:fill="EAF0EE"/>
          </w:tcPr>
          <w:p>
            <w:pPr>
              <w:spacing w:after="20"/>
            </w:pPr>
            <w:r>
              <w:rPr>
                <w:b/>
                <w:color w:val="1C3A36"/>
                <w:sz w:val="18"/>
              </w:rPr>
              <w:t>Above spot</w:t>
            </w:r>
          </w:p>
        </w:tc>
      </w:tr>
      <w:tr>
        <w:tc>
          <w:tcPr>
            <w:tcW w:type="dxa" w:w="1901"/>
          </w:tcPr>
          <w:p>
            <w:pPr>
              <w:spacing w:after="20"/>
            </w:pPr>
            <w:r>
              <w:rPr>
                <w:color w:val="1C3A36"/>
                <w:sz w:val="18"/>
              </w:rPr>
              <w:t>One month</w:t>
            </w:r>
          </w:p>
        </w:tc>
        <w:tc>
          <w:tcPr>
            <w:tcW w:type="dxa" w:w="1267"/>
          </w:tcPr>
          <w:p>
            <w:pPr>
              <w:spacing w:after="20"/>
              <w:jc w:val="right"/>
            </w:pPr>
            <w:r>
              <w:rPr>
                <w:color w:val="1C3A36"/>
                <w:sz w:val="18"/>
              </w:rPr>
              <w:t>62.14</w:t>
            </w:r>
          </w:p>
        </w:tc>
        <w:tc>
          <w:tcPr>
            <w:tcW w:type="dxa" w:w="1267"/>
          </w:tcPr>
          <w:p>
            <w:pPr>
              <w:spacing w:after="20"/>
              <w:jc w:val="right"/>
            </w:pPr>
            <w:r>
              <w:rPr>
                <w:color w:val="1C3A36"/>
                <w:sz w:val="18"/>
              </w:rPr>
              <w:t>72.94</w:t>
            </w:r>
          </w:p>
        </w:tc>
        <w:tc>
          <w:tcPr>
            <w:tcW w:type="dxa" w:w="1267"/>
          </w:tcPr>
          <w:p>
            <w:pPr>
              <w:spacing w:after="20"/>
              <w:jc w:val="right"/>
            </w:pPr>
            <w:r>
              <w:rPr>
                <w:color w:val="1C3A36"/>
                <w:sz w:val="18"/>
              </w:rPr>
              <w:t>80.17</w:t>
            </w:r>
          </w:p>
        </w:tc>
        <w:tc>
          <w:tcPr>
            <w:tcW w:type="dxa" w:w="1267"/>
          </w:tcPr>
          <w:p>
            <w:pPr>
              <w:spacing w:after="20"/>
              <w:jc w:val="right"/>
            </w:pPr>
            <w:r>
              <w:rPr>
                <w:color w:val="1C3A36"/>
                <w:sz w:val="18"/>
              </w:rPr>
              <w:t>88.18</w:t>
            </w:r>
          </w:p>
        </w:tc>
        <w:tc>
          <w:tcPr>
            <w:tcW w:type="dxa" w:w="1267"/>
          </w:tcPr>
          <w:p>
            <w:pPr>
              <w:spacing w:after="20"/>
              <w:jc w:val="right"/>
            </w:pPr>
            <w:r>
              <w:rPr>
                <w:color w:val="1C3A36"/>
                <w:sz w:val="18"/>
              </w:rPr>
              <w:t>103.50</w:t>
            </w:r>
          </w:p>
        </w:tc>
        <w:tc>
          <w:tcPr>
            <w:tcW w:type="dxa" w:w="1368"/>
          </w:tcPr>
          <w:p>
            <w:pPr>
              <w:spacing w:after="20"/>
              <w:jc w:val="right"/>
            </w:pPr>
            <w:r>
              <w:rPr>
                <w:color w:val="1C3A36"/>
                <w:sz w:val="18"/>
              </w:rPr>
              <w:t>54%</w:t>
            </w:r>
          </w:p>
        </w:tc>
      </w:tr>
      <w:tr>
        <w:tc>
          <w:tcPr>
            <w:tcW w:type="dxa" w:w="1901"/>
          </w:tcPr>
          <w:p>
            <w:pPr>
              <w:spacing w:after="20"/>
            </w:pPr>
            <w:r>
              <w:rPr>
                <w:color w:val="1C3A36"/>
                <w:sz w:val="18"/>
              </w:rPr>
              <w:t>Three months</w:t>
            </w:r>
          </w:p>
        </w:tc>
        <w:tc>
          <w:tcPr>
            <w:tcW w:type="dxa" w:w="1267"/>
          </w:tcPr>
          <w:p>
            <w:pPr>
              <w:spacing w:after="20"/>
              <w:jc w:val="right"/>
            </w:pPr>
            <w:r>
              <w:rPr>
                <w:color w:val="1C3A36"/>
                <w:sz w:val="18"/>
              </w:rPr>
              <w:t>52.13</w:t>
            </w:r>
          </w:p>
        </w:tc>
        <w:tc>
          <w:tcPr>
            <w:tcW w:type="dxa" w:w="1267"/>
          </w:tcPr>
          <w:p>
            <w:pPr>
              <w:spacing w:after="20"/>
              <w:jc w:val="right"/>
            </w:pPr>
            <w:r>
              <w:rPr>
                <w:color w:val="1C3A36"/>
                <w:sz w:val="18"/>
              </w:rPr>
              <w:t>69.75</w:t>
            </w:r>
          </w:p>
        </w:tc>
        <w:tc>
          <w:tcPr>
            <w:tcW w:type="dxa" w:w="1267"/>
          </w:tcPr>
          <w:p>
            <w:pPr>
              <w:spacing w:after="20"/>
              <w:jc w:val="right"/>
            </w:pPr>
            <w:r>
              <w:rPr>
                <w:color w:val="1C3A36"/>
                <w:sz w:val="18"/>
              </w:rPr>
              <w:t>82.78</w:t>
            </w:r>
          </w:p>
        </w:tc>
        <w:tc>
          <w:tcPr>
            <w:tcW w:type="dxa" w:w="1267"/>
          </w:tcPr>
          <w:p>
            <w:pPr>
              <w:spacing w:after="20"/>
              <w:jc w:val="right"/>
            </w:pPr>
            <w:r>
              <w:rPr>
                <w:color w:val="1C3A36"/>
                <w:sz w:val="18"/>
              </w:rPr>
              <w:t>98.07</w:t>
            </w:r>
          </w:p>
        </w:tc>
        <w:tc>
          <w:tcPr>
            <w:tcW w:type="dxa" w:w="1267"/>
          </w:tcPr>
          <w:p>
            <w:pPr>
              <w:spacing w:after="20"/>
              <w:jc w:val="right"/>
            </w:pPr>
            <w:r>
              <w:rPr>
                <w:color w:val="1C3A36"/>
                <w:sz w:val="18"/>
              </w:rPr>
              <w:t>131.35</w:t>
            </w:r>
          </w:p>
        </w:tc>
        <w:tc>
          <w:tcPr>
            <w:tcW w:type="dxa" w:w="1368"/>
          </w:tcPr>
          <w:p>
            <w:pPr>
              <w:spacing w:after="20"/>
              <w:jc w:val="right"/>
            </w:pPr>
            <w:r>
              <w:rPr>
                <w:color w:val="1C3A36"/>
                <w:sz w:val="18"/>
              </w:rPr>
              <w:t>57%</w:t>
            </w:r>
          </w:p>
        </w:tc>
      </w:tr>
    </w:tbl>
    <w:p>
      <w:pPr>
        <w:spacing w:after="40"/>
      </w:pPr>
    </w:p>
    <w:p>
      <w:pPr>
        <w:spacing w:after="200" w:before="0"/>
      </w:pPr>
      <w:r>
        <w:rPr>
          <w:b w:val="0"/>
          <w:i/>
          <w:color w:val="6E7B77"/>
          <w:sz w:val="17"/>
        </w:rPr>
        <w:t>Table 15 — Percentiles of the simulated distribution, in EGP per share.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280"/>
      </w:pPr>
      <w:r>
        <w:rPr>
          <w:b/>
          <w:i w:val="0"/>
          <w:color w:val="1C3A36"/>
          <w:sz w:val="30"/>
        </w:rPr>
        <w:t>4  Comparison of the lenses</w:t>
      </w:r>
    </w:p>
    <w:p>
      <w:pPr>
        <w:spacing w:after="120" w:before="0"/>
      </w:pPr>
      <w:r>
        <w:rPr>
          <w:b w:val="0"/>
          <w:i w:val="0"/>
          <w:color w:val="1C3A36"/>
          <w:sz w:val="21"/>
        </w:rPr>
        <w:t>Set against each other, the four lenses describe a company whose plant is worth more than its cash flows justify. That is the ordinary condition of a good asset in a bad market, and it is worth saying plainly rather than resolving by arithmetic.</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411"/>
        <w:gridCol w:w="1224"/>
        <w:gridCol w:w="4752"/>
      </w:tblGrid>
      <w:tr>
        <w:tc>
          <w:tcPr>
            <w:tcW w:type="dxa" w:w="2333"/>
            <w:shd w:val="clear" w:color="auto" w:fill="EAF0EE"/>
          </w:tcPr>
          <w:p>
            <w:pPr>
              <w:spacing w:after="20"/>
            </w:pPr>
            <w:r>
              <w:rPr>
                <w:b/>
                <w:color w:val="1C3A36"/>
                <w:sz w:val="18"/>
              </w:rPr>
              <w:t>Lens</w:t>
            </w:r>
          </w:p>
        </w:tc>
        <w:tc>
          <w:tcPr>
            <w:tcW w:type="dxa" w:w="1411"/>
            <w:shd w:val="clear" w:color="auto" w:fill="EAF0EE"/>
          </w:tcPr>
          <w:p>
            <w:pPr>
              <w:spacing w:after="20"/>
            </w:pPr>
            <w:r>
              <w:rPr>
                <w:b/>
                <w:color w:val="1C3A36"/>
                <w:sz w:val="18"/>
              </w:rPr>
              <w:t>Value (EGP)</w:t>
            </w:r>
          </w:p>
        </w:tc>
        <w:tc>
          <w:tcPr>
            <w:tcW w:type="dxa" w:w="1224"/>
            <w:shd w:val="clear" w:color="auto" w:fill="EAF0EE"/>
          </w:tcPr>
          <w:p>
            <w:pPr>
              <w:spacing w:after="20"/>
            </w:pPr>
            <w:r>
              <w:rPr>
                <w:b/>
                <w:color w:val="1C3A36"/>
                <w:sz w:val="18"/>
              </w:rPr>
              <w:t>Versus spot</w:t>
            </w:r>
          </w:p>
        </w:tc>
        <w:tc>
          <w:tcPr>
            <w:tcW w:type="dxa" w:w="4752"/>
            <w:shd w:val="clear" w:color="auto" w:fill="EAF0EE"/>
          </w:tcPr>
          <w:p>
            <w:pPr>
              <w:spacing w:after="20"/>
            </w:pPr>
            <w:r>
              <w:rPr>
                <w:b/>
                <w:color w:val="1C3A36"/>
                <w:sz w:val="18"/>
              </w:rPr>
              <w:t>What would have to be true for it to be right</w:t>
            </w:r>
          </w:p>
        </w:tc>
      </w:tr>
      <w:tr>
        <w:tc>
          <w:tcPr>
            <w:tcW w:type="dxa" w:w="2333"/>
          </w:tcPr>
          <w:p>
            <w:pPr>
              <w:spacing w:after="20"/>
            </w:pPr>
            <w:r>
              <w:rPr>
                <w:color w:val="1C3A36"/>
                <w:sz w:val="18"/>
              </w:rPr>
              <w:t>Discounted cash flow</w:t>
            </w:r>
          </w:p>
        </w:tc>
        <w:tc>
          <w:tcPr>
            <w:tcW w:type="dxa" w:w="1411"/>
          </w:tcPr>
          <w:p>
            <w:pPr>
              <w:spacing w:after="20"/>
              <w:jc w:val="right"/>
            </w:pPr>
            <w:r>
              <w:rPr>
                <w:color w:val="1C3A36"/>
                <w:sz w:val="18"/>
              </w:rPr>
              <w:t>54.49</w:t>
            </w:r>
          </w:p>
        </w:tc>
        <w:tc>
          <w:tcPr>
            <w:tcW w:type="dxa" w:w="1224"/>
          </w:tcPr>
          <w:p>
            <w:pPr>
              <w:spacing w:after="20"/>
              <w:jc w:val="right"/>
            </w:pPr>
            <w:r>
              <w:rPr>
                <w:color w:val="1C3A36"/>
                <w:sz w:val="18"/>
              </w:rPr>
              <w:t>-31.0%</w:t>
            </w:r>
          </w:p>
        </w:tc>
        <w:tc>
          <w:tcPr>
            <w:tcW w:type="dxa" w:w="4752"/>
          </w:tcPr>
          <w:p>
            <w:pPr>
              <w:spacing w:after="20"/>
              <w:jc w:val="right"/>
            </w:pPr>
            <w:r>
              <w:rPr>
                <w:color w:val="1C3A36"/>
                <w:sz w:val="18"/>
              </w:rPr>
              <w:t>Prices normalise in real terms as dormant capacity restarts</w:t>
            </w:r>
          </w:p>
        </w:tc>
      </w:tr>
      <w:tr>
        <w:tc>
          <w:tcPr>
            <w:tcW w:type="dxa" w:w="2333"/>
          </w:tcPr>
          <w:p>
            <w:pPr>
              <w:spacing w:after="20"/>
            </w:pPr>
            <w:r>
              <w:rPr>
                <w:color w:val="1C3A36"/>
                <w:sz w:val="18"/>
              </w:rPr>
              <w:t>Relative multiples</w:t>
            </w:r>
          </w:p>
        </w:tc>
        <w:tc>
          <w:tcPr>
            <w:tcW w:type="dxa" w:w="1411"/>
          </w:tcPr>
          <w:p>
            <w:pPr>
              <w:spacing w:after="20"/>
              <w:jc w:val="right"/>
            </w:pPr>
            <w:r>
              <w:rPr>
                <w:color w:val="1C3A36"/>
                <w:sz w:val="18"/>
              </w:rPr>
              <w:t>66.53</w:t>
            </w:r>
          </w:p>
        </w:tc>
        <w:tc>
          <w:tcPr>
            <w:tcW w:type="dxa" w:w="1224"/>
          </w:tcPr>
          <w:p>
            <w:pPr>
              <w:spacing w:after="20"/>
              <w:jc w:val="right"/>
            </w:pPr>
            <w:r>
              <w:rPr>
                <w:color w:val="1C3A36"/>
                <w:sz w:val="18"/>
              </w:rPr>
              <w:t>-15.8%</w:t>
            </w:r>
          </w:p>
        </w:tc>
        <w:tc>
          <w:tcPr>
            <w:tcW w:type="dxa" w:w="4752"/>
          </w:tcPr>
          <w:p>
            <w:pPr>
              <w:spacing w:after="20"/>
              <w:jc w:val="right"/>
            </w:pPr>
            <w:r>
              <w:rPr>
                <w:color w:val="1C3A36"/>
                <w:sz w:val="18"/>
              </w:rPr>
              <w:t>Peers stay near 5x EBITDA and the mid-cycle margin holds</w:t>
            </w:r>
          </w:p>
        </w:tc>
      </w:tr>
      <w:tr>
        <w:tc>
          <w:tcPr>
            <w:tcW w:type="dxa" w:w="2333"/>
          </w:tcPr>
          <w:p>
            <w:pPr>
              <w:spacing w:after="20"/>
            </w:pPr>
            <w:r>
              <w:rPr>
                <w:color w:val="1C3A36"/>
                <w:sz w:val="18"/>
              </w:rPr>
              <w:t>Normalised earnings</w:t>
            </w:r>
          </w:p>
        </w:tc>
        <w:tc>
          <w:tcPr>
            <w:tcW w:type="dxa" w:w="1411"/>
          </w:tcPr>
          <w:p>
            <w:pPr>
              <w:spacing w:after="20"/>
              <w:jc w:val="right"/>
            </w:pPr>
            <w:r>
              <w:rPr>
                <w:color w:val="1C3A36"/>
                <w:sz w:val="18"/>
              </w:rPr>
              <w:t>57.97</w:t>
            </w:r>
          </w:p>
        </w:tc>
        <w:tc>
          <w:tcPr>
            <w:tcW w:type="dxa" w:w="1224"/>
          </w:tcPr>
          <w:p>
            <w:pPr>
              <w:spacing w:after="20"/>
              <w:jc w:val="right"/>
            </w:pPr>
            <w:r>
              <w:rPr>
                <w:color w:val="1C3A36"/>
                <w:sz w:val="18"/>
              </w:rPr>
              <w:t>-26.6%</w:t>
            </w:r>
          </w:p>
        </w:tc>
        <w:tc>
          <w:tcPr>
            <w:tcW w:type="dxa" w:w="4752"/>
          </w:tcPr>
          <w:p>
            <w:pPr>
              <w:spacing w:after="20"/>
              <w:jc w:val="right"/>
            </w:pPr>
            <w:r>
              <w:rPr>
                <w:color w:val="1C3A36"/>
                <w:sz w:val="18"/>
              </w:rPr>
              <w:t>2025 was a cyclical peak, not a new operating level</w:t>
            </w:r>
          </w:p>
        </w:tc>
      </w:tr>
      <w:tr>
        <w:tc>
          <w:tcPr>
            <w:tcW w:type="dxa" w:w="2333"/>
          </w:tcPr>
          <w:p>
            <w:pPr>
              <w:spacing w:after="20"/>
            </w:pPr>
            <w:r>
              <w:rPr>
                <w:color w:val="1C3A36"/>
                <w:sz w:val="18"/>
              </w:rPr>
              <w:t>Asset / replacement cost</w:t>
            </w:r>
          </w:p>
        </w:tc>
        <w:tc>
          <w:tcPr>
            <w:tcW w:type="dxa" w:w="1411"/>
          </w:tcPr>
          <w:p>
            <w:pPr>
              <w:spacing w:after="20"/>
              <w:jc w:val="right"/>
            </w:pPr>
            <w:r>
              <w:rPr>
                <w:color w:val="1C3A36"/>
                <w:sz w:val="18"/>
              </w:rPr>
              <w:t>89.28</w:t>
            </w:r>
          </w:p>
        </w:tc>
        <w:tc>
          <w:tcPr>
            <w:tcW w:type="dxa" w:w="1224"/>
          </w:tcPr>
          <w:p>
            <w:pPr>
              <w:spacing w:after="20"/>
              <w:jc w:val="right"/>
            </w:pPr>
            <w:r>
              <w:rPr>
                <w:color w:val="1C3A36"/>
                <w:sz w:val="18"/>
              </w:rPr>
              <w:t>+13.0%</w:t>
            </w:r>
          </w:p>
        </w:tc>
        <w:tc>
          <w:tcPr>
            <w:tcW w:type="dxa" w:w="4752"/>
          </w:tcPr>
          <w:p>
            <w:pPr>
              <w:spacing w:after="20"/>
              <w:jc w:val="right"/>
            </w:pPr>
            <w:r>
              <w:rPr>
                <w:color w:val="1C3A36"/>
                <w:sz w:val="18"/>
              </w:rPr>
              <w:t>Capacity is scarce enough that build cost anchors value</w:t>
            </w:r>
          </w:p>
        </w:tc>
      </w:tr>
    </w:tbl>
    <w:p>
      <w:pPr>
        <w:spacing w:after="40"/>
      </w:pPr>
    </w:p>
    <w:p>
      <w:pPr>
        <w:spacing w:after="200" w:before="0"/>
      </w:pPr>
      <w:r>
        <w:rPr>
          <w:b w:val="0"/>
          <w:i/>
          <w:color w:val="6E7B77"/>
          <w:sz w:val="17"/>
        </w:rPr>
        <w:t>Table 16 — What each lens is betting on.</w:t>
      </w:r>
    </w:p>
    <w:p>
      <w:pPr>
        <w:spacing w:after="120" w:before="280"/>
      </w:pPr>
      <w:r>
        <w:rPr>
          <w:b/>
          <w:i w:val="0"/>
          <w:color w:val="1C3A36"/>
          <w:sz w:val="30"/>
        </w:rPr>
        <w:t>5  Catalysts to watch</w:t>
      </w:r>
    </w:p>
    <w:p>
      <w:pPr>
        <w:pStyle w:val="ListBullet"/>
        <w:spacing w:after="60"/>
      </w:pPr>
      <w:r>
        <w:rPr>
          <w:b/>
          <w:color w:val="1C3A36"/>
          <w:sz w:val="21"/>
        </w:rPr>
        <w:t xml:space="preserve">The revival programme. </w:t>
      </w:r>
      <w:r>
        <w:rPr>
          <w:color w:val="1C3A36"/>
          <w:sz w:val="21"/>
        </w:rPr>
        <w:t>Whether the seven to nine dormant lines actually restart, and how much of the 12.6 million tonnes reaches the market. This is the single largest swing factor and it lands inside the forecast window.</w:t>
      </w:r>
    </w:p>
    <w:p>
      <w:pPr>
        <w:pStyle w:val="ListBullet"/>
        <w:spacing w:after="60"/>
      </w:pPr>
      <w:r>
        <w:rPr>
          <w:b/>
          <w:color w:val="1C3A36"/>
          <w:sz w:val="21"/>
        </w:rPr>
        <w:t xml:space="preserve">The first post-quota pricing year. </w:t>
      </w:r>
      <w:r>
        <w:rPr>
          <w:color w:val="1C3A36"/>
          <w:sz w:val="21"/>
        </w:rPr>
        <w:t>FY2026 realised prices are the first clean read of what an unregulated Egyptian cement market clears at. Published estimates point to EGP 3,600–3,620 a tonne on about 1% demand growth.</w:t>
      </w:r>
    </w:p>
    <w:p>
      <w:pPr>
        <w:pStyle w:val="ListBullet"/>
        <w:spacing w:after="60"/>
      </w:pPr>
      <w:r>
        <w:rPr>
          <w:b/>
          <w:color w:val="1C3A36"/>
          <w:sz w:val="21"/>
        </w:rPr>
        <w:t xml:space="preserve">A dividend declaration. </w:t>
      </w:r>
      <w:r>
        <w:rPr>
          <w:color w:val="1C3A36"/>
          <w:sz w:val="21"/>
        </w:rPr>
        <w:t>The company has no dividend on record, yet the balance sheet arithmetic implies a substantial FY2025 distribution. A declared payout would resolve the largest single uncertainty in the equity bridge.</w:t>
      </w:r>
    </w:p>
    <w:p>
      <w:pPr>
        <w:pStyle w:val="ListBullet"/>
        <w:spacing w:after="60"/>
      </w:pPr>
      <w:r>
        <w:rPr>
          <w:b/>
          <w:color w:val="1C3A36"/>
          <w:sz w:val="21"/>
        </w:rPr>
        <w:t xml:space="preserve">Vicat's intentions for the float. </w:t>
      </w:r>
      <w:r>
        <w:rPr>
          <w:color w:val="1C3A36"/>
          <w:sz w:val="21"/>
        </w:rPr>
        <w:t>The 2025 mandatory offer at EGP 41.00 lapsed well below the market. Any renewed approach, or a move to delist, changes the minority shareholder's position entirely.</w:t>
      </w:r>
    </w:p>
    <w:p>
      <w:pPr>
        <w:pStyle w:val="ListBullet"/>
        <w:spacing w:after="60"/>
      </w:pPr>
      <w:r>
        <w:rPr>
          <w:b/>
          <w:color w:val="1C3A36"/>
          <w:sz w:val="21"/>
        </w:rPr>
        <w:t xml:space="preserve">The central bank's easing path. </w:t>
      </w:r>
      <w:r>
        <w:rPr>
          <w:color w:val="1C3A36"/>
          <w:sz w:val="21"/>
        </w:rPr>
        <w:t>A faster fall in Egyptian rates lifts the valuation through the discount rate but reduces the treasury income that currently flatters the earnings line. The two effects partly offset.</w:t>
      </w:r>
    </w:p>
    <w:p>
      <w:pPr>
        <w:pStyle w:val="ListBullet"/>
        <w:spacing w:after="60"/>
      </w:pPr>
      <w:r>
        <w:rPr>
          <w:b/>
          <w:color w:val="1C3A36"/>
          <w:sz w:val="21"/>
        </w:rPr>
        <w:t xml:space="preserve">Energy costs. </w:t>
      </w:r>
      <w:r>
        <w:rPr>
          <w:color w:val="1C3A36"/>
          <w:sz w:val="21"/>
        </w:rPr>
        <w:t>Egypt's phased subsidy reform raises the cash cost of clinker independently of the global fuel price, and cement is an energy-conversion business before it is anything else.</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too wide to support fine probability statements, and the honest way to use it is as a rough map of where the price could plausibly be, not as a calibrated forecast. Read against the fundamental work, three zones are worth naming.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2088"/>
        <w:gridCol w:w="4680"/>
      </w:tblGrid>
      <w:tr>
        <w:tc>
          <w:tcPr>
            <w:tcW w:type="dxa" w:w="2952"/>
            <w:shd w:val="clear" w:color="auto" w:fill="EAF0EE"/>
          </w:tcPr>
          <w:p>
            <w:pPr>
              <w:spacing w:after="20"/>
            </w:pPr>
            <w:r>
              <w:rPr>
                <w:b/>
                <w:color w:val="1C3A36"/>
                <w:sz w:val="18"/>
              </w:rPr>
              <w:t>Zone</w:t>
            </w:r>
          </w:p>
        </w:tc>
        <w:tc>
          <w:tcPr>
            <w:tcW w:type="dxa" w:w="2088"/>
            <w:shd w:val="clear" w:color="auto" w:fill="EAF0EE"/>
          </w:tcPr>
          <w:p>
            <w:pPr>
              <w:spacing w:after="20"/>
            </w:pPr>
            <w:r>
              <w:rPr>
                <w:b/>
                <w:color w:val="1C3A36"/>
                <w:sz w:val="18"/>
              </w:rPr>
              <w:t>Range (EGP)</w:t>
            </w:r>
          </w:p>
        </w:tc>
        <w:tc>
          <w:tcPr>
            <w:tcW w:type="dxa" w:w="4680"/>
            <w:shd w:val="clear" w:color="auto" w:fill="EAF0EE"/>
          </w:tcPr>
          <w:p>
            <w:pPr>
              <w:spacing w:after="20"/>
            </w:pPr>
            <w:r>
              <w:rPr>
                <w:b/>
                <w:color w:val="1C3A36"/>
                <w:sz w:val="18"/>
              </w:rPr>
              <w:t>What it would mean</w:t>
            </w:r>
          </w:p>
        </w:tc>
      </w:tr>
      <w:tr>
        <w:tc>
          <w:tcPr>
            <w:tcW w:type="dxa" w:w="2952"/>
          </w:tcPr>
          <w:p>
            <w:pPr>
              <w:spacing w:after="20"/>
            </w:pPr>
            <w:r>
              <w:rPr>
                <w:color w:val="1C3A36"/>
                <w:sz w:val="18"/>
              </w:rPr>
              <w:t>Below the earnings lenses</w:t>
            </w:r>
          </w:p>
        </w:tc>
        <w:tc>
          <w:tcPr>
            <w:tcW w:type="dxa" w:w="2088"/>
          </w:tcPr>
          <w:p>
            <w:pPr>
              <w:spacing w:after="20"/>
              <w:jc w:val="right"/>
            </w:pPr>
            <w:r>
              <w:rPr>
                <w:color w:val="1C3A36"/>
                <w:sz w:val="18"/>
              </w:rPr>
              <w:t>under 57.97</w:t>
            </w:r>
          </w:p>
        </w:tc>
        <w:tc>
          <w:tcPr>
            <w:tcW w:type="dxa" w:w="4680"/>
          </w:tcPr>
          <w:p>
            <w:pPr>
              <w:spacing w:after="20"/>
              <w:jc w:val="right"/>
            </w:pPr>
            <w:r>
              <w:rPr>
                <w:color w:val="1C3A36"/>
                <w:sz w:val="18"/>
              </w:rPr>
              <w:t>The market has come to agree that 2025 was a peak and that new supply compresses margins from here</w:t>
            </w:r>
          </w:p>
        </w:tc>
      </w:tr>
      <w:tr>
        <w:tc>
          <w:tcPr>
            <w:tcW w:type="dxa" w:w="2952"/>
          </w:tcPr>
          <w:p>
            <w:pPr>
              <w:spacing w:after="20"/>
            </w:pPr>
            <w:r>
              <w:rPr>
                <w:color w:val="1C3A36"/>
                <w:sz w:val="18"/>
              </w:rPr>
              <w:t>Between the earnings and asset lenses</w:t>
            </w:r>
          </w:p>
        </w:tc>
        <w:tc>
          <w:tcPr>
            <w:tcW w:type="dxa" w:w="2088"/>
          </w:tcPr>
          <w:p>
            <w:pPr>
              <w:spacing w:after="20"/>
              <w:jc w:val="right"/>
            </w:pPr>
            <w:r>
              <w:rPr>
                <w:color w:val="1C3A36"/>
                <w:sz w:val="18"/>
              </w:rPr>
              <w:t>57.97 – 89.28</w:t>
            </w:r>
          </w:p>
        </w:tc>
        <w:tc>
          <w:tcPr>
            <w:tcW w:type="dxa" w:w="4680"/>
          </w:tcPr>
          <w:p>
            <w:pPr>
              <w:spacing w:after="20"/>
              <w:jc w:val="right"/>
            </w:pPr>
            <w:r>
              <w:rPr>
                <w:color w:val="1C3A36"/>
                <w:sz w:val="18"/>
              </w:rPr>
              <w:t>Where the price sits today: the plant is valued above its cash flows but below its build cost</w:t>
            </w:r>
          </w:p>
        </w:tc>
      </w:tr>
      <w:tr>
        <w:tc>
          <w:tcPr>
            <w:tcW w:type="dxa" w:w="2952"/>
          </w:tcPr>
          <w:p>
            <w:pPr>
              <w:spacing w:after="20"/>
            </w:pPr>
            <w:r>
              <w:rPr>
                <w:color w:val="1C3A36"/>
                <w:sz w:val="18"/>
              </w:rPr>
              <w:t>Above the asset lens</w:t>
            </w:r>
          </w:p>
        </w:tc>
        <w:tc>
          <w:tcPr>
            <w:tcW w:type="dxa" w:w="2088"/>
          </w:tcPr>
          <w:p>
            <w:pPr>
              <w:spacing w:after="20"/>
              <w:jc w:val="right"/>
            </w:pPr>
            <w:r>
              <w:rPr>
                <w:color w:val="1C3A36"/>
                <w:sz w:val="18"/>
              </w:rPr>
              <w:t>over 89.28</w:t>
            </w:r>
          </w:p>
        </w:tc>
        <w:tc>
          <w:tcPr>
            <w:tcW w:type="dxa" w:w="4680"/>
          </w:tcPr>
          <w:p>
            <w:pPr>
              <w:spacing w:after="20"/>
              <w:jc w:val="right"/>
            </w:pPr>
            <w:r>
              <w:rPr>
                <w:color w:val="1C3A36"/>
                <w:sz w:val="18"/>
              </w:rPr>
              <w:t>The market is paying replacement cost or more for capacity in a market that has a structural surplus of it</w:t>
            </w:r>
          </w:p>
        </w:tc>
      </w:tr>
    </w:tbl>
    <w:p>
      <w:pPr>
        <w:spacing w:after="40"/>
      </w:pPr>
    </w:p>
    <w:p>
      <w:pPr>
        <w:spacing w:after="200" w:before="0"/>
      </w:pPr>
      <w:r>
        <w:rPr>
          <w:b w:val="0"/>
          <w:i/>
          <w:color w:val="6E7B77"/>
          <w:sz w:val="17"/>
        </w:rPr>
        <w:t>Table 17 — Zones read against the fundamental work rather than against the simulated distribution.</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audited statements could not be obtained. </w:t>
      </w:r>
      <w:r>
        <w:rPr>
          <w:color w:val="1C3A36"/>
          <w:sz w:val="21"/>
        </w:rPr>
        <w:t>Revenue and profit after tax are carried as disclosed through reporting of the company's exchange filings. Every line between them — EBITDA, depreciation, operating profit and treasury income — is DERIVED by closing the disclosed profit, and is labelled as derived in the financial statements appendix. The margin structure rests on a single disclosed EBITDA figure for FY2024.</w:t>
      </w:r>
    </w:p>
    <w:p>
      <w:pPr>
        <w:pStyle w:val="ListBullet"/>
        <w:spacing w:after="60"/>
      </w:pPr>
      <w:r>
        <w:rPr>
          <w:b/>
          <w:color w:val="1C3A36"/>
          <w:sz w:val="21"/>
        </w:rPr>
        <w:t xml:space="preserve">The balance sheet does not reconcile, and the gap is large. </w:t>
      </w:r>
      <w:r>
        <w:rPr>
          <w:color w:val="1C3A36"/>
          <w:sz w:val="21"/>
        </w:rPr>
        <w:t>Rolling FY2024 equity of EGP 4,775 million forward by FY2025 profit with no distribution gives EGP 7,065 million, against a reported figure of about EGP 5,200 million. The EGP 1,865 million difference implies a FY2025 distribution that no obtainable source reports. It is carried as a disclosed uncertainty rather than plugged, and it bears directly on the cash balance the valuation adds back.</w:t>
      </w:r>
    </w:p>
    <w:p>
      <w:pPr>
        <w:pStyle w:val="ListBullet"/>
        <w:spacing w:after="60"/>
      </w:pPr>
      <w:r>
        <w:rPr>
          <w:b/>
          <w:color w:val="1C3A36"/>
          <w:sz w:val="21"/>
        </w:rPr>
        <w:t xml:space="preserve">The cash balance is derived, not disclosed. </w:t>
      </w:r>
      <w:r>
        <w:rPr>
          <w:color w:val="1C3A36"/>
          <w:sz w:val="21"/>
        </w:rPr>
        <w:t>No cash figure is separately obtainable. The balance used here is inferred from the treasury income implied by the FY2024 profit bridge divided by the prevailing deposit yield. Net cash is 37% of the equity value, so an error here matters more than an error in almost any operating assumption.</w:t>
      </w:r>
    </w:p>
    <w:p>
      <w:pPr>
        <w:pStyle w:val="ListBullet"/>
        <w:spacing w:after="60"/>
      </w:pPr>
      <w:r>
        <w:rPr>
          <w:b/>
          <w:color w:val="1C3A36"/>
          <w:sz w:val="21"/>
        </w:rPr>
        <w:t xml:space="preserve">Capital expenditure is a top-down assumption. </w:t>
      </w:r>
      <w:r>
        <w:rPr>
          <w:color w:val="1C3A36"/>
          <w:sz w:val="21"/>
        </w:rPr>
        <w:t>The company publishes no capital-expenditure figure, guidance or investment plan that could be retrieved. Capex is set at 4.5% to 5.0% of revenue as maintenance for a mature two-line plant plus decarbonisation spending, and is sensitised.</w:t>
      </w:r>
    </w:p>
    <w:p>
      <w:pPr>
        <w:pStyle w:val="ListBullet"/>
        <w:spacing w:after="60"/>
      </w:pPr>
      <w:r>
        <w:rPr>
          <w:b/>
          <w:color w:val="1C3A36"/>
          <w:sz w:val="21"/>
        </w:rPr>
        <w:t xml:space="preserve">The FY2024 disposal gain is estimated, not disclosed. </w:t>
      </w:r>
      <w:r>
        <w:rPr>
          <w:color w:val="1C3A36"/>
          <w:sz w:val="21"/>
        </w:rPr>
        <w:t>The EUR 30 million consideration and the completion date are reported, but the carrying value of the stake is not. It is estimated at EGP 100 million on the reasoning that a 1990s-vintage holding carried at historic cost in pre-devaluation pounds is small. A different carrying value shifts the split between the FY2024 disposal gain and FY2024 treasury income, but not the FY2025 or forecast figures.</w:t>
      </w:r>
    </w:p>
    <w:p>
      <w:pPr>
        <w:pStyle w:val="ListBullet"/>
        <w:spacing w:after="60"/>
      </w:pPr>
      <w:r>
        <w:rPr>
          <w:b/>
          <w:color w:val="1C3A36"/>
          <w:sz w:val="21"/>
        </w:rPr>
        <w:t xml:space="preserve">The price distribution is not calibrated for this security. </w:t>
      </w:r>
      <w:r>
        <w:rPr>
          <w:color w:val="1C3A36"/>
          <w:sz w:val="21"/>
        </w:rPr>
        <w:t>Measured over five years it scores worse than a random walk and is materially too wide. It is published with that stated, and it carries no weight in the fundamental valuation.</w:t>
      </w:r>
    </w:p>
    <w:p>
      <w:pPr>
        <w:pStyle w:val="ListBullet"/>
        <w:spacing w:after="60"/>
      </w:pPr>
      <w:r>
        <w:rPr>
          <w:b/>
          <w:color w:val="1C3A36"/>
          <w:sz w:val="21"/>
        </w:rPr>
        <w:t xml:space="preserve">Concentration of control. </w:t>
      </w:r>
      <w:r>
        <w:rPr>
          <w:color w:val="1C3A36"/>
          <w:sz w:val="21"/>
        </w:rPr>
        <w:t>Vicat holds 77.6%. A minority shareholder in an Egyptian company with a float of 22.4% has limited influence over dividend policy, related-party terms or the timing of any exit, and the shares trade thinly as a direct consequence.</w:t>
      </w:r>
    </w:p>
    <w:p>
      <w:pPr>
        <w:pStyle w:val="ListBullet"/>
        <w:spacing w:after="60"/>
      </w:pPr>
      <w:r>
        <w:rPr>
          <w:b/>
          <w:color w:val="1C3A36"/>
          <w:sz w:val="21"/>
        </w:rPr>
        <w:t xml:space="preserve">What would change our mind, upward. </w:t>
      </w:r>
      <w:r>
        <w:rPr>
          <w:color w:val="1C3A36"/>
          <w:sz w:val="21"/>
        </w:rPr>
        <w:t>A declared dividend confirming the cash is distributable; cancellation or material delay of the capacity-revival programme; realised prices holding above EGP 3,900 a tonne into 2027; or evidence that replacement cost in Egypt is materially above USD 130 per tonne.</w:t>
      </w:r>
    </w:p>
    <w:p>
      <w:pPr>
        <w:pStyle w:val="ListBullet"/>
        <w:spacing w:after="60"/>
      </w:pPr>
      <w:r>
        <w:rPr>
          <w:b/>
          <w:color w:val="1C3A36"/>
          <w:sz w:val="21"/>
        </w:rPr>
        <w:t xml:space="preserve">What would change our mind, downward. </w:t>
      </w:r>
      <w:r>
        <w:rPr>
          <w:color w:val="1C3A36"/>
          <w:sz w:val="21"/>
        </w:rPr>
        <w:t>Restarted capacity reaching the market faster than expected; realised prices falling in nominal terms rather than merely in real terms; a debt-funded expansion into the surplus; or confirmation that the cash balance is smaller than the profit bridge implies.</w:t>
      </w:r>
    </w:p>
    <w:p>
      <w:r>
        <w:br w:type="page"/>
      </w:r>
    </w:p>
    <w:p>
      <w:pPr>
        <w:spacing w:after="120" w:before="280"/>
      </w:pPr>
      <w:r>
        <w:rPr>
          <w:b/>
          <w:i w:val="0"/>
          <w:color w:val="1C3A36"/>
          <w:sz w:val="30"/>
        </w:rPr>
        <w:t>Appendix A  Financial statements</w:t>
      </w:r>
    </w:p>
    <w:p>
      <w:pPr>
        <w:spacing w:after="120" w:before="0"/>
      </w:pPr>
      <w:r>
        <w:rPr>
          <w:b w:val="0"/>
          <w:i w:val="0"/>
          <w:color w:val="1C3A36"/>
          <w:sz w:val="21"/>
        </w:rPr>
        <w:t>Three years of history and a five-year forecast. Figures shown in green in the companion model are disclosed; the remainder are derived and are marked here.</w:t>
      </w:r>
    </w:p>
    <w:p>
      <w:pPr>
        <w:spacing w:after="80" w:before="200"/>
      </w:pPr>
      <w:r>
        <w:rPr>
          <w:b/>
          <w:i w:val="0"/>
          <w:color w:val="1C3A36"/>
          <w:sz w:val="24"/>
        </w:rPr>
        <w:t>Income statement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64"/>
        <w:gridCol w:w="864"/>
        <w:gridCol w:w="864"/>
        <w:gridCol w:w="864"/>
        <w:gridCol w:w="864"/>
        <w:gridCol w:w="864"/>
        <w:gridCol w:w="864"/>
        <w:gridCol w:w="864"/>
      </w:tblGrid>
      <w:tr>
        <w:tc>
          <w:tcPr>
            <w:tcW w:type="dxa" w:w="2909"/>
            <w:shd w:val="clear" w:color="auto" w:fill="EAF0EE"/>
          </w:tcPr>
          <w:p>
            <w:pPr>
              <w:spacing w:after="20"/>
            </w:pPr>
            <w:r>
              <w:rPr>
                <w:b/>
                <w:color w:val="1C3A36"/>
                <w:sz w:val="16"/>
              </w:rPr>
            </w:r>
          </w:p>
        </w:tc>
        <w:tc>
          <w:tcPr>
            <w:tcW w:type="dxa" w:w="864"/>
            <w:shd w:val="clear" w:color="auto" w:fill="EAF0EE"/>
          </w:tcPr>
          <w:p>
            <w:pPr>
              <w:spacing w:after="20"/>
            </w:pPr>
            <w:r>
              <w:rPr>
                <w:b/>
                <w:color w:val="1C3A36"/>
                <w:sz w:val="16"/>
              </w:rPr>
              <w:t>FY2023</w:t>
            </w:r>
          </w:p>
        </w:tc>
        <w:tc>
          <w:tcPr>
            <w:tcW w:type="dxa" w:w="864"/>
            <w:shd w:val="clear" w:color="auto" w:fill="EAF0EE"/>
          </w:tcPr>
          <w:p>
            <w:pPr>
              <w:spacing w:after="20"/>
            </w:pPr>
            <w:r>
              <w:rPr>
                <w:b/>
                <w:color w:val="1C3A36"/>
                <w:sz w:val="16"/>
              </w:rPr>
              <w:t>FY2024</w:t>
            </w:r>
          </w:p>
        </w:tc>
        <w:tc>
          <w:tcPr>
            <w:tcW w:type="dxa" w:w="864"/>
            <w:shd w:val="clear" w:color="auto" w:fill="EAF0EE"/>
          </w:tcPr>
          <w:p>
            <w:pPr>
              <w:spacing w:after="20"/>
            </w:pPr>
            <w:r>
              <w:rPr>
                <w:b/>
                <w:color w:val="1C3A36"/>
                <w:sz w:val="16"/>
              </w:rPr>
              <w:t>FY2025</w:t>
            </w:r>
          </w:p>
        </w:tc>
        <w:tc>
          <w:tcPr>
            <w:tcW w:type="dxa" w:w="864"/>
            <w:shd w:val="clear" w:color="auto" w:fill="EAF0EE"/>
          </w:tcPr>
          <w:p>
            <w:pPr>
              <w:spacing w:after="20"/>
            </w:pPr>
            <w:r>
              <w:rPr>
                <w:b/>
                <w:color w:val="1C3A36"/>
                <w:sz w:val="16"/>
              </w:rPr>
              <w:t>FY2026E</w:t>
            </w:r>
          </w:p>
        </w:tc>
        <w:tc>
          <w:tcPr>
            <w:tcW w:type="dxa" w:w="864"/>
            <w:shd w:val="clear" w:color="auto" w:fill="EAF0EE"/>
          </w:tcPr>
          <w:p>
            <w:pPr>
              <w:spacing w:after="20"/>
            </w:pPr>
            <w:r>
              <w:rPr>
                <w:b/>
                <w:color w:val="1C3A36"/>
                <w:sz w:val="16"/>
              </w:rPr>
              <w:t>FY2027E</w:t>
            </w:r>
          </w:p>
        </w:tc>
        <w:tc>
          <w:tcPr>
            <w:tcW w:type="dxa" w:w="864"/>
            <w:shd w:val="clear" w:color="auto" w:fill="EAF0EE"/>
          </w:tcPr>
          <w:p>
            <w:pPr>
              <w:spacing w:after="20"/>
            </w:pPr>
            <w:r>
              <w:rPr>
                <w:b/>
                <w:color w:val="1C3A36"/>
                <w:sz w:val="16"/>
              </w:rPr>
              <w:t>FY2028E</w:t>
            </w:r>
          </w:p>
        </w:tc>
        <w:tc>
          <w:tcPr>
            <w:tcW w:type="dxa" w:w="864"/>
            <w:shd w:val="clear" w:color="auto" w:fill="EAF0EE"/>
          </w:tcPr>
          <w:p>
            <w:pPr>
              <w:spacing w:after="20"/>
            </w:pPr>
            <w:r>
              <w:rPr>
                <w:b/>
                <w:color w:val="1C3A36"/>
                <w:sz w:val="16"/>
              </w:rPr>
              <w:t>FY2029E</w:t>
            </w:r>
          </w:p>
        </w:tc>
        <w:tc>
          <w:tcPr>
            <w:tcW w:type="dxa" w:w="864"/>
            <w:shd w:val="clear" w:color="auto" w:fill="EAF0EE"/>
          </w:tcPr>
          <w:p>
            <w:pPr>
              <w:spacing w:after="20"/>
            </w:pPr>
            <w:r>
              <w:rPr>
                <w:b/>
                <w:color w:val="1C3A36"/>
                <w:sz w:val="16"/>
              </w:rPr>
              <w:t>FY2030E</w:t>
            </w:r>
          </w:p>
        </w:tc>
      </w:tr>
      <w:tr>
        <w:tc>
          <w:tcPr>
            <w:tcW w:type="dxa" w:w="2909"/>
          </w:tcPr>
          <w:p>
            <w:pPr>
              <w:spacing w:after="20"/>
            </w:pPr>
            <w:r>
              <w:rPr>
                <w:color w:val="1C3A36"/>
                <w:sz w:val="16"/>
              </w:rPr>
              <w:t>Revenue  (disclosed)</w:t>
            </w:r>
          </w:p>
        </w:tc>
        <w:tc>
          <w:tcPr>
            <w:tcW w:type="dxa" w:w="864"/>
          </w:tcPr>
          <w:p>
            <w:pPr>
              <w:spacing w:after="20"/>
              <w:jc w:val="right"/>
            </w:pPr>
            <w:r>
              <w:rPr>
                <w:color w:val="1C3A36"/>
                <w:sz w:val="16"/>
              </w:rPr>
              <w:t>4,280</w:t>
            </w:r>
          </w:p>
        </w:tc>
        <w:tc>
          <w:tcPr>
            <w:tcW w:type="dxa" w:w="864"/>
          </w:tcPr>
          <w:p>
            <w:pPr>
              <w:spacing w:after="20"/>
              <w:jc w:val="right"/>
            </w:pPr>
            <w:r>
              <w:rPr>
                <w:color w:val="1C3A36"/>
                <w:sz w:val="16"/>
              </w:rPr>
              <w:t>6,420</w:t>
            </w:r>
          </w:p>
        </w:tc>
        <w:tc>
          <w:tcPr>
            <w:tcW w:type="dxa" w:w="864"/>
          </w:tcPr>
          <w:p>
            <w:pPr>
              <w:spacing w:after="20"/>
              <w:jc w:val="right"/>
            </w:pPr>
            <w:r>
              <w:rPr>
                <w:color w:val="1C3A36"/>
                <w:sz w:val="16"/>
              </w:rPr>
              <w:t>9,090</w:t>
            </w:r>
          </w:p>
        </w:tc>
        <w:tc>
          <w:tcPr>
            <w:tcW w:type="dxa" w:w="864"/>
          </w:tcPr>
          <w:p>
            <w:pPr>
              <w:spacing w:after="20"/>
              <w:jc w:val="right"/>
            </w:pPr>
            <w:r>
              <w:rPr>
                <w:color w:val="1C3A36"/>
                <w:sz w:val="16"/>
              </w:rPr>
              <w:t>9,732</w:t>
            </w:r>
          </w:p>
        </w:tc>
        <w:tc>
          <w:tcPr>
            <w:tcW w:type="dxa" w:w="864"/>
          </w:tcPr>
          <w:p>
            <w:pPr>
              <w:spacing w:after="20"/>
              <w:jc w:val="right"/>
            </w:pPr>
            <w:r>
              <w:rPr>
                <w:color w:val="1C3A36"/>
                <w:sz w:val="16"/>
              </w:rPr>
              <w:t>10,424</w:t>
            </w:r>
          </w:p>
        </w:tc>
        <w:tc>
          <w:tcPr>
            <w:tcW w:type="dxa" w:w="864"/>
          </w:tcPr>
          <w:p>
            <w:pPr>
              <w:spacing w:after="20"/>
              <w:jc w:val="right"/>
            </w:pPr>
            <w:r>
              <w:rPr>
                <w:color w:val="1C3A36"/>
                <w:sz w:val="16"/>
              </w:rPr>
              <w:t>11,219</w:t>
            </w:r>
          </w:p>
        </w:tc>
        <w:tc>
          <w:tcPr>
            <w:tcW w:type="dxa" w:w="864"/>
          </w:tcPr>
          <w:p>
            <w:pPr>
              <w:spacing w:after="20"/>
              <w:jc w:val="right"/>
            </w:pPr>
            <w:r>
              <w:rPr>
                <w:color w:val="1C3A36"/>
                <w:sz w:val="16"/>
              </w:rPr>
              <w:t>12,132</w:t>
            </w:r>
          </w:p>
        </w:tc>
        <w:tc>
          <w:tcPr>
            <w:tcW w:type="dxa" w:w="864"/>
          </w:tcPr>
          <w:p>
            <w:pPr>
              <w:spacing w:after="20"/>
              <w:jc w:val="right"/>
            </w:pPr>
            <w:r>
              <w:rPr>
                <w:color w:val="1C3A36"/>
                <w:sz w:val="16"/>
              </w:rPr>
              <w:t>13,069</w:t>
            </w:r>
          </w:p>
        </w:tc>
      </w:tr>
      <w:tr>
        <w:tc>
          <w:tcPr>
            <w:tcW w:type="dxa" w:w="2909"/>
          </w:tcPr>
          <w:p>
            <w:pPr>
              <w:spacing w:after="20"/>
            </w:pPr>
            <w:r>
              <w:rPr>
                <w:color w:val="1C3A36"/>
                <w:sz w:val="16"/>
              </w:rPr>
              <w:t>EBITDA  (derived)</w:t>
            </w:r>
          </w:p>
        </w:tc>
        <w:tc>
          <w:tcPr>
            <w:tcW w:type="dxa" w:w="864"/>
          </w:tcPr>
          <w:p>
            <w:pPr>
              <w:spacing w:after="20"/>
              <w:jc w:val="right"/>
            </w:pPr>
            <w:r>
              <w:rPr>
                <w:color w:val="1C3A36"/>
                <w:sz w:val="16"/>
              </w:rPr>
              <w:t>83</w:t>
            </w:r>
          </w:p>
        </w:tc>
        <w:tc>
          <w:tcPr>
            <w:tcW w:type="dxa" w:w="864"/>
          </w:tcPr>
          <w:p>
            <w:pPr>
              <w:spacing w:after="20"/>
              <w:jc w:val="right"/>
            </w:pPr>
            <w:r>
              <w:rPr>
                <w:color w:val="1C3A36"/>
                <w:sz w:val="16"/>
              </w:rPr>
              <w:t>1,590</w:t>
            </w:r>
          </w:p>
        </w:tc>
        <w:tc>
          <w:tcPr>
            <w:tcW w:type="dxa" w:w="864"/>
          </w:tcPr>
          <w:p>
            <w:pPr>
              <w:spacing w:after="20"/>
              <w:jc w:val="right"/>
            </w:pPr>
            <w:r>
              <w:rPr>
                <w:color w:val="1C3A36"/>
                <w:sz w:val="16"/>
              </w:rPr>
              <w:t>2,542</w:t>
            </w:r>
          </w:p>
        </w:tc>
        <w:tc>
          <w:tcPr>
            <w:tcW w:type="dxa" w:w="864"/>
          </w:tcPr>
          <w:p>
            <w:pPr>
              <w:spacing w:after="20"/>
              <w:jc w:val="right"/>
            </w:pPr>
            <w:r>
              <w:rPr>
                <w:color w:val="1C3A36"/>
                <w:sz w:val="16"/>
              </w:rPr>
              <w:t>2,968</w:t>
            </w:r>
          </w:p>
        </w:tc>
        <w:tc>
          <w:tcPr>
            <w:tcW w:type="dxa" w:w="864"/>
          </w:tcPr>
          <w:p>
            <w:pPr>
              <w:spacing w:after="20"/>
              <w:jc w:val="right"/>
            </w:pPr>
            <w:r>
              <w:rPr>
                <w:color w:val="1C3A36"/>
                <w:sz w:val="16"/>
              </w:rPr>
              <w:t>2,971</w:t>
            </w:r>
          </w:p>
        </w:tc>
        <w:tc>
          <w:tcPr>
            <w:tcW w:type="dxa" w:w="864"/>
          </w:tcPr>
          <w:p>
            <w:pPr>
              <w:spacing w:after="20"/>
              <w:jc w:val="right"/>
            </w:pPr>
            <w:r>
              <w:rPr>
                <w:color w:val="1C3A36"/>
                <w:sz w:val="16"/>
              </w:rPr>
              <w:t>3,029</w:t>
            </w:r>
          </w:p>
        </w:tc>
        <w:tc>
          <w:tcPr>
            <w:tcW w:type="dxa" w:w="864"/>
          </w:tcPr>
          <w:p>
            <w:pPr>
              <w:spacing w:after="20"/>
              <w:jc w:val="right"/>
            </w:pPr>
            <w:r>
              <w:rPr>
                <w:color w:val="1C3A36"/>
                <w:sz w:val="16"/>
              </w:rPr>
              <w:t>3,215</w:t>
            </w:r>
          </w:p>
        </w:tc>
        <w:tc>
          <w:tcPr>
            <w:tcW w:type="dxa" w:w="864"/>
          </w:tcPr>
          <w:p>
            <w:pPr>
              <w:spacing w:after="20"/>
              <w:jc w:val="right"/>
            </w:pPr>
            <w:r>
              <w:rPr>
                <w:color w:val="1C3A36"/>
                <w:sz w:val="16"/>
              </w:rPr>
              <w:t>3,398</w:t>
            </w:r>
          </w:p>
        </w:tc>
      </w:tr>
      <w:tr>
        <w:tc>
          <w:tcPr>
            <w:tcW w:type="dxa" w:w="2909"/>
          </w:tcPr>
          <w:p>
            <w:pPr>
              <w:spacing w:after="20"/>
            </w:pPr>
            <w:r>
              <w:rPr>
                <w:color w:val="1C3A36"/>
                <w:sz w:val="16"/>
              </w:rPr>
              <w:t>EBITDA margin</w:t>
            </w:r>
          </w:p>
        </w:tc>
        <w:tc>
          <w:tcPr>
            <w:tcW w:type="dxa" w:w="864"/>
          </w:tcPr>
          <w:p>
            <w:pPr>
              <w:spacing w:after="20"/>
              <w:jc w:val="right"/>
            </w:pPr>
            <w:r>
              <w:rPr>
                <w:color w:val="1C3A36"/>
                <w:sz w:val="16"/>
              </w:rPr>
              <w:t>1.9%</w:t>
            </w:r>
          </w:p>
        </w:tc>
        <w:tc>
          <w:tcPr>
            <w:tcW w:type="dxa" w:w="864"/>
          </w:tcPr>
          <w:p>
            <w:pPr>
              <w:spacing w:after="20"/>
              <w:jc w:val="right"/>
            </w:pPr>
            <w:r>
              <w:rPr>
                <w:color w:val="1C3A36"/>
                <w:sz w:val="16"/>
              </w:rPr>
              <w:t>24.8%</w:t>
            </w:r>
          </w:p>
        </w:tc>
        <w:tc>
          <w:tcPr>
            <w:tcW w:type="dxa" w:w="864"/>
          </w:tcPr>
          <w:p>
            <w:pPr>
              <w:spacing w:after="20"/>
              <w:jc w:val="right"/>
            </w:pPr>
            <w:r>
              <w:rPr>
                <w:color w:val="1C3A36"/>
                <w:sz w:val="16"/>
              </w:rPr>
              <w:t>28.0%</w:t>
            </w:r>
          </w:p>
        </w:tc>
        <w:tc>
          <w:tcPr>
            <w:tcW w:type="dxa" w:w="864"/>
          </w:tcPr>
          <w:p>
            <w:pPr>
              <w:spacing w:after="20"/>
              <w:jc w:val="right"/>
            </w:pPr>
            <w:r>
              <w:rPr>
                <w:color w:val="1C3A36"/>
                <w:sz w:val="16"/>
              </w:rPr>
              <w:t>30.5%</w:t>
            </w:r>
          </w:p>
        </w:tc>
        <w:tc>
          <w:tcPr>
            <w:tcW w:type="dxa" w:w="864"/>
          </w:tcPr>
          <w:p>
            <w:pPr>
              <w:spacing w:after="20"/>
              <w:jc w:val="right"/>
            </w:pPr>
            <w:r>
              <w:rPr>
                <w:color w:val="1C3A36"/>
                <w:sz w:val="16"/>
              </w:rPr>
              <w:t>28.5%</w:t>
            </w:r>
          </w:p>
        </w:tc>
        <w:tc>
          <w:tcPr>
            <w:tcW w:type="dxa" w:w="864"/>
          </w:tcPr>
          <w:p>
            <w:pPr>
              <w:spacing w:after="20"/>
              <w:jc w:val="right"/>
            </w:pPr>
            <w:r>
              <w:rPr>
                <w:color w:val="1C3A36"/>
                <w:sz w:val="16"/>
              </w:rPr>
              <w:t>27.0%</w:t>
            </w:r>
          </w:p>
        </w:tc>
        <w:tc>
          <w:tcPr>
            <w:tcW w:type="dxa" w:w="864"/>
          </w:tcPr>
          <w:p>
            <w:pPr>
              <w:spacing w:after="20"/>
              <w:jc w:val="right"/>
            </w:pPr>
            <w:r>
              <w:rPr>
                <w:color w:val="1C3A36"/>
                <w:sz w:val="16"/>
              </w:rPr>
              <w:t>26.5%</w:t>
            </w:r>
          </w:p>
        </w:tc>
        <w:tc>
          <w:tcPr>
            <w:tcW w:type="dxa" w:w="864"/>
          </w:tcPr>
          <w:p>
            <w:pPr>
              <w:spacing w:after="20"/>
              <w:jc w:val="right"/>
            </w:pPr>
            <w:r>
              <w:rPr>
                <w:color w:val="1C3A36"/>
                <w:sz w:val="16"/>
              </w:rPr>
              <w:t>26.0%</w:t>
            </w:r>
          </w:p>
        </w:tc>
      </w:tr>
      <w:tr>
        <w:tc>
          <w:tcPr>
            <w:tcW w:type="dxa" w:w="2909"/>
          </w:tcPr>
          <w:p>
            <w:pPr>
              <w:spacing w:after="20"/>
            </w:pPr>
            <w:r>
              <w:rPr>
                <w:color w:val="1C3A36"/>
                <w:sz w:val="16"/>
              </w:rPr>
              <w:t>Depreciation &amp; amortisation  (derived)</w:t>
            </w:r>
          </w:p>
        </w:tc>
        <w:tc>
          <w:tcPr>
            <w:tcW w:type="dxa" w:w="864"/>
          </w:tcPr>
          <w:p>
            <w:pPr>
              <w:spacing w:after="20"/>
              <w:jc w:val="right"/>
            </w:pPr>
            <w:r>
              <w:rPr>
                <w:color w:val="1C3A36"/>
                <w:sz w:val="16"/>
              </w:rPr>
              <w:t>402</w:t>
            </w:r>
          </w:p>
        </w:tc>
        <w:tc>
          <w:tcPr>
            <w:tcW w:type="dxa" w:w="864"/>
          </w:tcPr>
          <w:p>
            <w:pPr>
              <w:spacing w:after="20"/>
              <w:jc w:val="right"/>
            </w:pPr>
            <w:r>
              <w:rPr>
                <w:color w:val="1C3A36"/>
                <w:sz w:val="16"/>
              </w:rPr>
              <w:t>398</w:t>
            </w:r>
          </w:p>
        </w:tc>
        <w:tc>
          <w:tcPr>
            <w:tcW w:type="dxa" w:w="864"/>
          </w:tcPr>
          <w:p>
            <w:pPr>
              <w:spacing w:after="20"/>
              <w:jc w:val="right"/>
            </w:pPr>
            <w:r>
              <w:rPr>
                <w:color w:val="1C3A36"/>
                <w:sz w:val="16"/>
              </w:rPr>
              <w:t>418</w:t>
            </w:r>
          </w:p>
        </w:tc>
        <w:tc>
          <w:tcPr>
            <w:tcW w:type="dxa" w:w="864"/>
          </w:tcPr>
          <w:p>
            <w:pPr>
              <w:spacing w:after="20"/>
              <w:jc w:val="right"/>
            </w:pPr>
            <w:r>
              <w:rPr>
                <w:color w:val="1C3A36"/>
                <w:sz w:val="16"/>
              </w:rPr>
              <w:t>448</w:t>
            </w:r>
          </w:p>
        </w:tc>
        <w:tc>
          <w:tcPr>
            <w:tcW w:type="dxa" w:w="864"/>
          </w:tcPr>
          <w:p>
            <w:pPr>
              <w:spacing w:after="20"/>
              <w:jc w:val="right"/>
            </w:pPr>
            <w:r>
              <w:rPr>
                <w:color w:val="1C3A36"/>
                <w:sz w:val="16"/>
              </w:rPr>
              <w:t>469</w:t>
            </w:r>
          </w:p>
        </w:tc>
        <w:tc>
          <w:tcPr>
            <w:tcW w:type="dxa" w:w="864"/>
          </w:tcPr>
          <w:p>
            <w:pPr>
              <w:spacing w:after="20"/>
              <w:jc w:val="right"/>
            </w:pPr>
            <w:r>
              <w:rPr>
                <w:color w:val="1C3A36"/>
                <w:sz w:val="16"/>
              </w:rPr>
              <w:t>494</w:t>
            </w:r>
          </w:p>
        </w:tc>
        <w:tc>
          <w:tcPr>
            <w:tcW w:type="dxa" w:w="864"/>
          </w:tcPr>
          <w:p>
            <w:pPr>
              <w:spacing w:after="20"/>
              <w:jc w:val="right"/>
            </w:pPr>
            <w:r>
              <w:rPr>
                <w:color w:val="1C3A36"/>
                <w:sz w:val="16"/>
              </w:rPr>
              <w:t>522</w:t>
            </w:r>
          </w:p>
        </w:tc>
        <w:tc>
          <w:tcPr>
            <w:tcW w:type="dxa" w:w="864"/>
          </w:tcPr>
          <w:p>
            <w:pPr>
              <w:spacing w:after="20"/>
              <w:jc w:val="right"/>
            </w:pPr>
            <w:r>
              <w:rPr>
                <w:color w:val="1C3A36"/>
                <w:sz w:val="16"/>
              </w:rPr>
              <w:t>549</w:t>
            </w:r>
          </w:p>
        </w:tc>
      </w:tr>
      <w:tr>
        <w:tc>
          <w:tcPr>
            <w:tcW w:type="dxa" w:w="2909"/>
          </w:tcPr>
          <w:p>
            <w:pPr>
              <w:spacing w:after="20"/>
            </w:pPr>
            <w:r>
              <w:rPr>
                <w:color w:val="1C3A36"/>
                <w:sz w:val="16"/>
              </w:rPr>
              <w:t>EBIT  (derived)</w:t>
            </w:r>
          </w:p>
        </w:tc>
        <w:tc>
          <w:tcPr>
            <w:tcW w:type="dxa" w:w="864"/>
          </w:tcPr>
          <w:p>
            <w:pPr>
              <w:spacing w:after="20"/>
              <w:jc w:val="right"/>
            </w:pPr>
            <w:r>
              <w:rPr>
                <w:color w:val="1C3A36"/>
                <w:sz w:val="16"/>
              </w:rPr>
              <w:t>-319</w:t>
            </w:r>
          </w:p>
        </w:tc>
        <w:tc>
          <w:tcPr>
            <w:tcW w:type="dxa" w:w="864"/>
          </w:tcPr>
          <w:p>
            <w:pPr>
              <w:spacing w:after="20"/>
              <w:jc w:val="right"/>
            </w:pPr>
            <w:r>
              <w:rPr>
                <w:color w:val="1C3A36"/>
                <w:sz w:val="16"/>
              </w:rPr>
              <w:t>1,192</w:t>
            </w:r>
          </w:p>
        </w:tc>
        <w:tc>
          <w:tcPr>
            <w:tcW w:type="dxa" w:w="864"/>
          </w:tcPr>
          <w:p>
            <w:pPr>
              <w:spacing w:after="20"/>
              <w:jc w:val="right"/>
            </w:pPr>
            <w:r>
              <w:rPr>
                <w:color w:val="1C3A36"/>
                <w:sz w:val="16"/>
              </w:rPr>
              <w:t>2,124</w:t>
            </w:r>
          </w:p>
        </w:tc>
        <w:tc>
          <w:tcPr>
            <w:tcW w:type="dxa" w:w="864"/>
          </w:tcPr>
          <w:p>
            <w:pPr>
              <w:spacing w:after="20"/>
              <w:jc w:val="right"/>
            </w:pPr>
            <w:r>
              <w:rPr>
                <w:color w:val="1C3A36"/>
                <w:sz w:val="16"/>
              </w:rPr>
              <w:t>2,521</w:t>
            </w:r>
          </w:p>
        </w:tc>
        <w:tc>
          <w:tcPr>
            <w:tcW w:type="dxa" w:w="864"/>
          </w:tcPr>
          <w:p>
            <w:pPr>
              <w:spacing w:after="20"/>
              <w:jc w:val="right"/>
            </w:pPr>
            <w:r>
              <w:rPr>
                <w:color w:val="1C3A36"/>
                <w:sz w:val="16"/>
              </w:rPr>
              <w:t>2,502</w:t>
            </w:r>
          </w:p>
        </w:tc>
        <w:tc>
          <w:tcPr>
            <w:tcW w:type="dxa" w:w="864"/>
          </w:tcPr>
          <w:p>
            <w:pPr>
              <w:spacing w:after="20"/>
              <w:jc w:val="right"/>
            </w:pPr>
            <w:r>
              <w:rPr>
                <w:color w:val="1C3A36"/>
                <w:sz w:val="16"/>
              </w:rPr>
              <w:t>2,535</w:t>
            </w:r>
          </w:p>
        </w:tc>
        <w:tc>
          <w:tcPr>
            <w:tcW w:type="dxa" w:w="864"/>
          </w:tcPr>
          <w:p>
            <w:pPr>
              <w:spacing w:after="20"/>
              <w:jc w:val="right"/>
            </w:pPr>
            <w:r>
              <w:rPr>
                <w:color w:val="1C3A36"/>
                <w:sz w:val="16"/>
              </w:rPr>
              <w:t>2,693</w:t>
            </w:r>
          </w:p>
        </w:tc>
        <w:tc>
          <w:tcPr>
            <w:tcW w:type="dxa" w:w="864"/>
          </w:tcPr>
          <w:p>
            <w:pPr>
              <w:spacing w:after="20"/>
              <w:jc w:val="right"/>
            </w:pPr>
            <w:r>
              <w:rPr>
                <w:color w:val="1C3A36"/>
                <w:sz w:val="16"/>
              </w:rPr>
              <w:t>2,849</w:t>
            </w:r>
          </w:p>
        </w:tc>
      </w:tr>
      <w:tr>
        <w:tc>
          <w:tcPr>
            <w:tcW w:type="dxa" w:w="2909"/>
          </w:tcPr>
          <w:p>
            <w:pPr>
              <w:spacing w:after="20"/>
            </w:pPr>
            <w:r>
              <w:rPr>
                <w:color w:val="1C3A36"/>
                <w:sz w:val="16"/>
              </w:rPr>
              <w:t>Treasury income  (derived)</w:t>
            </w:r>
          </w:p>
        </w:tc>
        <w:tc>
          <w:tcPr>
            <w:tcW w:type="dxa" w:w="864"/>
          </w:tcPr>
          <w:p>
            <w:pPr>
              <w:spacing w:after="20"/>
              <w:jc w:val="right"/>
            </w:pPr>
            <w:r>
              <w:rPr>
                <w:color w:val="1C3A36"/>
                <w:sz w:val="16"/>
              </w:rPr>
              <w:t>198</w:t>
            </w:r>
          </w:p>
        </w:tc>
        <w:tc>
          <w:tcPr>
            <w:tcW w:type="dxa" w:w="864"/>
          </w:tcPr>
          <w:p>
            <w:pPr>
              <w:spacing w:after="20"/>
              <w:jc w:val="right"/>
            </w:pPr>
            <w:r>
              <w:rPr>
                <w:color w:val="1C3A36"/>
                <w:sz w:val="16"/>
              </w:rPr>
              <w:t>831</w:t>
            </w:r>
          </w:p>
        </w:tc>
        <w:tc>
          <w:tcPr>
            <w:tcW w:type="dxa" w:w="864"/>
          </w:tcPr>
          <w:p>
            <w:pPr>
              <w:spacing w:after="20"/>
              <w:jc w:val="right"/>
            </w:pPr>
            <w:r>
              <w:rPr>
                <w:color w:val="1C3A36"/>
                <w:sz w:val="16"/>
              </w:rPr>
              <w:t>831</w:t>
            </w:r>
          </w:p>
        </w:tc>
        <w:tc>
          <w:tcPr>
            <w:tcW w:type="dxa" w:w="864"/>
          </w:tcPr>
          <w:p>
            <w:pPr>
              <w:spacing w:after="20"/>
              <w:jc w:val="right"/>
            </w:pPr>
            <w:r>
              <w:rPr>
                <w:color w:val="1C3A36"/>
                <w:sz w:val="16"/>
              </w:rPr>
              <w:t>1,015</w:t>
            </w:r>
          </w:p>
        </w:tc>
        <w:tc>
          <w:tcPr>
            <w:tcW w:type="dxa" w:w="864"/>
          </w:tcPr>
          <w:p>
            <w:pPr>
              <w:spacing w:after="20"/>
              <w:jc w:val="right"/>
            </w:pPr>
            <w:r>
              <w:rPr>
                <w:color w:val="1C3A36"/>
                <w:sz w:val="16"/>
              </w:rPr>
              <w:t>1,079</w:t>
            </w:r>
          </w:p>
        </w:tc>
        <w:tc>
          <w:tcPr>
            <w:tcW w:type="dxa" w:w="864"/>
          </w:tcPr>
          <w:p>
            <w:pPr>
              <w:spacing w:after="20"/>
              <w:jc w:val="right"/>
            </w:pPr>
            <w:r>
              <w:rPr>
                <w:color w:val="1C3A36"/>
                <w:sz w:val="16"/>
              </w:rPr>
              <w:t>1,106</w:t>
            </w:r>
          </w:p>
        </w:tc>
        <w:tc>
          <w:tcPr>
            <w:tcW w:type="dxa" w:w="864"/>
          </w:tcPr>
          <w:p>
            <w:pPr>
              <w:spacing w:after="20"/>
              <w:jc w:val="right"/>
            </w:pPr>
            <w:r>
              <w:rPr>
                <w:color w:val="1C3A36"/>
                <w:sz w:val="16"/>
              </w:rPr>
              <w:t>1,135</w:t>
            </w:r>
          </w:p>
        </w:tc>
        <w:tc>
          <w:tcPr>
            <w:tcW w:type="dxa" w:w="864"/>
          </w:tcPr>
          <w:p>
            <w:pPr>
              <w:spacing w:after="20"/>
              <w:jc w:val="right"/>
            </w:pPr>
            <w:r>
              <w:rPr>
                <w:color w:val="1C3A36"/>
                <w:sz w:val="16"/>
              </w:rPr>
              <w:t>1,185</w:t>
            </w:r>
          </w:p>
        </w:tc>
      </w:tr>
      <w:tr>
        <w:tc>
          <w:tcPr>
            <w:tcW w:type="dxa" w:w="2909"/>
          </w:tcPr>
          <w:p>
            <w:pPr>
              <w:spacing w:after="20"/>
            </w:pPr>
            <w:r>
              <w:rPr>
                <w:color w:val="1C3A36"/>
                <w:sz w:val="16"/>
              </w:rPr>
              <w:t>Gain on disposal</w:t>
            </w:r>
          </w:p>
        </w:tc>
        <w:tc>
          <w:tcPr>
            <w:tcW w:type="dxa" w:w="864"/>
          </w:tcPr>
          <w:p>
            <w:pPr>
              <w:spacing w:after="20"/>
              <w:jc w:val="right"/>
            </w:pPr>
            <w:r>
              <w:rPr>
                <w:color w:val="1C3A36"/>
                <w:sz w:val="16"/>
              </w:rPr>
              <w:t>—</w:t>
            </w:r>
          </w:p>
        </w:tc>
        <w:tc>
          <w:tcPr>
            <w:tcW w:type="dxa" w:w="864"/>
          </w:tcPr>
          <w:p>
            <w:pPr>
              <w:spacing w:after="20"/>
              <w:jc w:val="right"/>
            </w:pPr>
            <w:r>
              <w:rPr>
                <w:color w:val="1C3A36"/>
                <w:sz w:val="16"/>
              </w:rPr>
              <w:t>1,502</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r>
      <w:tr>
        <w:tc>
          <w:tcPr>
            <w:tcW w:type="dxa" w:w="2909"/>
          </w:tcPr>
          <w:p>
            <w:pPr>
              <w:spacing w:after="20"/>
            </w:pPr>
            <w:r>
              <w:rPr>
                <w:color w:val="1C3A36"/>
                <w:sz w:val="16"/>
              </w:rPr>
              <w:t>Profit after tax  (disclosed / forecast)</w:t>
            </w:r>
          </w:p>
        </w:tc>
        <w:tc>
          <w:tcPr>
            <w:tcW w:type="dxa" w:w="864"/>
          </w:tcPr>
          <w:p>
            <w:pPr>
              <w:spacing w:after="20"/>
              <w:jc w:val="right"/>
            </w:pPr>
            <w:r>
              <w:rPr>
                <w:color w:val="1C3A36"/>
                <w:sz w:val="16"/>
              </w:rPr>
              <w:t>-121</w:t>
            </w:r>
          </w:p>
        </w:tc>
        <w:tc>
          <w:tcPr>
            <w:tcW w:type="dxa" w:w="864"/>
          </w:tcPr>
          <w:p>
            <w:pPr>
              <w:spacing w:after="20"/>
              <w:jc w:val="right"/>
            </w:pPr>
            <w:r>
              <w:rPr>
                <w:color w:val="1C3A36"/>
                <w:sz w:val="16"/>
              </w:rPr>
              <w:t>3,070</w:t>
            </w:r>
          </w:p>
        </w:tc>
        <w:tc>
          <w:tcPr>
            <w:tcW w:type="dxa" w:w="864"/>
          </w:tcPr>
          <w:p>
            <w:pPr>
              <w:spacing w:after="20"/>
              <w:jc w:val="right"/>
            </w:pPr>
            <w:r>
              <w:rPr>
                <w:color w:val="1C3A36"/>
                <w:sz w:val="16"/>
              </w:rPr>
              <w:t>2,290</w:t>
            </w:r>
          </w:p>
        </w:tc>
        <w:tc>
          <w:tcPr>
            <w:tcW w:type="dxa" w:w="864"/>
          </w:tcPr>
          <w:p>
            <w:pPr>
              <w:spacing w:after="20"/>
              <w:jc w:val="right"/>
            </w:pPr>
            <w:r>
              <w:rPr>
                <w:color w:val="1C3A36"/>
                <w:sz w:val="16"/>
              </w:rPr>
              <w:t>2,740</w:t>
            </w:r>
          </w:p>
        </w:tc>
        <w:tc>
          <w:tcPr>
            <w:tcW w:type="dxa" w:w="864"/>
          </w:tcPr>
          <w:p>
            <w:pPr>
              <w:spacing w:after="20"/>
              <w:jc w:val="right"/>
            </w:pPr>
            <w:r>
              <w:rPr>
                <w:color w:val="1C3A36"/>
                <w:sz w:val="16"/>
              </w:rPr>
              <w:t>2,775</w:t>
            </w:r>
          </w:p>
        </w:tc>
        <w:tc>
          <w:tcPr>
            <w:tcW w:type="dxa" w:w="864"/>
          </w:tcPr>
          <w:p>
            <w:pPr>
              <w:spacing w:after="20"/>
              <w:jc w:val="right"/>
            </w:pPr>
            <w:r>
              <w:rPr>
                <w:color w:val="1C3A36"/>
                <w:sz w:val="16"/>
              </w:rPr>
              <w:t>2,822</w:t>
            </w:r>
          </w:p>
        </w:tc>
        <w:tc>
          <w:tcPr>
            <w:tcW w:type="dxa" w:w="864"/>
          </w:tcPr>
          <w:p>
            <w:pPr>
              <w:spacing w:after="20"/>
              <w:jc w:val="right"/>
            </w:pPr>
            <w:r>
              <w:rPr>
                <w:color w:val="1C3A36"/>
                <w:sz w:val="16"/>
              </w:rPr>
              <w:t>2,967</w:t>
            </w:r>
          </w:p>
        </w:tc>
        <w:tc>
          <w:tcPr>
            <w:tcW w:type="dxa" w:w="864"/>
          </w:tcPr>
          <w:p>
            <w:pPr>
              <w:spacing w:after="20"/>
              <w:jc w:val="right"/>
            </w:pPr>
            <w:r>
              <w:rPr>
                <w:color w:val="1C3A36"/>
                <w:sz w:val="16"/>
              </w:rPr>
              <w:t>3,127</w:t>
            </w:r>
          </w:p>
        </w:tc>
      </w:tr>
      <w:tr>
        <w:tc>
          <w:tcPr>
            <w:tcW w:type="dxa" w:w="2909"/>
          </w:tcPr>
          <w:p>
            <w:pPr>
              <w:spacing w:after="20"/>
            </w:pPr>
            <w:r>
              <w:rPr>
                <w:color w:val="1C3A36"/>
                <w:sz w:val="16"/>
              </w:rPr>
              <w:t>Earnings per share (EGP)</w:t>
            </w:r>
          </w:p>
        </w:tc>
        <w:tc>
          <w:tcPr>
            <w:tcW w:type="dxa" w:w="864"/>
          </w:tcPr>
          <w:p>
            <w:pPr>
              <w:spacing w:after="20"/>
              <w:jc w:val="right"/>
            </w:pPr>
            <w:r>
              <w:rPr>
                <w:color w:val="1C3A36"/>
                <w:sz w:val="16"/>
              </w:rPr>
              <w:t>-0.47</w:t>
            </w:r>
          </w:p>
        </w:tc>
        <w:tc>
          <w:tcPr>
            <w:tcW w:type="dxa" w:w="864"/>
          </w:tcPr>
          <w:p>
            <w:pPr>
              <w:spacing w:after="20"/>
              <w:jc w:val="right"/>
            </w:pPr>
            <w:r>
              <w:rPr>
                <w:color w:val="1C3A36"/>
                <w:sz w:val="16"/>
              </w:rPr>
              <w:t>11.77</w:t>
            </w:r>
          </w:p>
        </w:tc>
        <w:tc>
          <w:tcPr>
            <w:tcW w:type="dxa" w:w="864"/>
          </w:tcPr>
          <w:p>
            <w:pPr>
              <w:spacing w:after="20"/>
              <w:jc w:val="right"/>
            </w:pPr>
            <w:r>
              <w:rPr>
                <w:color w:val="1C3A36"/>
                <w:sz w:val="16"/>
              </w:rPr>
              <w:t>8.78</w:t>
            </w:r>
          </w:p>
        </w:tc>
        <w:tc>
          <w:tcPr>
            <w:tcW w:type="dxa" w:w="864"/>
          </w:tcPr>
          <w:p>
            <w:pPr>
              <w:spacing w:after="20"/>
              <w:jc w:val="right"/>
            </w:pPr>
            <w:r>
              <w:rPr>
                <w:color w:val="1C3A36"/>
                <w:sz w:val="16"/>
              </w:rPr>
              <w:t>10.51</w:t>
            </w:r>
          </w:p>
        </w:tc>
        <w:tc>
          <w:tcPr>
            <w:tcW w:type="dxa" w:w="864"/>
          </w:tcPr>
          <w:p>
            <w:pPr>
              <w:spacing w:after="20"/>
              <w:jc w:val="right"/>
            </w:pPr>
            <w:r>
              <w:rPr>
                <w:color w:val="1C3A36"/>
                <w:sz w:val="16"/>
              </w:rPr>
              <w:t>10.64</w:t>
            </w:r>
          </w:p>
        </w:tc>
        <w:tc>
          <w:tcPr>
            <w:tcW w:type="dxa" w:w="864"/>
          </w:tcPr>
          <w:p>
            <w:pPr>
              <w:spacing w:after="20"/>
              <w:jc w:val="right"/>
            </w:pPr>
            <w:r>
              <w:rPr>
                <w:color w:val="1C3A36"/>
                <w:sz w:val="16"/>
              </w:rPr>
              <w:t>10.82</w:t>
            </w:r>
          </w:p>
        </w:tc>
        <w:tc>
          <w:tcPr>
            <w:tcW w:type="dxa" w:w="864"/>
          </w:tcPr>
          <w:p>
            <w:pPr>
              <w:spacing w:after="20"/>
              <w:jc w:val="right"/>
            </w:pPr>
            <w:r>
              <w:rPr>
                <w:color w:val="1C3A36"/>
                <w:sz w:val="16"/>
              </w:rPr>
              <w:t>11.37</w:t>
            </w:r>
          </w:p>
        </w:tc>
        <w:tc>
          <w:tcPr>
            <w:tcW w:type="dxa" w:w="864"/>
          </w:tcPr>
          <w:p>
            <w:pPr>
              <w:spacing w:after="20"/>
              <w:jc w:val="right"/>
            </w:pPr>
            <w:r>
              <w:rPr>
                <w:color w:val="1C3A36"/>
                <w:sz w:val="16"/>
              </w:rPr>
              <w:t>11.99</w:t>
            </w:r>
          </w:p>
        </w:tc>
      </w:tr>
    </w:tbl>
    <w:p>
      <w:pPr>
        <w:spacing w:after="40"/>
      </w:pPr>
    </w:p>
    <w:p>
      <w:pPr>
        <w:spacing w:after="200" w:before="0"/>
      </w:pPr>
      <w:r>
        <w:rPr>
          <w:b w:val="0"/>
          <w:i/>
          <w:color w:val="6E7B77"/>
          <w:sz w:val="17"/>
        </w:rPr>
        <w:t>Table A1 — Income statement. FY2024 contains the disposal gain and is not a base year for normalisation.</w:t>
      </w:r>
    </w:p>
    <w:p>
      <w:pPr>
        <w:spacing w:after="80" w:before="200"/>
      </w:pPr>
      <w:r>
        <w:rPr>
          <w:b/>
          <w:i w:val="0"/>
          <w:color w:val="1C3A36"/>
          <w:sz w:val="24"/>
        </w:rPr>
        <w:t>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64"/>
        <w:gridCol w:w="864"/>
        <w:gridCol w:w="864"/>
        <w:gridCol w:w="864"/>
        <w:gridCol w:w="864"/>
        <w:gridCol w:w="864"/>
        <w:gridCol w:w="864"/>
        <w:gridCol w:w="864"/>
      </w:tblGrid>
      <w:tr>
        <w:tc>
          <w:tcPr>
            <w:tcW w:type="dxa" w:w="2909"/>
            <w:shd w:val="clear" w:color="auto" w:fill="EAF0EE"/>
          </w:tcPr>
          <w:p>
            <w:pPr>
              <w:spacing w:after="20"/>
            </w:pPr>
            <w:r>
              <w:rPr>
                <w:b/>
                <w:color w:val="1C3A36"/>
                <w:sz w:val="16"/>
              </w:rPr>
            </w:r>
          </w:p>
        </w:tc>
        <w:tc>
          <w:tcPr>
            <w:tcW w:type="dxa" w:w="864"/>
            <w:shd w:val="clear" w:color="auto" w:fill="EAF0EE"/>
          </w:tcPr>
          <w:p>
            <w:pPr>
              <w:spacing w:after="20"/>
            </w:pPr>
            <w:r>
              <w:rPr>
                <w:b/>
                <w:color w:val="1C3A36"/>
                <w:sz w:val="16"/>
              </w:rPr>
              <w:t>FY2023</w:t>
            </w:r>
          </w:p>
        </w:tc>
        <w:tc>
          <w:tcPr>
            <w:tcW w:type="dxa" w:w="864"/>
            <w:shd w:val="clear" w:color="auto" w:fill="EAF0EE"/>
          </w:tcPr>
          <w:p>
            <w:pPr>
              <w:spacing w:after="20"/>
            </w:pPr>
            <w:r>
              <w:rPr>
                <w:b/>
                <w:color w:val="1C3A36"/>
                <w:sz w:val="16"/>
              </w:rPr>
              <w:t>FY2024</w:t>
            </w:r>
          </w:p>
        </w:tc>
        <w:tc>
          <w:tcPr>
            <w:tcW w:type="dxa" w:w="864"/>
            <w:shd w:val="clear" w:color="auto" w:fill="EAF0EE"/>
          </w:tcPr>
          <w:p>
            <w:pPr>
              <w:spacing w:after="20"/>
            </w:pPr>
            <w:r>
              <w:rPr>
                <w:b/>
                <w:color w:val="1C3A36"/>
                <w:sz w:val="16"/>
              </w:rPr>
              <w:t>FY2025</w:t>
            </w:r>
          </w:p>
        </w:tc>
        <w:tc>
          <w:tcPr>
            <w:tcW w:type="dxa" w:w="864"/>
            <w:shd w:val="clear" w:color="auto" w:fill="EAF0EE"/>
          </w:tcPr>
          <w:p>
            <w:pPr>
              <w:spacing w:after="20"/>
            </w:pPr>
            <w:r>
              <w:rPr>
                <w:b/>
                <w:color w:val="1C3A36"/>
                <w:sz w:val="16"/>
              </w:rPr>
              <w:t>FY2026E</w:t>
            </w:r>
          </w:p>
        </w:tc>
        <w:tc>
          <w:tcPr>
            <w:tcW w:type="dxa" w:w="864"/>
            <w:shd w:val="clear" w:color="auto" w:fill="EAF0EE"/>
          </w:tcPr>
          <w:p>
            <w:pPr>
              <w:spacing w:after="20"/>
            </w:pPr>
            <w:r>
              <w:rPr>
                <w:b/>
                <w:color w:val="1C3A36"/>
                <w:sz w:val="16"/>
              </w:rPr>
              <w:t>FY2027E</w:t>
            </w:r>
          </w:p>
        </w:tc>
        <w:tc>
          <w:tcPr>
            <w:tcW w:type="dxa" w:w="864"/>
            <w:shd w:val="clear" w:color="auto" w:fill="EAF0EE"/>
          </w:tcPr>
          <w:p>
            <w:pPr>
              <w:spacing w:after="20"/>
            </w:pPr>
            <w:r>
              <w:rPr>
                <w:b/>
                <w:color w:val="1C3A36"/>
                <w:sz w:val="16"/>
              </w:rPr>
              <w:t>FY2028E</w:t>
            </w:r>
          </w:p>
        </w:tc>
        <w:tc>
          <w:tcPr>
            <w:tcW w:type="dxa" w:w="864"/>
            <w:shd w:val="clear" w:color="auto" w:fill="EAF0EE"/>
          </w:tcPr>
          <w:p>
            <w:pPr>
              <w:spacing w:after="20"/>
            </w:pPr>
            <w:r>
              <w:rPr>
                <w:b/>
                <w:color w:val="1C3A36"/>
                <w:sz w:val="16"/>
              </w:rPr>
              <w:t>FY2029E</w:t>
            </w:r>
          </w:p>
        </w:tc>
        <w:tc>
          <w:tcPr>
            <w:tcW w:type="dxa" w:w="864"/>
            <w:shd w:val="clear" w:color="auto" w:fill="EAF0EE"/>
          </w:tcPr>
          <w:p>
            <w:pPr>
              <w:spacing w:after="20"/>
            </w:pPr>
            <w:r>
              <w:rPr>
                <w:b/>
                <w:color w:val="1C3A36"/>
                <w:sz w:val="16"/>
              </w:rPr>
              <w:t>FY2030E</w:t>
            </w:r>
          </w:p>
        </w:tc>
      </w:tr>
      <w:tr>
        <w:tc>
          <w:tcPr>
            <w:tcW w:type="dxa" w:w="2909"/>
          </w:tcPr>
          <w:p>
            <w:pPr>
              <w:spacing w:after="20"/>
            </w:pPr>
            <w:r>
              <w:rPr>
                <w:color w:val="1C3A36"/>
                <w:sz w:val="16"/>
              </w:rPr>
              <w:t>Cash and equivalents</w:t>
            </w:r>
          </w:p>
        </w:tc>
        <w:tc>
          <w:tcPr>
            <w:tcW w:type="dxa" w:w="864"/>
          </w:tcPr>
          <w:p>
            <w:pPr>
              <w:spacing w:after="20"/>
              <w:jc w:val="right"/>
            </w:pPr>
            <w:r>
              <w:rPr>
                <w:color w:val="1C3A36"/>
                <w:sz w:val="16"/>
              </w:rPr>
              <w:t>1,385</w:t>
            </w:r>
          </w:p>
        </w:tc>
        <w:tc>
          <w:tcPr>
            <w:tcW w:type="dxa" w:w="864"/>
          </w:tcPr>
          <w:p>
            <w:pPr>
              <w:spacing w:after="20"/>
              <w:jc w:val="right"/>
            </w:pPr>
            <w:r>
              <w:rPr>
                <w:color w:val="1C3A36"/>
                <w:sz w:val="16"/>
              </w:rPr>
              <w:t>3,958</w:t>
            </w:r>
          </w:p>
        </w:tc>
        <w:tc>
          <w:tcPr>
            <w:tcW w:type="dxa" w:w="864"/>
          </w:tcPr>
          <w:p>
            <w:pPr>
              <w:spacing w:after="20"/>
              <w:jc w:val="right"/>
            </w:pPr>
            <w:r>
              <w:rPr>
                <w:color w:val="1C3A36"/>
                <w:sz w:val="16"/>
              </w:rPr>
              <w:t>5,344</w:t>
            </w:r>
          </w:p>
        </w:tc>
        <w:tc>
          <w:tcPr>
            <w:tcW w:type="dxa" w:w="864"/>
          </w:tcPr>
          <w:p>
            <w:pPr>
              <w:spacing w:after="20"/>
              <w:jc w:val="right"/>
            </w:pPr>
            <w:r>
              <w:rPr>
                <w:color w:val="1C3A36"/>
                <w:sz w:val="16"/>
              </w:rPr>
              <w:t>6,350</w:t>
            </w:r>
          </w:p>
        </w:tc>
        <w:tc>
          <w:tcPr>
            <w:tcW w:type="dxa" w:w="864"/>
          </w:tcPr>
          <w:p>
            <w:pPr>
              <w:spacing w:after="20"/>
              <w:jc w:val="right"/>
            </w:pPr>
            <w:r>
              <w:rPr>
                <w:color w:val="1C3A36"/>
                <w:sz w:val="16"/>
              </w:rPr>
              <w:t>7,373</w:t>
            </w:r>
          </w:p>
        </w:tc>
        <w:tc>
          <w:tcPr>
            <w:tcW w:type="dxa" w:w="864"/>
          </w:tcPr>
          <w:p>
            <w:pPr>
              <w:spacing w:after="20"/>
              <w:jc w:val="right"/>
            </w:pPr>
            <w:r>
              <w:rPr>
                <w:color w:val="1C3A36"/>
                <w:sz w:val="16"/>
              </w:rPr>
              <w:t>8,405</w:t>
            </w:r>
          </w:p>
        </w:tc>
        <w:tc>
          <w:tcPr>
            <w:tcW w:type="dxa" w:w="864"/>
          </w:tcPr>
          <w:p>
            <w:pPr>
              <w:spacing w:after="20"/>
              <w:jc w:val="right"/>
            </w:pPr>
            <w:r>
              <w:rPr>
                <w:color w:val="1C3A36"/>
                <w:sz w:val="16"/>
              </w:rPr>
              <w:t>9,482</w:t>
            </w:r>
          </w:p>
        </w:tc>
        <w:tc>
          <w:tcPr>
            <w:tcW w:type="dxa" w:w="864"/>
          </w:tcPr>
          <w:p>
            <w:pPr>
              <w:spacing w:after="20"/>
              <w:jc w:val="right"/>
            </w:pPr>
            <w:r>
              <w:rPr>
                <w:color w:val="1C3A36"/>
                <w:sz w:val="16"/>
              </w:rPr>
              <w:t>10,618</w:t>
            </w:r>
          </w:p>
        </w:tc>
      </w:tr>
      <w:tr>
        <w:tc>
          <w:tcPr>
            <w:tcW w:type="dxa" w:w="2909"/>
          </w:tcPr>
          <w:p>
            <w:pPr>
              <w:spacing w:after="20"/>
            </w:pPr>
            <w:r>
              <w:rPr>
                <w:color w:val="1C3A36"/>
                <w:sz w:val="16"/>
              </w:rPr>
              <w:t>Gross debt</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c>
          <w:tcPr>
            <w:tcW w:type="dxa" w:w="864"/>
          </w:tcPr>
          <w:p>
            <w:pPr>
              <w:spacing w:after="20"/>
              <w:jc w:val="right"/>
            </w:pPr>
            <w:r>
              <w:rPr>
                <w:color w:val="1C3A36"/>
                <w:sz w:val="16"/>
              </w:rPr>
              <w:t>36.8</w:t>
            </w:r>
          </w:p>
        </w:tc>
      </w:tr>
      <w:tr>
        <w:tc>
          <w:tcPr>
            <w:tcW w:type="dxa" w:w="2909"/>
          </w:tcPr>
          <w:p>
            <w:pPr>
              <w:spacing w:after="20"/>
            </w:pPr>
            <w:r>
              <w:rPr>
                <w:color w:val="1C3A36"/>
                <w:sz w:val="16"/>
              </w:rPr>
              <w:t>Net cash</w:t>
            </w:r>
          </w:p>
        </w:tc>
        <w:tc>
          <w:tcPr>
            <w:tcW w:type="dxa" w:w="864"/>
          </w:tcPr>
          <w:p>
            <w:pPr>
              <w:spacing w:after="20"/>
              <w:jc w:val="right"/>
            </w:pPr>
            <w:r>
              <w:rPr>
                <w:color w:val="1C3A36"/>
                <w:sz w:val="16"/>
              </w:rPr>
              <w:t>1,349</w:t>
            </w:r>
          </w:p>
        </w:tc>
        <w:tc>
          <w:tcPr>
            <w:tcW w:type="dxa" w:w="864"/>
          </w:tcPr>
          <w:p>
            <w:pPr>
              <w:spacing w:after="20"/>
              <w:jc w:val="right"/>
            </w:pPr>
            <w:r>
              <w:rPr>
                <w:color w:val="1C3A36"/>
                <w:sz w:val="16"/>
              </w:rPr>
              <w:t>3,922</w:t>
            </w:r>
          </w:p>
        </w:tc>
        <w:tc>
          <w:tcPr>
            <w:tcW w:type="dxa" w:w="864"/>
          </w:tcPr>
          <w:p>
            <w:pPr>
              <w:spacing w:after="20"/>
              <w:jc w:val="right"/>
            </w:pPr>
            <w:r>
              <w:rPr>
                <w:color w:val="1C3A36"/>
                <w:sz w:val="16"/>
              </w:rPr>
              <w:t>5,307</w:t>
            </w:r>
          </w:p>
        </w:tc>
        <w:tc>
          <w:tcPr>
            <w:tcW w:type="dxa" w:w="864"/>
          </w:tcPr>
          <w:p>
            <w:pPr>
              <w:spacing w:after="20"/>
              <w:jc w:val="right"/>
            </w:pPr>
            <w:r>
              <w:rPr>
                <w:color w:val="1C3A36"/>
                <w:sz w:val="16"/>
              </w:rPr>
              <w:t>6,313</w:t>
            </w:r>
          </w:p>
        </w:tc>
        <w:tc>
          <w:tcPr>
            <w:tcW w:type="dxa" w:w="864"/>
          </w:tcPr>
          <w:p>
            <w:pPr>
              <w:spacing w:after="20"/>
              <w:jc w:val="right"/>
            </w:pPr>
            <w:r>
              <w:rPr>
                <w:color w:val="1C3A36"/>
                <w:sz w:val="16"/>
              </w:rPr>
              <w:t>7,336</w:t>
            </w:r>
          </w:p>
        </w:tc>
        <w:tc>
          <w:tcPr>
            <w:tcW w:type="dxa" w:w="864"/>
          </w:tcPr>
          <w:p>
            <w:pPr>
              <w:spacing w:after="20"/>
              <w:jc w:val="right"/>
            </w:pPr>
            <w:r>
              <w:rPr>
                <w:color w:val="1C3A36"/>
                <w:sz w:val="16"/>
              </w:rPr>
              <w:t>8,368</w:t>
            </w:r>
          </w:p>
        </w:tc>
        <w:tc>
          <w:tcPr>
            <w:tcW w:type="dxa" w:w="864"/>
          </w:tcPr>
          <w:p>
            <w:pPr>
              <w:spacing w:after="20"/>
              <w:jc w:val="right"/>
            </w:pPr>
            <w:r>
              <w:rPr>
                <w:color w:val="1C3A36"/>
                <w:sz w:val="16"/>
              </w:rPr>
              <w:t>9,445</w:t>
            </w:r>
          </w:p>
        </w:tc>
        <w:tc>
          <w:tcPr>
            <w:tcW w:type="dxa" w:w="864"/>
          </w:tcPr>
          <w:p>
            <w:pPr>
              <w:spacing w:after="20"/>
              <w:jc w:val="right"/>
            </w:pPr>
            <w:r>
              <w:rPr>
                <w:color w:val="1C3A36"/>
                <w:sz w:val="16"/>
              </w:rPr>
              <w:t>10,582</w:t>
            </w:r>
          </w:p>
        </w:tc>
      </w:tr>
      <w:tr>
        <w:tc>
          <w:tcPr>
            <w:tcW w:type="dxa" w:w="2909"/>
          </w:tcPr>
          <w:p>
            <w:pPr>
              <w:spacing w:after="20"/>
            </w:pPr>
            <w:r>
              <w:rPr>
                <w:color w:val="1C3A36"/>
                <w:sz w:val="16"/>
              </w:rPr>
              <w:t>Shareholders' equity</w:t>
            </w:r>
          </w:p>
        </w:tc>
        <w:tc>
          <w:tcPr>
            <w:tcW w:type="dxa" w:w="864"/>
          </w:tcPr>
          <w:p>
            <w:pPr>
              <w:spacing w:after="20"/>
              <w:jc w:val="right"/>
            </w:pPr>
            <w:r>
              <w:rPr>
                <w:color w:val="1C3A36"/>
                <w:sz w:val="16"/>
              </w:rPr>
              <w:t>1,705</w:t>
            </w:r>
          </w:p>
        </w:tc>
        <w:tc>
          <w:tcPr>
            <w:tcW w:type="dxa" w:w="864"/>
          </w:tcPr>
          <w:p>
            <w:pPr>
              <w:spacing w:after="20"/>
              <w:jc w:val="right"/>
            </w:pPr>
            <w:r>
              <w:rPr>
                <w:color w:val="1C3A36"/>
                <w:sz w:val="16"/>
              </w:rPr>
              <w:t>4,775</w:t>
            </w:r>
          </w:p>
        </w:tc>
        <w:tc>
          <w:tcPr>
            <w:tcW w:type="dxa" w:w="864"/>
          </w:tcPr>
          <w:p>
            <w:pPr>
              <w:spacing w:after="20"/>
              <w:jc w:val="right"/>
            </w:pPr>
            <w:r>
              <w:rPr>
                <w:color w:val="1C3A36"/>
                <w:sz w:val="16"/>
              </w:rPr>
              <w:t>7,065</w:t>
            </w:r>
          </w:p>
        </w:tc>
        <w:tc>
          <w:tcPr>
            <w:tcW w:type="dxa" w:w="864"/>
          </w:tcPr>
          <w:p>
            <w:pPr>
              <w:spacing w:after="20"/>
              <w:jc w:val="right"/>
            </w:pPr>
            <w:r>
              <w:rPr>
                <w:color w:val="1C3A36"/>
                <w:sz w:val="16"/>
              </w:rPr>
              <w:t>8,161</w:t>
            </w:r>
          </w:p>
        </w:tc>
        <w:tc>
          <w:tcPr>
            <w:tcW w:type="dxa" w:w="864"/>
          </w:tcPr>
          <w:p>
            <w:pPr>
              <w:spacing w:after="20"/>
              <w:jc w:val="right"/>
            </w:pPr>
            <w:r>
              <w:rPr>
                <w:color w:val="1C3A36"/>
                <w:sz w:val="16"/>
              </w:rPr>
              <w:t>9,271</w:t>
            </w:r>
          </w:p>
        </w:tc>
        <w:tc>
          <w:tcPr>
            <w:tcW w:type="dxa" w:w="864"/>
          </w:tcPr>
          <w:p>
            <w:pPr>
              <w:spacing w:after="20"/>
              <w:jc w:val="right"/>
            </w:pPr>
            <w:r>
              <w:rPr>
                <w:color w:val="1C3A36"/>
                <w:sz w:val="16"/>
              </w:rPr>
              <w:t>10,400</w:t>
            </w:r>
          </w:p>
        </w:tc>
        <w:tc>
          <w:tcPr>
            <w:tcW w:type="dxa" w:w="864"/>
          </w:tcPr>
          <w:p>
            <w:pPr>
              <w:spacing w:after="20"/>
              <w:jc w:val="right"/>
            </w:pPr>
            <w:r>
              <w:rPr>
                <w:color w:val="1C3A36"/>
                <w:sz w:val="16"/>
              </w:rPr>
              <w:t>11,587</w:t>
            </w:r>
          </w:p>
        </w:tc>
        <w:tc>
          <w:tcPr>
            <w:tcW w:type="dxa" w:w="864"/>
          </w:tcPr>
          <w:p>
            <w:pPr>
              <w:spacing w:after="20"/>
              <w:jc w:val="right"/>
            </w:pPr>
            <w:r>
              <w:rPr>
                <w:color w:val="1C3A36"/>
                <w:sz w:val="16"/>
              </w:rPr>
              <w:t>12,837</w:t>
            </w:r>
          </w:p>
        </w:tc>
      </w:tr>
      <w:tr>
        <w:tc>
          <w:tcPr>
            <w:tcW w:type="dxa" w:w="2909"/>
          </w:tcPr>
          <w:p>
            <w:pPr>
              <w:spacing w:after="20"/>
            </w:pPr>
            <w:r>
              <w:rPr>
                <w:color w:val="1C3A36"/>
                <w:sz w:val="16"/>
              </w:rPr>
              <w:t>Book value per share (EGP)</w:t>
            </w:r>
          </w:p>
        </w:tc>
        <w:tc>
          <w:tcPr>
            <w:tcW w:type="dxa" w:w="864"/>
          </w:tcPr>
          <w:p>
            <w:pPr>
              <w:spacing w:after="20"/>
              <w:jc w:val="right"/>
            </w:pPr>
            <w:r>
              <w:rPr>
                <w:color w:val="1C3A36"/>
                <w:sz w:val="16"/>
              </w:rPr>
              <w:t>6.54</w:t>
            </w:r>
          </w:p>
        </w:tc>
        <w:tc>
          <w:tcPr>
            <w:tcW w:type="dxa" w:w="864"/>
          </w:tcPr>
          <w:p>
            <w:pPr>
              <w:spacing w:after="20"/>
              <w:jc w:val="right"/>
            </w:pPr>
            <w:r>
              <w:rPr>
                <w:color w:val="1C3A36"/>
                <w:sz w:val="16"/>
              </w:rPr>
              <w:t>18.31</w:t>
            </w:r>
          </w:p>
        </w:tc>
        <w:tc>
          <w:tcPr>
            <w:tcW w:type="dxa" w:w="864"/>
          </w:tcPr>
          <w:p>
            <w:pPr>
              <w:spacing w:after="20"/>
              <w:jc w:val="right"/>
            </w:pPr>
            <w:r>
              <w:rPr>
                <w:color w:val="1C3A36"/>
                <w:sz w:val="16"/>
              </w:rPr>
              <w:t>27.09</w:t>
            </w:r>
          </w:p>
        </w:tc>
        <w:tc>
          <w:tcPr>
            <w:tcW w:type="dxa" w:w="864"/>
          </w:tcPr>
          <w:p>
            <w:pPr>
              <w:spacing w:after="20"/>
              <w:jc w:val="right"/>
            </w:pPr>
            <w:r>
              <w:rPr>
                <w:color w:val="1C3A36"/>
                <w:sz w:val="16"/>
              </w:rPr>
              <w:t>31.29</w:t>
            </w:r>
          </w:p>
        </w:tc>
        <w:tc>
          <w:tcPr>
            <w:tcW w:type="dxa" w:w="864"/>
          </w:tcPr>
          <w:p>
            <w:pPr>
              <w:spacing w:after="20"/>
              <w:jc w:val="right"/>
            </w:pPr>
            <w:r>
              <w:rPr>
                <w:color w:val="1C3A36"/>
                <w:sz w:val="16"/>
              </w:rPr>
              <w:t>35.55</w:t>
            </w:r>
          </w:p>
        </w:tc>
        <w:tc>
          <w:tcPr>
            <w:tcW w:type="dxa" w:w="864"/>
          </w:tcPr>
          <w:p>
            <w:pPr>
              <w:spacing w:after="20"/>
              <w:jc w:val="right"/>
            </w:pPr>
            <w:r>
              <w:rPr>
                <w:color w:val="1C3A36"/>
                <w:sz w:val="16"/>
              </w:rPr>
              <w:t>39.88</w:t>
            </w:r>
          </w:p>
        </w:tc>
        <w:tc>
          <w:tcPr>
            <w:tcW w:type="dxa" w:w="864"/>
          </w:tcPr>
          <w:p>
            <w:pPr>
              <w:spacing w:after="20"/>
              <w:jc w:val="right"/>
            </w:pPr>
            <w:r>
              <w:rPr>
                <w:color w:val="1C3A36"/>
                <w:sz w:val="16"/>
              </w:rPr>
              <w:t>44.43</w:t>
            </w:r>
          </w:p>
        </w:tc>
        <w:tc>
          <w:tcPr>
            <w:tcW w:type="dxa" w:w="864"/>
          </w:tcPr>
          <w:p>
            <w:pPr>
              <w:spacing w:after="20"/>
              <w:jc w:val="right"/>
            </w:pPr>
            <w:r>
              <w:rPr>
                <w:color w:val="1C3A36"/>
                <w:sz w:val="16"/>
              </w:rPr>
              <w:t>49.22</w:t>
            </w:r>
          </w:p>
        </w:tc>
      </w:tr>
    </w:tbl>
    <w:p>
      <w:pPr>
        <w:spacing w:after="40"/>
      </w:pPr>
    </w:p>
    <w:p>
      <w:pPr>
        <w:spacing w:after="200" w:before="0"/>
      </w:pPr>
      <w:r>
        <w:rPr>
          <w:b w:val="0"/>
          <w:i/>
          <w:color w:val="6E7B77"/>
          <w:sz w:val="17"/>
        </w:rPr>
        <w:t>Table A2 — Balance sheet. FY2024 is the disclosed column: total assets of EGP 6,385.9 million less total liabilities of EGP 1,610.9 million closes to equity of EGP 4,775.1 million exactly. FY2025 equity is rolled forward and does not reconcile to the reported figure; see section 7.</w:t>
      </w:r>
    </w:p>
    <w:p>
      <w:pPr>
        <w:spacing w:after="80" w:before="200"/>
      </w:pPr>
      <w:r>
        <w:rPr>
          <w:b/>
          <w:i w:val="0"/>
          <w:color w:val="1C3A36"/>
          <w:sz w:val="24"/>
        </w:rPr>
        <w:t>Cash flow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73"/>
        <w:gridCol w:w="1238"/>
        <w:gridCol w:w="1238"/>
        <w:gridCol w:w="1238"/>
        <w:gridCol w:w="1238"/>
        <w:gridCol w:w="1238"/>
      </w:tblGrid>
      <w:tr>
        <w:tc>
          <w:tcPr>
            <w:tcW w:type="dxa" w:w="3773"/>
            <w:shd w:val="clear" w:color="auto" w:fill="EAF0EE"/>
          </w:tcPr>
          <w:p>
            <w:pPr>
              <w:spacing w:after="20"/>
            </w:pPr>
            <w:r>
              <w:rPr>
                <w:b/>
                <w:color w:val="1C3A36"/>
                <w:sz w:val="18"/>
              </w:rPr>
            </w:r>
          </w:p>
        </w:tc>
        <w:tc>
          <w:tcPr>
            <w:tcW w:type="dxa" w:w="1238"/>
            <w:shd w:val="clear" w:color="auto" w:fill="EAF0EE"/>
          </w:tcPr>
          <w:p>
            <w:pPr>
              <w:spacing w:after="20"/>
            </w:pPr>
            <w:r>
              <w:rPr>
                <w:b/>
                <w:color w:val="1C3A36"/>
                <w:sz w:val="18"/>
              </w:rPr>
              <w:t>FY2026E</w:t>
            </w:r>
          </w:p>
        </w:tc>
        <w:tc>
          <w:tcPr>
            <w:tcW w:type="dxa" w:w="1238"/>
            <w:shd w:val="clear" w:color="auto" w:fill="EAF0EE"/>
          </w:tcPr>
          <w:p>
            <w:pPr>
              <w:spacing w:after="20"/>
            </w:pPr>
            <w:r>
              <w:rPr>
                <w:b/>
                <w:color w:val="1C3A36"/>
                <w:sz w:val="18"/>
              </w:rPr>
              <w:t>FY2027E</w:t>
            </w:r>
          </w:p>
        </w:tc>
        <w:tc>
          <w:tcPr>
            <w:tcW w:type="dxa" w:w="1238"/>
            <w:shd w:val="clear" w:color="auto" w:fill="EAF0EE"/>
          </w:tcPr>
          <w:p>
            <w:pPr>
              <w:spacing w:after="20"/>
            </w:pPr>
            <w:r>
              <w:rPr>
                <w:b/>
                <w:color w:val="1C3A36"/>
                <w:sz w:val="18"/>
              </w:rPr>
              <w:t>FY2028E</w:t>
            </w:r>
          </w:p>
        </w:tc>
        <w:tc>
          <w:tcPr>
            <w:tcW w:type="dxa" w:w="1238"/>
            <w:shd w:val="clear" w:color="auto" w:fill="EAF0EE"/>
          </w:tcPr>
          <w:p>
            <w:pPr>
              <w:spacing w:after="20"/>
            </w:pPr>
            <w:r>
              <w:rPr>
                <w:b/>
                <w:color w:val="1C3A36"/>
                <w:sz w:val="18"/>
              </w:rPr>
              <w:t>FY2029E</w:t>
            </w:r>
          </w:p>
        </w:tc>
        <w:tc>
          <w:tcPr>
            <w:tcW w:type="dxa" w:w="1238"/>
            <w:shd w:val="clear" w:color="auto" w:fill="EAF0EE"/>
          </w:tcPr>
          <w:p>
            <w:pPr>
              <w:spacing w:after="20"/>
            </w:pPr>
            <w:r>
              <w:rPr>
                <w:b/>
                <w:color w:val="1C3A36"/>
                <w:sz w:val="18"/>
              </w:rPr>
              <w:t>FY2030E</w:t>
            </w:r>
          </w:p>
        </w:tc>
      </w:tr>
      <w:tr>
        <w:tc>
          <w:tcPr>
            <w:tcW w:type="dxa" w:w="3773"/>
          </w:tcPr>
          <w:p>
            <w:pPr>
              <w:spacing w:after="20"/>
            </w:pPr>
            <w:r>
              <w:rPr>
                <w:color w:val="1C3A36"/>
                <w:sz w:val="18"/>
              </w:rPr>
              <w:t>NOPAT</w:t>
            </w:r>
          </w:p>
        </w:tc>
        <w:tc>
          <w:tcPr>
            <w:tcW w:type="dxa" w:w="1238"/>
          </w:tcPr>
          <w:p>
            <w:pPr>
              <w:spacing w:after="20"/>
              <w:jc w:val="right"/>
            </w:pPr>
            <w:r>
              <w:rPr>
                <w:color w:val="1C3A36"/>
                <w:sz w:val="18"/>
              </w:rPr>
              <w:t>1,953</w:t>
            </w:r>
          </w:p>
        </w:tc>
        <w:tc>
          <w:tcPr>
            <w:tcW w:type="dxa" w:w="1238"/>
          </w:tcPr>
          <w:p>
            <w:pPr>
              <w:spacing w:after="20"/>
              <w:jc w:val="right"/>
            </w:pPr>
            <w:r>
              <w:rPr>
                <w:color w:val="1C3A36"/>
                <w:sz w:val="18"/>
              </w:rPr>
              <w:t>1,939</w:t>
            </w:r>
          </w:p>
        </w:tc>
        <w:tc>
          <w:tcPr>
            <w:tcW w:type="dxa" w:w="1238"/>
          </w:tcPr>
          <w:p>
            <w:pPr>
              <w:spacing w:after="20"/>
              <w:jc w:val="right"/>
            </w:pPr>
            <w:r>
              <w:rPr>
                <w:color w:val="1C3A36"/>
                <w:sz w:val="18"/>
              </w:rPr>
              <w:t>1,965</w:t>
            </w:r>
          </w:p>
        </w:tc>
        <w:tc>
          <w:tcPr>
            <w:tcW w:type="dxa" w:w="1238"/>
          </w:tcPr>
          <w:p>
            <w:pPr>
              <w:spacing w:after="20"/>
              <w:jc w:val="right"/>
            </w:pPr>
            <w:r>
              <w:rPr>
                <w:color w:val="1C3A36"/>
                <w:sz w:val="18"/>
              </w:rPr>
              <w:t>2,087</w:t>
            </w:r>
          </w:p>
        </w:tc>
        <w:tc>
          <w:tcPr>
            <w:tcW w:type="dxa" w:w="1238"/>
          </w:tcPr>
          <w:p>
            <w:pPr>
              <w:spacing w:after="20"/>
              <w:jc w:val="right"/>
            </w:pPr>
            <w:r>
              <w:rPr>
                <w:color w:val="1C3A36"/>
                <w:sz w:val="18"/>
              </w:rPr>
              <w:t>2,208</w:t>
            </w:r>
          </w:p>
        </w:tc>
      </w:tr>
      <w:tr>
        <w:tc>
          <w:tcPr>
            <w:tcW w:type="dxa" w:w="3773"/>
          </w:tcPr>
          <w:p>
            <w:pPr>
              <w:spacing w:after="20"/>
            </w:pPr>
            <w:r>
              <w:rPr>
                <w:color w:val="1C3A36"/>
                <w:sz w:val="18"/>
              </w:rPr>
              <w:t>Plus depreciation &amp; amortisation</w:t>
            </w:r>
          </w:p>
        </w:tc>
        <w:tc>
          <w:tcPr>
            <w:tcW w:type="dxa" w:w="1238"/>
          </w:tcPr>
          <w:p>
            <w:pPr>
              <w:spacing w:after="20"/>
              <w:jc w:val="right"/>
            </w:pPr>
            <w:r>
              <w:rPr>
                <w:color w:val="1C3A36"/>
                <w:sz w:val="18"/>
              </w:rPr>
              <w:t>448</w:t>
            </w:r>
          </w:p>
        </w:tc>
        <w:tc>
          <w:tcPr>
            <w:tcW w:type="dxa" w:w="1238"/>
          </w:tcPr>
          <w:p>
            <w:pPr>
              <w:spacing w:after="20"/>
              <w:jc w:val="right"/>
            </w:pPr>
            <w:r>
              <w:rPr>
                <w:color w:val="1C3A36"/>
                <w:sz w:val="18"/>
              </w:rPr>
              <w:t>469</w:t>
            </w:r>
          </w:p>
        </w:tc>
        <w:tc>
          <w:tcPr>
            <w:tcW w:type="dxa" w:w="1238"/>
          </w:tcPr>
          <w:p>
            <w:pPr>
              <w:spacing w:after="20"/>
              <w:jc w:val="right"/>
            </w:pPr>
            <w:r>
              <w:rPr>
                <w:color w:val="1C3A36"/>
                <w:sz w:val="18"/>
              </w:rPr>
              <w:t>494</w:t>
            </w:r>
          </w:p>
        </w:tc>
        <w:tc>
          <w:tcPr>
            <w:tcW w:type="dxa" w:w="1238"/>
          </w:tcPr>
          <w:p>
            <w:pPr>
              <w:spacing w:after="20"/>
              <w:jc w:val="right"/>
            </w:pPr>
            <w:r>
              <w:rPr>
                <w:color w:val="1C3A36"/>
                <w:sz w:val="18"/>
              </w:rPr>
              <w:t>522</w:t>
            </w:r>
          </w:p>
        </w:tc>
        <w:tc>
          <w:tcPr>
            <w:tcW w:type="dxa" w:w="1238"/>
          </w:tcPr>
          <w:p>
            <w:pPr>
              <w:spacing w:after="20"/>
              <w:jc w:val="right"/>
            </w:pPr>
            <w:r>
              <w:rPr>
                <w:color w:val="1C3A36"/>
                <w:sz w:val="18"/>
              </w:rPr>
              <w:t>549</w:t>
            </w:r>
          </w:p>
        </w:tc>
      </w:tr>
      <w:tr>
        <w:tc>
          <w:tcPr>
            <w:tcW w:type="dxa" w:w="3773"/>
          </w:tcPr>
          <w:p>
            <w:pPr>
              <w:spacing w:after="20"/>
            </w:pPr>
            <w:r>
              <w:rPr>
                <w:color w:val="1C3A36"/>
                <w:sz w:val="18"/>
              </w:rPr>
              <w:t>Less capital expenditure</w:t>
            </w:r>
          </w:p>
        </w:tc>
        <w:tc>
          <w:tcPr>
            <w:tcW w:type="dxa" w:w="1238"/>
          </w:tcPr>
          <w:p>
            <w:pPr>
              <w:spacing w:after="20"/>
              <w:jc w:val="right"/>
            </w:pPr>
            <w:r>
              <w:rPr>
                <w:color w:val="1C3A36"/>
                <w:sz w:val="18"/>
              </w:rPr>
              <w:t>-487</w:t>
            </w:r>
          </w:p>
        </w:tc>
        <w:tc>
          <w:tcPr>
            <w:tcW w:type="dxa" w:w="1238"/>
          </w:tcPr>
          <w:p>
            <w:pPr>
              <w:spacing w:after="20"/>
              <w:jc w:val="right"/>
            </w:pPr>
            <w:r>
              <w:rPr>
                <w:color w:val="1C3A36"/>
                <w:sz w:val="18"/>
              </w:rPr>
              <w:t>-500</w:t>
            </w:r>
          </w:p>
        </w:tc>
        <w:tc>
          <w:tcPr>
            <w:tcW w:type="dxa" w:w="1238"/>
          </w:tcPr>
          <w:p>
            <w:pPr>
              <w:spacing w:after="20"/>
              <w:jc w:val="right"/>
            </w:pPr>
            <w:r>
              <w:rPr>
                <w:color w:val="1C3A36"/>
                <w:sz w:val="18"/>
              </w:rPr>
              <w:t>-527</w:t>
            </w:r>
          </w:p>
        </w:tc>
        <w:tc>
          <w:tcPr>
            <w:tcW w:type="dxa" w:w="1238"/>
          </w:tcPr>
          <w:p>
            <w:pPr>
              <w:spacing w:after="20"/>
              <w:jc w:val="right"/>
            </w:pPr>
            <w:r>
              <w:rPr>
                <w:color w:val="1C3A36"/>
                <w:sz w:val="18"/>
              </w:rPr>
              <w:t>-558</w:t>
            </w:r>
          </w:p>
        </w:tc>
        <w:tc>
          <w:tcPr>
            <w:tcW w:type="dxa" w:w="1238"/>
          </w:tcPr>
          <w:p>
            <w:pPr>
              <w:spacing w:after="20"/>
              <w:jc w:val="right"/>
            </w:pPr>
            <w:r>
              <w:rPr>
                <w:color w:val="1C3A36"/>
                <w:sz w:val="18"/>
              </w:rPr>
              <w:t>-588</w:t>
            </w:r>
          </w:p>
        </w:tc>
      </w:tr>
      <w:tr>
        <w:tc>
          <w:tcPr>
            <w:tcW w:type="dxa" w:w="3773"/>
          </w:tcPr>
          <w:p>
            <w:pPr>
              <w:spacing w:after="20"/>
            </w:pPr>
            <w:r>
              <w:rPr>
                <w:color w:val="1C3A36"/>
                <w:sz w:val="18"/>
              </w:rPr>
              <w:t>Less change in working capital</w:t>
            </w:r>
          </w:p>
        </w:tc>
        <w:tc>
          <w:tcPr>
            <w:tcW w:type="dxa" w:w="1238"/>
          </w:tcPr>
          <w:p>
            <w:pPr>
              <w:spacing w:after="20"/>
              <w:jc w:val="right"/>
            </w:pPr>
            <w:r>
              <w:rPr>
                <w:color w:val="1C3A36"/>
                <w:sz w:val="18"/>
              </w:rPr>
              <w:t>-51</w:t>
            </w:r>
          </w:p>
        </w:tc>
        <w:tc>
          <w:tcPr>
            <w:tcW w:type="dxa" w:w="1238"/>
          </w:tcPr>
          <w:p>
            <w:pPr>
              <w:spacing w:after="20"/>
              <w:jc w:val="right"/>
            </w:pPr>
            <w:r>
              <w:rPr>
                <w:color w:val="1C3A36"/>
                <w:sz w:val="18"/>
              </w:rPr>
              <w:t>-55</w:t>
            </w:r>
          </w:p>
        </w:tc>
        <w:tc>
          <w:tcPr>
            <w:tcW w:type="dxa" w:w="1238"/>
          </w:tcPr>
          <w:p>
            <w:pPr>
              <w:spacing w:after="20"/>
              <w:jc w:val="right"/>
            </w:pPr>
            <w:r>
              <w:rPr>
                <w:color w:val="1C3A36"/>
                <w:sz w:val="18"/>
              </w:rPr>
              <w:t>-64</w:t>
            </w:r>
          </w:p>
        </w:tc>
        <w:tc>
          <w:tcPr>
            <w:tcW w:type="dxa" w:w="1238"/>
          </w:tcPr>
          <w:p>
            <w:pPr>
              <w:spacing w:after="20"/>
              <w:jc w:val="right"/>
            </w:pPr>
            <w:r>
              <w:rPr>
                <w:color w:val="1C3A36"/>
                <w:sz w:val="18"/>
              </w:rPr>
              <w:t>-73</w:t>
            </w:r>
          </w:p>
        </w:tc>
        <w:tc>
          <w:tcPr>
            <w:tcW w:type="dxa" w:w="1238"/>
          </w:tcPr>
          <w:p>
            <w:pPr>
              <w:spacing w:after="20"/>
              <w:jc w:val="right"/>
            </w:pPr>
            <w:r>
              <w:rPr>
                <w:color w:val="1C3A36"/>
                <w:sz w:val="18"/>
              </w:rPr>
              <w:t>-75</w:t>
            </w:r>
          </w:p>
        </w:tc>
      </w:tr>
      <w:tr>
        <w:tc>
          <w:tcPr>
            <w:tcW w:type="dxa" w:w="3773"/>
            <w:shd w:val="clear" w:color="auto" w:fill="F6F1E6"/>
          </w:tcPr>
          <w:p>
            <w:pPr>
              <w:spacing w:after="20"/>
            </w:pPr>
            <w:r>
              <w:rPr>
                <w:b/>
                <w:color w:val="1C3A36"/>
                <w:sz w:val="18"/>
              </w:rPr>
              <w:t>Free cash flow to the firm</w:t>
            </w:r>
          </w:p>
        </w:tc>
        <w:tc>
          <w:tcPr>
            <w:tcW w:type="dxa" w:w="1238"/>
            <w:shd w:val="clear" w:color="auto" w:fill="F6F1E6"/>
          </w:tcPr>
          <w:p>
            <w:pPr>
              <w:spacing w:after="20"/>
              <w:jc w:val="right"/>
            </w:pPr>
            <w:r>
              <w:rPr>
                <w:b/>
                <w:color w:val="1C3A36"/>
                <w:sz w:val="18"/>
              </w:rPr>
              <w:t>1,863</w:t>
            </w:r>
          </w:p>
        </w:tc>
        <w:tc>
          <w:tcPr>
            <w:tcW w:type="dxa" w:w="1238"/>
            <w:shd w:val="clear" w:color="auto" w:fill="F6F1E6"/>
          </w:tcPr>
          <w:p>
            <w:pPr>
              <w:spacing w:after="20"/>
              <w:jc w:val="right"/>
            </w:pPr>
            <w:r>
              <w:rPr>
                <w:b/>
                <w:color w:val="1C3A36"/>
                <w:sz w:val="18"/>
              </w:rPr>
              <w:t>1,852</w:t>
            </w:r>
          </w:p>
        </w:tc>
        <w:tc>
          <w:tcPr>
            <w:tcW w:type="dxa" w:w="1238"/>
            <w:shd w:val="clear" w:color="auto" w:fill="F6F1E6"/>
          </w:tcPr>
          <w:p>
            <w:pPr>
              <w:spacing w:after="20"/>
              <w:jc w:val="right"/>
            </w:pPr>
            <w:r>
              <w:rPr>
                <w:b/>
                <w:color w:val="1C3A36"/>
                <w:sz w:val="18"/>
              </w:rPr>
              <w:t>1,868</w:t>
            </w:r>
          </w:p>
        </w:tc>
        <w:tc>
          <w:tcPr>
            <w:tcW w:type="dxa" w:w="1238"/>
            <w:shd w:val="clear" w:color="auto" w:fill="F6F1E6"/>
          </w:tcPr>
          <w:p>
            <w:pPr>
              <w:spacing w:after="20"/>
              <w:jc w:val="right"/>
            </w:pPr>
            <w:r>
              <w:rPr>
                <w:b/>
                <w:color w:val="1C3A36"/>
                <w:sz w:val="18"/>
              </w:rPr>
              <w:t>1,978</w:t>
            </w:r>
          </w:p>
        </w:tc>
        <w:tc>
          <w:tcPr>
            <w:tcW w:type="dxa" w:w="1238"/>
            <w:shd w:val="clear" w:color="auto" w:fill="F6F1E6"/>
          </w:tcPr>
          <w:p>
            <w:pPr>
              <w:spacing w:after="20"/>
              <w:jc w:val="right"/>
            </w:pPr>
            <w:r>
              <w:rPr>
                <w:b/>
                <w:color w:val="1C3A36"/>
                <w:sz w:val="18"/>
              </w:rPr>
              <w:t>2,094</w:t>
            </w:r>
          </w:p>
        </w:tc>
      </w:tr>
      <w:tr>
        <w:tc>
          <w:tcPr>
            <w:tcW w:type="dxa" w:w="3773"/>
          </w:tcPr>
          <w:p>
            <w:pPr>
              <w:spacing w:after="20"/>
            </w:pPr>
            <w:r>
              <w:rPr>
                <w:color w:val="1C3A36"/>
                <w:sz w:val="18"/>
              </w:rPr>
              <w:t>Dividends paid</w:t>
            </w:r>
          </w:p>
        </w:tc>
        <w:tc>
          <w:tcPr>
            <w:tcW w:type="dxa" w:w="1238"/>
          </w:tcPr>
          <w:p>
            <w:pPr>
              <w:spacing w:after="20"/>
              <w:jc w:val="right"/>
            </w:pPr>
            <w:r>
              <w:rPr>
                <w:color w:val="1C3A36"/>
                <w:sz w:val="18"/>
              </w:rPr>
              <w:t>-1,644</w:t>
            </w:r>
          </w:p>
        </w:tc>
        <w:tc>
          <w:tcPr>
            <w:tcW w:type="dxa" w:w="1238"/>
          </w:tcPr>
          <w:p>
            <w:pPr>
              <w:spacing w:after="20"/>
              <w:jc w:val="right"/>
            </w:pPr>
            <w:r>
              <w:rPr>
                <w:color w:val="1C3A36"/>
                <w:sz w:val="18"/>
              </w:rPr>
              <w:t>-1,665</w:t>
            </w:r>
          </w:p>
        </w:tc>
        <w:tc>
          <w:tcPr>
            <w:tcW w:type="dxa" w:w="1238"/>
          </w:tcPr>
          <w:p>
            <w:pPr>
              <w:spacing w:after="20"/>
              <w:jc w:val="right"/>
            </w:pPr>
            <w:r>
              <w:rPr>
                <w:color w:val="1C3A36"/>
                <w:sz w:val="18"/>
              </w:rPr>
              <w:t>-1,693</w:t>
            </w:r>
          </w:p>
        </w:tc>
        <w:tc>
          <w:tcPr>
            <w:tcW w:type="dxa" w:w="1238"/>
          </w:tcPr>
          <w:p>
            <w:pPr>
              <w:spacing w:after="20"/>
              <w:jc w:val="right"/>
            </w:pPr>
            <w:r>
              <w:rPr>
                <w:color w:val="1C3A36"/>
                <w:sz w:val="18"/>
              </w:rPr>
              <w:t>-1,780</w:t>
            </w:r>
          </w:p>
        </w:tc>
        <w:tc>
          <w:tcPr>
            <w:tcW w:type="dxa" w:w="1238"/>
          </w:tcPr>
          <w:p>
            <w:pPr>
              <w:spacing w:after="20"/>
              <w:jc w:val="right"/>
            </w:pPr>
            <w:r>
              <w:rPr>
                <w:color w:val="1C3A36"/>
                <w:sz w:val="18"/>
              </w:rPr>
              <w:t>-1,876</w:t>
            </w:r>
          </w:p>
        </w:tc>
      </w:tr>
    </w:tbl>
    <w:p>
      <w:pPr>
        <w:spacing w:after="40"/>
      </w:pPr>
    </w:p>
    <w:p>
      <w:pPr>
        <w:spacing w:after="200" w:before="0"/>
      </w:pPr>
      <w:r>
        <w:rPr>
          <w:b w:val="0"/>
          <w:i/>
          <w:color w:val="6E7B77"/>
          <w:sz w:val="17"/>
        </w:rPr>
        <w:t>Table A3 — Cash flow, linked line for line to the valuation waterfall.</w:t>
      </w:r>
    </w:p>
    <w:p>
      <w:r>
        <w:br w:type="page"/>
      </w:r>
    </w:p>
    <w:p>
      <w:pPr>
        <w:spacing w:after="120" w:before="280"/>
      </w:pPr>
      <w:r>
        <w:rPr>
          <w:b/>
          <w:i w:val="0"/>
          <w:color w:val="1C3A36"/>
          <w:sz w:val="30"/>
        </w:rPr>
        <w:t>Appendix B  Peer set, sector structure, and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Misr Beni Suef — FY2025 net sales (EGP mn)</w:t>
            </w:r>
          </w:p>
        </w:tc>
        <w:tc>
          <w:tcPr>
            <w:tcW w:type="dxa" w:w="3312"/>
          </w:tcPr>
          <w:p>
            <w:pPr>
              <w:spacing w:after="20"/>
              <w:jc w:val="right"/>
            </w:pPr>
            <w:r>
              <w:rPr>
                <w:color w:val="1C3A36"/>
                <w:sz w:val="18"/>
              </w:rPr>
              <w:t>5,700</w:t>
            </w:r>
          </w:p>
        </w:tc>
      </w:tr>
      <w:tr>
        <w:tc>
          <w:tcPr>
            <w:tcW w:type="dxa" w:w="6408"/>
          </w:tcPr>
          <w:p>
            <w:pPr>
              <w:spacing w:after="20"/>
            </w:pPr>
            <w:r>
              <w:rPr>
                <w:color w:val="1C3A36"/>
                <w:sz w:val="18"/>
              </w:rPr>
              <w:t>Misr Beni Suef — FY2025 attributable profit (EGP mn)</w:t>
            </w:r>
          </w:p>
        </w:tc>
        <w:tc>
          <w:tcPr>
            <w:tcW w:type="dxa" w:w="3312"/>
          </w:tcPr>
          <w:p>
            <w:pPr>
              <w:spacing w:after="20"/>
              <w:jc w:val="right"/>
            </w:pPr>
            <w:r>
              <w:rPr>
                <w:color w:val="1C3A36"/>
                <w:sz w:val="18"/>
              </w:rPr>
              <w:t>3,946</w:t>
            </w:r>
          </w:p>
        </w:tc>
      </w:tr>
      <w:tr>
        <w:tc>
          <w:tcPr>
            <w:tcW w:type="dxa" w:w="6408"/>
          </w:tcPr>
          <w:p>
            <w:pPr>
              <w:spacing w:after="20"/>
            </w:pPr>
            <w:r>
              <w:rPr>
                <w:color w:val="1C3A36"/>
                <w:sz w:val="18"/>
              </w:rPr>
              <w:t>Misr Beni Suef — earnings per share (EGP)</w:t>
            </w:r>
          </w:p>
        </w:tc>
        <w:tc>
          <w:tcPr>
            <w:tcW w:type="dxa" w:w="3312"/>
          </w:tcPr>
          <w:p>
            <w:pPr>
              <w:spacing w:after="20"/>
              <w:jc w:val="right"/>
            </w:pPr>
            <w:r>
              <w:rPr>
                <w:color w:val="1C3A36"/>
                <w:sz w:val="18"/>
              </w:rPr>
              <w:t>61.25</w:t>
            </w:r>
          </w:p>
        </w:tc>
      </w:tr>
      <w:tr>
        <w:tc>
          <w:tcPr>
            <w:tcW w:type="dxa" w:w="6408"/>
          </w:tcPr>
          <w:p>
            <w:pPr>
              <w:spacing w:after="20"/>
            </w:pPr>
            <w:r>
              <w:rPr>
                <w:color w:val="1C3A36"/>
                <w:sz w:val="18"/>
              </w:rPr>
              <w:t>Misr Beni Suef — market capitalisation (EGP mn)</w:t>
            </w:r>
          </w:p>
        </w:tc>
        <w:tc>
          <w:tcPr>
            <w:tcW w:type="dxa" w:w="3312"/>
          </w:tcPr>
          <w:p>
            <w:pPr>
              <w:spacing w:after="20"/>
              <w:jc w:val="right"/>
            </w:pPr>
            <w:r>
              <w:rPr>
                <w:color w:val="1C3A36"/>
                <w:sz w:val="18"/>
              </w:rPr>
              <w:t>13,730</w:t>
            </w:r>
          </w:p>
        </w:tc>
      </w:tr>
      <w:tr>
        <w:tc>
          <w:tcPr>
            <w:tcW w:type="dxa" w:w="6408"/>
          </w:tcPr>
          <w:p>
            <w:pPr>
              <w:spacing w:after="20"/>
            </w:pPr>
            <w:r>
              <w:rPr>
                <w:color w:val="1C3A36"/>
                <w:sz w:val="18"/>
              </w:rPr>
              <w:t>Misr Beni Suef — trailing price/earnings</w:t>
            </w:r>
          </w:p>
        </w:tc>
        <w:tc>
          <w:tcPr>
            <w:tcW w:type="dxa" w:w="3312"/>
          </w:tcPr>
          <w:p>
            <w:pPr>
              <w:spacing w:after="20"/>
              <w:jc w:val="right"/>
            </w:pPr>
            <w:r>
              <w:rPr>
                <w:color w:val="1C3A36"/>
                <w:sz w:val="18"/>
              </w:rPr>
              <w:t>6.44x</w:t>
            </w:r>
          </w:p>
        </w:tc>
      </w:tr>
      <w:tr>
        <w:tc>
          <w:tcPr>
            <w:tcW w:type="dxa" w:w="6408"/>
          </w:tcPr>
          <w:p>
            <w:pPr>
              <w:spacing w:after="20"/>
            </w:pPr>
            <w:r>
              <w:rPr>
                <w:color w:val="1C3A36"/>
                <w:sz w:val="18"/>
              </w:rPr>
              <w:t>Misr Beni Suef — EV/EBITDA</w:t>
            </w:r>
          </w:p>
        </w:tc>
        <w:tc>
          <w:tcPr>
            <w:tcW w:type="dxa" w:w="3312"/>
          </w:tcPr>
          <w:p>
            <w:pPr>
              <w:spacing w:after="20"/>
              <w:jc w:val="right"/>
            </w:pPr>
            <w:r>
              <w:rPr>
                <w:color w:val="1C3A36"/>
                <w:sz w:val="18"/>
              </w:rPr>
              <w:t>5.03x</w:t>
            </w:r>
          </w:p>
        </w:tc>
      </w:tr>
      <w:tr>
        <w:tc>
          <w:tcPr>
            <w:tcW w:type="dxa" w:w="6408"/>
          </w:tcPr>
          <w:p>
            <w:pPr>
              <w:spacing w:after="20"/>
            </w:pPr>
            <w:r>
              <w:rPr>
                <w:color w:val="1C3A36"/>
                <w:sz w:val="18"/>
              </w:rPr>
              <w:t>Arabian Cement — FY2025 consolidated profit (EGP mn)</w:t>
            </w:r>
          </w:p>
        </w:tc>
        <w:tc>
          <w:tcPr>
            <w:tcW w:type="dxa" w:w="3312"/>
          </w:tcPr>
          <w:p>
            <w:pPr>
              <w:spacing w:after="20"/>
              <w:jc w:val="right"/>
            </w:pPr>
            <w:r>
              <w:rPr>
                <w:color w:val="1C3A36"/>
                <w:sz w:val="18"/>
              </w:rPr>
              <w:t>3,600</w:t>
            </w:r>
          </w:p>
        </w:tc>
      </w:tr>
    </w:tbl>
    <w:p>
      <w:pPr>
        <w:spacing w:after="40"/>
      </w:pPr>
    </w:p>
    <w:p>
      <w:pPr>
        <w:spacing w:after="200" w:before="0"/>
      </w:pPr>
      <w:r>
        <w:rPr>
          <w:b w:val="0"/>
          <w:i/>
          <w:color w:val="6E7B77"/>
          <w:sz w:val="17"/>
        </w:rPr>
        <w:t>Table B1 — The named Egyptian listed comparators.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Million tonnes a year</w:t>
            </w:r>
          </w:p>
        </w:tc>
      </w:tr>
      <w:tr>
        <w:tc>
          <w:tcPr>
            <w:tcW w:type="dxa" w:w="6408"/>
          </w:tcPr>
          <w:p>
            <w:pPr>
              <w:spacing w:after="20"/>
            </w:pPr>
            <w:r>
              <w:rPr>
                <w:color w:val="1C3A36"/>
                <w:sz w:val="18"/>
              </w:rPr>
              <w:t>Egyptian nameplate capacity</w:t>
            </w:r>
          </w:p>
        </w:tc>
        <w:tc>
          <w:tcPr>
            <w:tcW w:type="dxa" w:w="3312"/>
          </w:tcPr>
          <w:p>
            <w:pPr>
              <w:spacing w:after="20"/>
              <w:jc w:val="right"/>
            </w:pPr>
            <w:r>
              <w:rPr>
                <w:color w:val="1C3A36"/>
                <w:sz w:val="18"/>
              </w:rPr>
              <w:t>76.0</w:t>
            </w:r>
          </w:p>
        </w:tc>
      </w:tr>
      <w:tr>
        <w:tc>
          <w:tcPr>
            <w:tcW w:type="dxa" w:w="6408"/>
          </w:tcPr>
          <w:p>
            <w:pPr>
              <w:spacing w:after="20"/>
            </w:pPr>
            <w:r>
              <w:rPr>
                <w:color w:val="1C3A36"/>
                <w:sz w:val="18"/>
              </w:rPr>
              <w:t>Production, 2025</w:t>
            </w:r>
          </w:p>
        </w:tc>
        <w:tc>
          <w:tcPr>
            <w:tcW w:type="dxa" w:w="3312"/>
          </w:tcPr>
          <w:p>
            <w:pPr>
              <w:spacing w:after="20"/>
              <w:jc w:val="right"/>
            </w:pPr>
            <w:r>
              <w:rPr>
                <w:color w:val="1C3A36"/>
                <w:sz w:val="18"/>
              </w:rPr>
              <w:t>65.0</w:t>
            </w:r>
          </w:p>
        </w:tc>
      </w:tr>
      <w:tr>
        <w:tc>
          <w:tcPr>
            <w:tcW w:type="dxa" w:w="6408"/>
          </w:tcPr>
          <w:p>
            <w:pPr>
              <w:spacing w:after="20"/>
            </w:pPr>
            <w:r>
              <w:rPr>
                <w:color w:val="1C3A36"/>
                <w:sz w:val="18"/>
              </w:rPr>
              <w:t>Domestic consumption, 2025</w:t>
            </w:r>
          </w:p>
        </w:tc>
        <w:tc>
          <w:tcPr>
            <w:tcW w:type="dxa" w:w="3312"/>
          </w:tcPr>
          <w:p>
            <w:pPr>
              <w:spacing w:after="20"/>
              <w:jc w:val="right"/>
            </w:pPr>
            <w:r>
              <w:rPr>
                <w:color w:val="1C3A36"/>
                <w:sz w:val="18"/>
              </w:rPr>
              <w:t>54.0</w:t>
            </w:r>
          </w:p>
        </w:tc>
      </w:tr>
      <w:tr>
        <w:tc>
          <w:tcPr>
            <w:tcW w:type="dxa" w:w="6408"/>
          </w:tcPr>
          <w:p>
            <w:pPr>
              <w:spacing w:after="20"/>
            </w:pPr>
            <w:r>
              <w:rPr>
                <w:color w:val="1C3A36"/>
                <w:sz w:val="18"/>
              </w:rPr>
              <w:t>Exports, 2025</w:t>
            </w:r>
          </w:p>
        </w:tc>
        <w:tc>
          <w:tcPr>
            <w:tcW w:type="dxa" w:w="3312"/>
          </w:tcPr>
          <w:p>
            <w:pPr>
              <w:spacing w:after="20"/>
              <w:jc w:val="right"/>
            </w:pPr>
            <w:r>
              <w:rPr>
                <w:color w:val="1C3A36"/>
                <w:sz w:val="18"/>
              </w:rPr>
              <w:t>18.5</w:t>
            </w:r>
          </w:p>
        </w:tc>
      </w:tr>
      <w:tr>
        <w:tc>
          <w:tcPr>
            <w:tcW w:type="dxa" w:w="6408"/>
          </w:tcPr>
          <w:p>
            <w:pPr>
              <w:spacing w:after="20"/>
            </w:pPr>
            <w:r>
              <w:rPr>
                <w:color w:val="1C3A36"/>
                <w:sz w:val="18"/>
              </w:rPr>
              <w:t>Dormant capacity under revival from 2H-2026</w:t>
            </w:r>
          </w:p>
        </w:tc>
        <w:tc>
          <w:tcPr>
            <w:tcW w:type="dxa" w:w="3312"/>
          </w:tcPr>
          <w:p>
            <w:pPr>
              <w:spacing w:after="20"/>
              <w:jc w:val="right"/>
            </w:pPr>
            <w:r>
              <w:rPr>
                <w:color w:val="1C3A36"/>
                <w:sz w:val="18"/>
              </w:rPr>
              <w:t>12.6</w:t>
            </w:r>
          </w:p>
        </w:tc>
      </w:tr>
      <w:tr>
        <w:tc>
          <w:tcPr>
            <w:tcW w:type="dxa" w:w="6408"/>
          </w:tcPr>
          <w:p>
            <w:pPr>
              <w:spacing w:after="20"/>
            </w:pPr>
            <w:r>
              <w:rPr>
                <w:color w:val="1C3A36"/>
                <w:sz w:val="18"/>
              </w:rPr>
              <w:t>Sinai Cement capacity</w:t>
            </w:r>
          </w:p>
        </w:tc>
        <w:tc>
          <w:tcPr>
            <w:tcW w:type="dxa" w:w="3312"/>
          </w:tcPr>
          <w:p>
            <w:pPr>
              <w:spacing w:after="20"/>
              <w:jc w:val="right"/>
            </w:pPr>
            <w:r>
              <w:rPr>
                <w:color w:val="1C3A36"/>
                <w:sz w:val="18"/>
              </w:rPr>
              <w:t>3.8</w:t>
            </w:r>
          </w:p>
        </w:tc>
      </w:tr>
      <w:tr>
        <w:tc>
          <w:tcPr>
            <w:tcW w:type="dxa" w:w="6408"/>
          </w:tcPr>
          <w:p>
            <w:pPr>
              <w:spacing w:after="20"/>
            </w:pPr>
            <w:r>
              <w:rPr>
                <w:color w:val="1C3A36"/>
                <w:sz w:val="18"/>
              </w:rPr>
              <w:t>Sinai Cement share of Egyptian capacity</w:t>
            </w:r>
          </w:p>
        </w:tc>
        <w:tc>
          <w:tcPr>
            <w:tcW w:type="dxa" w:w="3312"/>
          </w:tcPr>
          <w:p>
            <w:pPr>
              <w:spacing w:after="20"/>
              <w:jc w:val="right"/>
            </w:pPr>
            <w:r>
              <w:rPr>
                <w:color w:val="1C3A36"/>
                <w:sz w:val="18"/>
              </w:rPr>
              <w:t>5.0%</w:t>
            </w:r>
          </w:p>
        </w:tc>
      </w:tr>
      <w:tr>
        <w:tc>
          <w:tcPr>
            <w:tcW w:type="dxa" w:w="6408"/>
          </w:tcPr>
          <w:p>
            <w:pPr>
              <w:spacing w:after="20"/>
            </w:pPr>
            <w:r>
              <w:rPr>
                <w:color w:val="1C3A36"/>
                <w:sz w:val="18"/>
              </w:rPr>
              <w:t>Revival capacity as a share of consumption</w:t>
            </w:r>
          </w:p>
        </w:tc>
        <w:tc>
          <w:tcPr>
            <w:tcW w:type="dxa" w:w="3312"/>
          </w:tcPr>
          <w:p>
            <w:pPr>
              <w:spacing w:after="20"/>
              <w:jc w:val="right"/>
            </w:pPr>
            <w:r>
              <w:rPr>
                <w:color w:val="1C3A36"/>
                <w:sz w:val="18"/>
              </w:rPr>
              <w:t>23.3%</w:t>
            </w:r>
          </w:p>
        </w:tc>
      </w:tr>
    </w:tbl>
    <w:p>
      <w:pPr>
        <w:spacing w:after="40"/>
      </w:pPr>
    </w:p>
    <w:p>
      <w:pPr>
        <w:spacing w:after="200" w:before="0"/>
      </w:pPr>
      <w:r>
        <w:rPr>
          <w:b w:val="0"/>
          <w:i/>
          <w:color w:val="6E7B77"/>
          <w:sz w:val="17"/>
        </w:rPr>
        <w:t>Table B2 — Sector structure. The surplus between capacity and consumption is the sector case in one number.</w:t>
      </w:r>
    </w:p>
    <w:p>
      <w:pPr>
        <w:spacing w:after="80" w:before="200"/>
      </w:pPr>
      <w:r>
        <w:rPr>
          <w:b/>
          <w:i w:val="0"/>
          <w:color w:val="1C3A36"/>
          <w:sz w:val="24"/>
        </w:rPr>
        <w:t>Principal risks</w:t>
      </w:r>
    </w:p>
    <w:p>
      <w:pPr>
        <w:pStyle w:val="ListBullet"/>
        <w:spacing w:after="60"/>
      </w:pPr>
      <w:r>
        <w:rPr>
          <w:b/>
          <w:color w:val="1C3A36"/>
          <w:sz w:val="21"/>
        </w:rPr>
        <w:t xml:space="preserve">Supply. </w:t>
      </w:r>
      <w:r>
        <w:rPr>
          <w:color w:val="1C3A36"/>
          <w:sz w:val="21"/>
        </w:rPr>
        <w:t>A structural surplus of capacity over domestic consumption, with a large block of dormant capacity able to restart cheaply.</w:t>
      </w:r>
    </w:p>
    <w:p>
      <w:pPr>
        <w:pStyle w:val="ListBullet"/>
        <w:spacing w:after="60"/>
      </w:pPr>
      <w:r>
        <w:rPr>
          <w:b/>
          <w:color w:val="1C3A36"/>
          <w:sz w:val="21"/>
        </w:rPr>
        <w:t xml:space="preserve">Concentration. </w:t>
      </w:r>
      <w:r>
        <w:rPr>
          <w:color w:val="1C3A36"/>
          <w:sz w:val="21"/>
        </w:rPr>
        <w:t>One plant, one country, one product. There is no diversification anywhere in this business.</w:t>
      </w:r>
    </w:p>
    <w:p>
      <w:pPr>
        <w:pStyle w:val="ListBullet"/>
        <w:spacing w:after="60"/>
      </w:pPr>
      <w:r>
        <w:rPr>
          <w:b/>
          <w:color w:val="1C3A36"/>
          <w:sz w:val="21"/>
        </w:rPr>
        <w:t xml:space="preserve">Location. </w:t>
      </w:r>
      <w:r>
        <w:rPr>
          <w:color w:val="1C3A36"/>
          <w:sz w:val="21"/>
        </w:rPr>
        <w:t>North Sinai carries a security and logistics profile that most Egyptian industrial assets do not, and the plant is distant from the main demand centres.</w:t>
      </w:r>
    </w:p>
    <w:p>
      <w:pPr>
        <w:pStyle w:val="ListBullet"/>
        <w:spacing w:after="60"/>
      </w:pPr>
      <w:r>
        <w:rPr>
          <w:b/>
          <w:color w:val="1C3A36"/>
          <w:sz w:val="21"/>
        </w:rPr>
        <w:t xml:space="preserve">Energy. </w:t>
      </w:r>
      <w:r>
        <w:rPr>
          <w:color w:val="1C3A36"/>
          <w:sz w:val="21"/>
        </w:rPr>
        <w:t>Phased subsidy reform raises the cash cost of production independently of global fuel prices.</w:t>
      </w:r>
    </w:p>
    <w:p>
      <w:pPr>
        <w:pStyle w:val="ListBullet"/>
        <w:spacing w:after="60"/>
      </w:pPr>
      <w:r>
        <w:rPr>
          <w:b/>
          <w:color w:val="1C3A36"/>
          <w:sz w:val="21"/>
        </w:rPr>
        <w:t xml:space="preserve">Currency. </w:t>
      </w:r>
      <w:r>
        <w:rPr>
          <w:color w:val="1C3A36"/>
          <w:sz w:val="21"/>
        </w:rPr>
        <w:t>Revenue and costs are overwhelmingly in Egyptian pounds, but equipment, spares and any future capacity are priced in hard currency.</w:t>
      </w:r>
    </w:p>
    <w:p>
      <w:pPr>
        <w:pStyle w:val="ListBullet"/>
        <w:spacing w:after="60"/>
      </w:pPr>
      <w:r>
        <w:rPr>
          <w:b/>
          <w:color w:val="1C3A36"/>
          <w:sz w:val="21"/>
        </w:rPr>
        <w:t xml:space="preserve">Minority position. </w:t>
      </w:r>
      <w:r>
        <w:rPr>
          <w:color w:val="1C3A36"/>
          <w:sz w:val="21"/>
        </w:rPr>
        <w:t>A 22.4% float under a 77.6% controlling shareholder, in a security that does not trade on nearly a third of sessions.</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Expert 1 — Replacement-cost industrialist</w:t>
      </w:r>
    </w:p>
    <w:p>
      <w:pPr>
        <w:spacing w:after="120" w:before="0"/>
      </w:pPr>
      <w:r>
        <w:rPr>
          <w:b/>
          <w:i w:val="0"/>
          <w:color w:val="1C3A36"/>
          <w:sz w:val="21"/>
        </w:rPr>
        <w:t xml:space="preserve">Valuation: </w:t>
      </w:r>
      <w:r>
        <w:rPr>
          <w:b w:val="0"/>
          <w:i w:val="0"/>
          <w:color w:val="1C3A36"/>
          <w:sz w:val="21"/>
        </w:rPr>
        <w:t>EGP 78.39 to EGP 100.16, central EGP 89.28 (+13.0% against the market price of EGP 79.00).</w:t>
      </w:r>
    </w:p>
    <w:p>
      <w:pPr>
        <w:spacing w:after="120" w:before="0"/>
      </w:pPr>
      <w:r>
        <w:rPr>
          <w:b w:val="0"/>
          <w:i w:val="0"/>
          <w:color w:val="1C3A36"/>
          <w:sz w:val="21"/>
        </w:rPr>
        <w:t>Values the company as an asset, not an earnings stream. A 3.8Mt grey-cement plant costs roughly USD 130 per annual tonne to build; nobody pays replacement cost for capacity in a market carrying 76Mt against 54Mt of consumption, so the justified figure is USD 95/t. The market is paying USD 81/t. On this view the shares are cheap against steel and concrete in the ground, and the cycle is somebody else's problem.</w:t>
      </w:r>
    </w:p>
    <w:p>
      <w:pPr>
        <w:spacing w:after="120" w:before="0"/>
      </w:pPr>
      <w:r>
        <w:rPr>
          <w:b/>
          <w:i w:val="0"/>
          <w:color w:val="896F36"/>
          <w:sz w:val="21"/>
        </w:rPr>
        <w:t xml:space="preserve">What would prove this wrong: </w:t>
      </w:r>
      <w:r>
        <w:rPr>
          <w:b w:val="0"/>
          <w:i w:val="0"/>
          <w:color w:val="1C3A36"/>
          <w:sz w:val="21"/>
        </w:rPr>
        <w:t>Find a recent Egyptian cement line built, bought or restarted for less than USD 95 per annual tonne, or evidence that the El Hassana lines need major refurbishment capex. Either would collapse the asset floor. The 12.6Mt revival programme is the live test: restarting a dormant line costs far less per tonne than building one.</w:t>
      </w:r>
    </w:p>
    <w:p>
      <w:pPr>
        <w:spacing w:after="80" w:before="200"/>
      </w:pPr>
      <w:r>
        <w:rPr>
          <w:b/>
          <w:i w:val="0"/>
          <w:color w:val="1C3A36"/>
          <w:sz w:val="24"/>
        </w:rPr>
        <w:t>Expert 2 — Mid-cycle earnings-power analyst</w:t>
      </w:r>
    </w:p>
    <w:p>
      <w:pPr>
        <w:spacing w:after="120" w:before="0"/>
      </w:pPr>
      <w:r>
        <w:rPr>
          <w:b/>
          <w:i w:val="0"/>
          <w:color w:val="1C3A36"/>
          <w:sz w:val="21"/>
        </w:rPr>
        <w:t xml:space="preserve">Valuation: </w:t>
      </w:r>
      <w:r>
        <w:rPr>
          <w:b w:val="0"/>
          <w:i w:val="0"/>
          <w:color w:val="1C3A36"/>
          <w:sz w:val="21"/>
        </w:rPr>
        <w:t>EGP 49.69 to EGP 66.25, central EGP 57.97 (-26.6% against the market price of EGP 79.00).</w:t>
      </w:r>
    </w:p>
    <w:p>
      <w:pPr>
        <w:spacing w:after="120" w:before="0"/>
      </w:pPr>
      <w:r>
        <w:rPr>
          <w:b w:val="0"/>
          <w:i w:val="0"/>
          <w:color w:val="1C3A36"/>
          <w:sz w:val="21"/>
        </w:rPr>
        <w:t>Refuses to capitalise a peak. 2025 was the first year since 2008 that Egypt's supply-demand gap closed, prices roughly doubled and utilisation hit 98% — none of which is a plateau. Normalises the margin to 26.5%, between the FY2024 outturn and the FY2025 peak, and applies 7x. Concludes the market is extrapolating a cyclical high.</w:t>
      </w:r>
    </w:p>
    <w:p>
      <w:pPr>
        <w:spacing w:after="120" w:before="0"/>
      </w:pPr>
      <w:r>
        <w:rPr>
          <w:b/>
          <w:i w:val="0"/>
          <w:color w:val="896F36"/>
          <w:sz w:val="21"/>
        </w:rPr>
        <w:t xml:space="preserve">What would prove this wrong: </w:t>
      </w:r>
      <w:r>
        <w:rPr>
          <w:b w:val="0"/>
          <w:i w:val="0"/>
          <w:color w:val="1C3A36"/>
          <w:sz w:val="21"/>
        </w:rPr>
        <w:t>Two consecutive years of realised prices holding above EGP 3,900/t WITH the revival programme proceeding would prove the mid-cycle margin too low and this lens too bearish. Equally, a cancelled revival programme plus continued 13% demand growth would make 26.5% the new floor rather than the middle.</w:t>
      </w:r>
    </w:p>
    <w:p>
      <w:pPr>
        <w:spacing w:after="80" w:before="200"/>
      </w:pPr>
      <w:r>
        <w:rPr>
          <w:b/>
          <w:i w:val="0"/>
          <w:color w:val="1C3A36"/>
          <w:sz w:val="24"/>
        </w:rPr>
        <w:t>Expert 3 — Cash-return and distribution investor</w:t>
      </w:r>
    </w:p>
    <w:p>
      <w:pPr>
        <w:spacing w:after="120" w:before="0"/>
      </w:pPr>
      <w:r>
        <w:rPr>
          <w:b/>
          <w:i w:val="0"/>
          <w:color w:val="1C3A36"/>
          <w:sz w:val="21"/>
        </w:rPr>
        <w:t xml:space="preserve">Valuation: </w:t>
      </w:r>
      <w:r>
        <w:rPr>
          <w:b w:val="0"/>
          <w:i w:val="0"/>
          <w:color w:val="1C3A36"/>
          <w:sz w:val="21"/>
        </w:rPr>
        <w:t>EGP 54.00 to EGP 73.23, central EGP 61.48 (-22.2% against the market price of EGP 79.00).</w:t>
      </w:r>
    </w:p>
    <w:p>
      <w:pPr>
        <w:spacing w:after="120" w:before="0"/>
      </w:pPr>
      <w:r>
        <w:rPr>
          <w:b w:val="0"/>
          <w:i w:val="0"/>
          <w:color w:val="1C3A36"/>
          <w:sz w:val="21"/>
        </w:rPr>
        <w:t>Starts from the balance sheet. Net cash of EGP 5.3bn is 37% of the market capitalisation, and the operating business throws off roughly EGP 1931mn of free cash flow a year against essentially no reinvestment need — terminal return on capital of 9.4% is below the 16.3% cost of capital, so growth destroys value and the right policy is to harvest and distribute. Capitalises mid-cycle free cash flow at an 18% required yield and adds the cash.</w:t>
      </w:r>
    </w:p>
    <w:p>
      <w:pPr>
        <w:spacing w:after="120" w:before="0"/>
      </w:pPr>
      <w:r>
        <w:rPr>
          <w:b/>
          <w:i w:val="0"/>
          <w:color w:val="896F36"/>
          <w:sz w:val="21"/>
        </w:rPr>
        <w:t xml:space="preserve">What would prove this wrong: </w:t>
      </w:r>
      <w:r>
        <w:rPr>
          <w:b w:val="0"/>
          <w:i w:val="0"/>
          <w:color w:val="1C3A36"/>
          <w:sz w:val="21"/>
        </w:rPr>
        <w:t>The whole lens rests on the cash being distributable. If no dividend is declared on FY2026 profits, or the cash is deployed into a capacity expansion into a glutted market, the cash is worth materially less than face and this lens is wrong. The unexplained gap between rolled-forward and reported FY2025 equity — about EGP 1.9bn — is the first place to look, because it may already be a distribution nobody has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78.39</w:t>
            </w:r>
          </w:p>
        </w:tc>
        <w:tc>
          <w:tcPr>
            <w:tcW w:type="dxa" w:w="1656"/>
          </w:tcPr>
          <w:p>
            <w:pPr>
              <w:spacing w:after="20"/>
              <w:jc w:val="right"/>
            </w:pPr>
            <w:r>
              <w:rPr>
                <w:color w:val="1C3A36"/>
                <w:sz w:val="18"/>
              </w:rPr>
              <w:t>89.28</w:t>
            </w:r>
          </w:p>
        </w:tc>
        <w:tc>
          <w:tcPr>
            <w:tcW w:type="dxa" w:w="1469"/>
          </w:tcPr>
          <w:p>
            <w:pPr>
              <w:spacing w:after="20"/>
              <w:jc w:val="right"/>
            </w:pPr>
            <w:r>
              <w:rPr>
                <w:color w:val="1C3A36"/>
                <w:sz w:val="18"/>
              </w:rPr>
              <w:t>100.16</w:t>
            </w:r>
          </w:p>
        </w:tc>
        <w:tc>
          <w:tcPr>
            <w:tcW w:type="dxa" w:w="1354"/>
          </w:tcPr>
          <w:p>
            <w:pPr>
              <w:spacing w:after="20"/>
              <w:jc w:val="right"/>
            </w:pPr>
            <w:r>
              <w:rPr>
                <w:color w:val="1C3A36"/>
                <w:sz w:val="18"/>
              </w:rPr>
              <w:t>+13.0%</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49.69</w:t>
            </w:r>
          </w:p>
        </w:tc>
        <w:tc>
          <w:tcPr>
            <w:tcW w:type="dxa" w:w="1656"/>
          </w:tcPr>
          <w:p>
            <w:pPr>
              <w:spacing w:after="20"/>
              <w:jc w:val="right"/>
            </w:pPr>
            <w:r>
              <w:rPr>
                <w:color w:val="1C3A36"/>
                <w:sz w:val="18"/>
              </w:rPr>
              <w:t>57.97</w:t>
            </w:r>
          </w:p>
        </w:tc>
        <w:tc>
          <w:tcPr>
            <w:tcW w:type="dxa" w:w="1469"/>
          </w:tcPr>
          <w:p>
            <w:pPr>
              <w:spacing w:after="20"/>
              <w:jc w:val="right"/>
            </w:pPr>
            <w:r>
              <w:rPr>
                <w:color w:val="1C3A36"/>
                <w:sz w:val="18"/>
              </w:rPr>
              <w:t>66.25</w:t>
            </w:r>
          </w:p>
        </w:tc>
        <w:tc>
          <w:tcPr>
            <w:tcW w:type="dxa" w:w="1354"/>
          </w:tcPr>
          <w:p>
            <w:pPr>
              <w:spacing w:after="20"/>
              <w:jc w:val="right"/>
            </w:pPr>
            <w:r>
              <w:rPr>
                <w:color w:val="1C3A36"/>
                <w:sz w:val="18"/>
              </w:rPr>
              <w:t>-26.6%</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54.00</w:t>
            </w:r>
          </w:p>
        </w:tc>
        <w:tc>
          <w:tcPr>
            <w:tcW w:type="dxa" w:w="1656"/>
          </w:tcPr>
          <w:p>
            <w:pPr>
              <w:spacing w:after="20"/>
              <w:jc w:val="right"/>
            </w:pPr>
            <w:r>
              <w:rPr>
                <w:color w:val="1C3A36"/>
                <w:sz w:val="18"/>
              </w:rPr>
              <w:t>61.48</w:t>
            </w:r>
          </w:p>
        </w:tc>
        <w:tc>
          <w:tcPr>
            <w:tcW w:type="dxa" w:w="1469"/>
          </w:tcPr>
          <w:p>
            <w:pPr>
              <w:spacing w:after="20"/>
              <w:jc w:val="right"/>
            </w:pPr>
            <w:r>
              <w:rPr>
                <w:color w:val="1C3A36"/>
                <w:sz w:val="18"/>
              </w:rPr>
              <w:t>73.23</w:t>
            </w:r>
          </w:p>
        </w:tc>
        <w:tc>
          <w:tcPr>
            <w:tcW w:type="dxa" w:w="1354"/>
          </w:tcPr>
          <w:p>
            <w:pPr>
              <w:spacing w:after="20"/>
              <w:jc w:val="right"/>
            </w:pPr>
            <w:r>
              <w:rPr>
                <w:color w:val="1C3A36"/>
                <w:sz w:val="18"/>
              </w:rPr>
              <w:t>-22.2%</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61.48</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-22.2%</w:t>
            </w:r>
          </w:p>
        </w:tc>
      </w:tr>
    </w:tbl>
    <w:p>
      <w:pPr>
        <w:spacing w:after="40"/>
      </w:pPr>
    </w:p>
    <w:p>
      <w:pPr>
        <w:spacing w:after="200" w:before="0"/>
      </w:pPr>
      <w:r>
        <w:rPr>
          <w:b w:val="0"/>
          <w:i/>
          <w:color w:val="6E7B77"/>
          <w:sz w:val="17"/>
        </w:rPr>
        <w:t>Table C1 — The panel. The median sits close to the weighted central of the four principal lenses, which is a coincidence of construction rather than a confirmation — both are looking at the same company through overlapping methods.</w:t>
      </w:r>
    </w:p>
    <w:p>
      <w:pPr>
        <w:spacing w:after="120" w:before="0"/>
      </w:pPr>
      <w:r>
        <w:rPr>
          <w:b w:val="0"/>
          <w:i w:val="0"/>
          <w:color w:val="1C3A36"/>
          <w:sz w:val="21"/>
        </w:rPr>
      </w:r>
    </w:p>
    <w:p>
      <w:pPr>
        <w:spacing w:after="120" w:before="0"/>
      </w:pPr>
      <w:r>
        <w:rPr>
          <w:b w:val="0"/>
          <w:i/>
          <w:color w:val="6E7B77"/>
          <w:sz w:val="17"/>
        </w:rPr>
        <w:t>Testahil · Independent valuation research · Educational analysis, not investment advice. No rating and no price target is expressed or implied.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