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37.37 to 47.97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4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71th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1.05–1.24x is an estimate built on the range of capital intensity this company’s own three filed years ran, and on a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1.05x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36" w:type="dxa"/>
      </w:tblPr>
      <w:tblGrid>
        <w:gridCol w:w="2951"/>
        <w:gridCol w:w="885"/>
        <w:gridCol w:w="885"/>
        <w:gridCol w:w="885"/>
        <w:gridCol w:w="885"/>
        <w:gridCol w:w="885"/>
        <w:gridCol w:w="885"/>
        <w:gridCol w:w="885"/>
        <w:gridCol w:w="885"/>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1.05x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