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Abu Dhabi National Oil Company for Distribution PJSC</w:t>
      </w:r>
    </w:p>
    <w:p>
      <w:pPr>
        <w:spacing w:after="200" w:before="0"/>
      </w:pPr>
      <w:r>
        <w:rPr>
          <w:b w:val="0"/>
          <w:i w:val="0"/>
          <w:color w:val="6E7B77"/>
          <w:sz w:val="22"/>
        </w:rPr>
        <w:t>Bibliography and the complete record of inputs — the companion volume to the valuation study of 9 August 2026</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not an appendix. It is a separate volume whose only purpose is to let a reader check the study without taking anything in it on trust. It lists every official document that was read and what was taken from each; then every single input to the valuation, with its value, its date and the sentence that says where it came from and how it was built; then every judgement, each paired with the evidence that would overturn it; then everything that was searched for and not found; and finally every place where the documents disagree with each other or where an outside source says something different from the filing.</w:t>
            </w:r>
          </w:p>
          <w:p>
            <w:pPr>
              <w:spacing w:after="100"/>
            </w:pPr>
            <w:r>
              <w:rPr>
                <w:b/>
                <w:color w:val="1C3A36"/>
                <w:sz w:val="19"/>
              </w:rPr>
              <w:t xml:space="preserve">The five research layers. </w:t>
            </w:r>
            <w:r>
              <w:rPr>
                <w:color w:val="1C3A36"/>
                <w:sz w:val="19"/>
              </w:rPr>
              <w:t>Each input is filed under the layer of the world it comes from. COMPANY is the company's own issued documents — the audited and reviewed financial statements, the management reports, the results presentations and the integrated report; every historical figure in the model comes from this layer and from nowhere else. MARKET is what the exchange itself observes — the share price, and the beta measured from that price history. COUNTRY is the United Arab Emirates: policy rates, the government bond yield, the tax regime, inflation and the country risk premium. INDUSTRY is fuel retailing as a business — regulated margin mechanics, network economics, the electric-vehicle transition and listed peers. GLOBAL is what is priced outside any one country: crude oil, and the internationally traded product prices that flow through to the pump.</w:t>
            </w:r>
          </w:p>
          <w:p>
            <w:pPr>
              <w:spacing w:after="100"/>
            </w:pPr>
            <w:r>
              <w:rPr>
                <w:b/>
                <w:color w:val="1C3A36"/>
                <w:sz w:val="19"/>
              </w:rPr>
              <w:t xml:space="preserve">What is not here. </w:t>
            </w:r>
            <w:r>
              <w:rPr>
                <w:color w:val="1C3A36"/>
                <w:sz w:val="19"/>
              </w:rPr>
              <w:t>No data service, no broker and no press report is a source of any figure the company reports about itself. Where one was consulted at all it was to cross-check, and every such case is named in the final section. A reader who finds a difference between this study and a screen should assume the screen and the filing are measuring different periods, and the last section shows exactly where that happens.</w:t>
            </w:r>
          </w:p>
        </w:tc>
      </w:tr>
    </w:tbl>
    <w:p>
      <w:pPr>
        <w:spacing w:after="40"/>
      </w:pPr>
    </w:p>
    <w:p>
      <w:pPr>
        <w:spacing w:after="120" w:before="280"/>
      </w:pPr>
      <w:r>
        <w:rPr>
          <w:b/>
          <w:i w:val="0"/>
          <w:color w:val="1C3A36"/>
          <w:sz w:val="30"/>
        </w:rPr>
        <w:t>1. The primary documents read</w:t>
      </w:r>
    </w:p>
    <w:p>
      <w:pPr>
        <w:spacing w:after="120" w:before="0"/>
      </w:pPr>
      <w:r>
        <w:rPr>
          <w:b w:val="0"/>
          <w:i w:val="0"/>
          <w:color w:val="1C3A36"/>
          <w:sz w:val="21"/>
        </w:rPr>
        <w:t>Every historical figure in the valuation traces to one of the documents below. All of them were obtained from the company's own investor-relations site — adnocdistribution.ae  -&gt;  Investors  -&gt;  Reports and presentations — and read in full. The annual financial statements were audited by Ernst &amp; Young (audited annual) — per audit reports in each annual filing; the half-year statements for 30 Jun 2026 were reviewed by Grant Thornton UAE (review report in the filing itself). Amounts are presented in AED and, in the statements themselves, in thousands: “AED'000 (AED thousands) for all financial-statement figures unless a field name says otherwise”.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47"/>
        <w:gridCol w:w="2333"/>
        <w:gridCol w:w="1656"/>
        <w:gridCol w:w="5544"/>
      </w:tblGrid>
      <w:tr>
        <w:trPr>
          <w:cantSplit/>
        </w:trPr>
        <w:tc>
          <w:tcPr>
            <w:tcW w:type="dxa" w:w="547"/>
            <w:shd w:val="clear" w:color="auto" w:fill="EAF0EE"/>
          </w:tcPr>
          <w:p>
            <w:pPr>
              <w:spacing w:after="20"/>
            </w:pPr>
            <w:r>
              <w:rPr>
                <w:b/>
                <w:color w:val="1C3A36"/>
                <w:sz w:val="15"/>
              </w:rPr>
              <w:t>Ref</w:t>
            </w:r>
          </w:p>
        </w:tc>
        <w:tc>
          <w:tcPr>
            <w:tcW w:type="dxa" w:w="2333"/>
            <w:shd w:val="clear" w:color="auto" w:fill="EAF0EE"/>
          </w:tcPr>
          <w:p>
            <w:pPr>
              <w:spacing w:after="20"/>
            </w:pPr>
            <w:r>
              <w:rPr>
                <w:b/>
                <w:color w:val="1C3A36"/>
                <w:sz w:val="15"/>
              </w:rPr>
              <w:t>Document</w:t>
            </w:r>
          </w:p>
        </w:tc>
        <w:tc>
          <w:tcPr>
            <w:tcW w:type="dxa" w:w="1656"/>
            <w:shd w:val="clear" w:color="auto" w:fill="EAF0EE"/>
          </w:tcPr>
          <w:p>
            <w:pPr>
              <w:spacing w:after="20"/>
            </w:pPr>
            <w:r>
              <w:rPr>
                <w:b/>
                <w:color w:val="1C3A36"/>
                <w:sz w:val="15"/>
              </w:rPr>
              <w:t>Publisher and period</w:t>
            </w:r>
          </w:p>
        </w:tc>
        <w:tc>
          <w:tcPr>
            <w:tcW w:type="dxa" w:w="5544"/>
            <w:shd w:val="clear" w:color="auto" w:fill="EAF0EE"/>
          </w:tcPr>
          <w:p>
            <w:pPr>
              <w:spacing w:after="20"/>
            </w:pPr>
            <w:r>
              <w:rPr>
                <w:b/>
                <w:color w:val="1C3A36"/>
                <w:sz w:val="15"/>
              </w:rPr>
              <w:t>What was taken from it</w:t>
            </w:r>
          </w:p>
        </w:tc>
      </w:tr>
      <w:tr>
        <w:trPr>
          <w:cantSplit/>
        </w:trPr>
        <w:tc>
          <w:tcPr>
            <w:tcW w:type="dxa" w:w="547"/>
          </w:tcPr>
          <w:p>
            <w:pPr>
              <w:spacing w:after="20"/>
            </w:pPr>
            <w:r>
              <w:rPr>
                <w:color w:val="1C3A36"/>
                <w:sz w:val="15"/>
              </w:rPr>
              <w:t>D1</w:t>
            </w:r>
          </w:p>
        </w:tc>
        <w:tc>
          <w:tcPr>
            <w:tcW w:type="dxa" w:w="2333"/>
          </w:tcPr>
          <w:p>
            <w:pPr>
              <w:spacing w:after="20"/>
              <w:jc w:val="right"/>
            </w:pPr>
            <w:r>
              <w:rPr>
                <w:color w:val="1C3A36"/>
                <w:sz w:val="15"/>
              </w:rPr>
              <w:t>Audited consolidated financial statements for the year ended 31 December 2023, with the independent auditor's report and the full notes</w:t>
            </w:r>
          </w:p>
        </w:tc>
        <w:tc>
          <w:tcPr>
            <w:tcW w:type="dxa" w:w="1656"/>
          </w:tcPr>
          <w:p>
            <w:pPr>
              <w:spacing w:after="20"/>
              <w:jc w:val="right"/>
            </w:pPr>
            <w:r>
              <w:rPr>
                <w:color w:val="1C3A36"/>
                <w:sz w:val="15"/>
              </w:rPr>
              <w:t>The company, for the year ended 31 December 2023</w:t>
            </w:r>
          </w:p>
        </w:tc>
        <w:tc>
          <w:tcPr>
            <w:tcW w:type="dxa" w:w="5544"/>
          </w:tcPr>
          <w:p>
            <w:pPr>
              <w:spacing w:after="20"/>
              <w:jc w:val="right"/>
            </w:pPr>
            <w:r>
              <w:rPr>
                <w:color w:val="1C3A36"/>
                <w:sz w:val="15"/>
              </w:rPr>
              <w:t>The FY2023 income statement, balance sheet, statement of changes in equity and cash-flow statement, and the notes behind them: revenue and direct costs, the distribution and administrative expenses note with its depreciation and amortisation split, the borrowings note, the lease and right-of-use notes, the trade receivables and payables notes and the capital-risk table. Supplies the FY2022 comparative revenue and net profit, and the two separately presented FY2023 impairment lines.</w:t>
            </w:r>
          </w:p>
        </w:tc>
      </w:tr>
      <w:tr>
        <w:trPr>
          <w:cantSplit/>
        </w:trPr>
        <w:tc>
          <w:tcPr>
            <w:tcW w:type="dxa" w:w="547"/>
          </w:tcPr>
          <w:p>
            <w:pPr>
              <w:spacing w:after="20"/>
            </w:pPr>
            <w:r>
              <w:rPr>
                <w:color w:val="1C3A36"/>
                <w:sz w:val="15"/>
              </w:rPr>
              <w:t>D2</w:t>
            </w:r>
          </w:p>
        </w:tc>
        <w:tc>
          <w:tcPr>
            <w:tcW w:type="dxa" w:w="2333"/>
          </w:tcPr>
          <w:p>
            <w:pPr>
              <w:spacing w:after="20"/>
              <w:jc w:val="right"/>
            </w:pPr>
            <w:r>
              <w:rPr>
                <w:color w:val="1C3A36"/>
                <w:sz w:val="15"/>
              </w:rPr>
              <w:t>Audited consolidated financial statements for the year ended 31 December 2024, with the independent auditor's report and the full notes</w:t>
            </w:r>
          </w:p>
        </w:tc>
        <w:tc>
          <w:tcPr>
            <w:tcW w:type="dxa" w:w="1656"/>
          </w:tcPr>
          <w:p>
            <w:pPr>
              <w:spacing w:after="20"/>
              <w:jc w:val="right"/>
            </w:pPr>
            <w:r>
              <w:rPr>
                <w:color w:val="1C3A36"/>
                <w:sz w:val="15"/>
              </w:rPr>
              <w:t>The company, for the year ended 31 December 2024</w:t>
            </w:r>
          </w:p>
        </w:tc>
        <w:tc>
          <w:tcPr>
            <w:tcW w:type="dxa" w:w="5544"/>
          </w:tcPr>
          <w:p>
            <w:pPr>
              <w:spacing w:after="20"/>
              <w:jc w:val="right"/>
            </w:pPr>
            <w:r>
              <w:rPr>
                <w:color w:val="1C3A36"/>
                <w:sz w:val="15"/>
              </w:rPr>
              <w:t>The complete FY2024 statements and notes on the same basis; the restated opening equity at 1 January 2024 and the accounting-change note behind it; the re-presentation of the FY2023 impairment comparative as a single line; and the FY2023 comparative column used to confirm every prior-year figure line for line.</w:t>
            </w:r>
          </w:p>
        </w:tc>
      </w:tr>
      <w:tr>
        <w:trPr>
          <w:cantSplit/>
        </w:trPr>
        <w:tc>
          <w:tcPr>
            <w:tcW w:type="dxa" w:w="547"/>
          </w:tcPr>
          <w:p>
            <w:pPr>
              <w:spacing w:after="20"/>
            </w:pPr>
            <w:r>
              <w:rPr>
                <w:color w:val="1C3A36"/>
                <w:sz w:val="15"/>
              </w:rPr>
              <w:t>D3</w:t>
            </w:r>
          </w:p>
        </w:tc>
        <w:tc>
          <w:tcPr>
            <w:tcW w:type="dxa" w:w="2333"/>
          </w:tcPr>
          <w:p>
            <w:pPr>
              <w:spacing w:after="20"/>
              <w:jc w:val="right"/>
            </w:pPr>
            <w:r>
              <w:rPr>
                <w:color w:val="1C3A36"/>
                <w:sz w:val="15"/>
              </w:rPr>
              <w:t>Audited consolidated financial statements for the year ended 31 December 2025, with the independent auditor's report and the full notes</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The complete FY2025 statements and notes: revenue by segment and by category, direct costs, the expense note and its depreciation split, the income-tax note and its rate reconciliation, the borrowings note with the per-currency interest basis, leases, working-capital balances, provisions, the dividend note and the capital-risk table. This is the anchor filing for the whole model.</w:t>
            </w:r>
          </w:p>
        </w:tc>
      </w:tr>
      <w:tr>
        <w:trPr>
          <w:cantSplit/>
        </w:trPr>
        <w:tc>
          <w:tcPr>
            <w:tcW w:type="dxa" w:w="547"/>
          </w:tcPr>
          <w:p>
            <w:pPr>
              <w:spacing w:after="20"/>
            </w:pPr>
            <w:r>
              <w:rPr>
                <w:color w:val="1C3A36"/>
                <w:sz w:val="15"/>
              </w:rPr>
              <w:t>D4</w:t>
            </w:r>
          </w:p>
        </w:tc>
        <w:tc>
          <w:tcPr>
            <w:tcW w:type="dxa" w:w="2333"/>
          </w:tcPr>
          <w:p>
            <w:pPr>
              <w:spacing w:after="20"/>
              <w:jc w:val="right"/>
            </w:pPr>
            <w:r>
              <w:rPr>
                <w:color w:val="1C3A36"/>
                <w:sz w:val="15"/>
              </w:rPr>
              <w:t>Reviewed interim condensed consolidated financial statements for the three months ended 31 March 2026</w:t>
            </w:r>
          </w:p>
        </w:tc>
        <w:tc>
          <w:tcPr>
            <w:tcW w:type="dxa" w:w="1656"/>
          </w:tcPr>
          <w:p>
            <w:pPr>
              <w:spacing w:after="20"/>
              <w:jc w:val="right"/>
            </w:pPr>
            <w:r>
              <w:rPr>
                <w:color w:val="1C3A36"/>
                <w:sz w:val="15"/>
              </w:rPr>
              <w:t>The company, for the quarter ended 31 March 2026</w:t>
            </w:r>
          </w:p>
        </w:tc>
        <w:tc>
          <w:tcPr>
            <w:tcW w:type="dxa" w:w="5544"/>
          </w:tcPr>
          <w:p>
            <w:pPr>
              <w:spacing w:after="20"/>
              <w:jc w:val="right"/>
            </w:pPr>
            <w:r>
              <w:rPr>
                <w:color w:val="1C3A36"/>
                <w:sz w:val="15"/>
              </w:rPr>
              <w:t>The first-quarter revenue, profit and balance-sheet position, and the confirmation that the 31 December 2025 audited closing balances carry forward unchanged into 2026.</w:t>
            </w:r>
          </w:p>
        </w:tc>
      </w:tr>
      <w:tr>
        <w:trPr>
          <w:cantSplit/>
        </w:trPr>
        <w:tc>
          <w:tcPr>
            <w:tcW w:type="dxa" w:w="547"/>
          </w:tcPr>
          <w:p>
            <w:pPr>
              <w:spacing w:after="20"/>
            </w:pPr>
            <w:r>
              <w:rPr>
                <w:color w:val="1C3A36"/>
                <w:sz w:val="15"/>
              </w:rPr>
              <w:t>D5</w:t>
            </w:r>
          </w:p>
        </w:tc>
        <w:tc>
          <w:tcPr>
            <w:tcW w:type="dxa" w:w="2333"/>
          </w:tcPr>
          <w:p>
            <w:pPr>
              <w:spacing w:after="20"/>
              <w:jc w:val="right"/>
            </w:pPr>
            <w:r>
              <w:rPr>
                <w:color w:val="1C3A36"/>
                <w:sz w:val="15"/>
              </w:rPr>
              <w:t>Reviewed interim condensed consolidated financial statements for the six months ended 30 June 2026</w:t>
            </w:r>
          </w:p>
        </w:tc>
        <w:tc>
          <w:tcPr>
            <w:tcW w:type="dxa" w:w="1656"/>
          </w:tcPr>
          <w:p>
            <w:pPr>
              <w:spacing w:after="20"/>
              <w:jc w:val="right"/>
            </w:pPr>
            <w:r>
              <w:rPr>
                <w:color w:val="1C3A36"/>
                <w:sz w:val="15"/>
              </w:rPr>
              <w:t>The company, for the half-year ended 30 June 2026</w:t>
            </w:r>
          </w:p>
        </w:tc>
        <w:tc>
          <w:tcPr>
            <w:tcW w:type="dxa" w:w="5544"/>
          </w:tcPr>
          <w:p>
            <w:pPr>
              <w:spacing w:after="20"/>
              <w:jc w:val="right"/>
            </w:pPr>
            <w:r>
              <w:rPr>
                <w:color w:val="1C3A36"/>
                <w:sz w:val="15"/>
              </w:rPr>
              <w:t>The whole first half of 2026 — revenue, direct costs, gross profit, expenses, depreciation, finance costs, tax and net profit, with the balance sheet and cash-flow statement — which is the base the forecast is struck from. Also the events-after-the-reporting-date note describing the proposed South African acquisition, and the associate dividend disclosure.</w:t>
            </w:r>
          </w:p>
        </w:tc>
      </w:tr>
      <w:tr>
        <w:trPr>
          <w:cantSplit/>
        </w:trPr>
        <w:tc>
          <w:tcPr>
            <w:tcW w:type="dxa" w:w="547"/>
          </w:tcPr>
          <w:p>
            <w:pPr>
              <w:spacing w:after="20"/>
            </w:pPr>
            <w:r>
              <w:rPr>
                <w:color w:val="1C3A36"/>
                <w:sz w:val="15"/>
              </w:rPr>
              <w:t>D6</w:t>
            </w:r>
          </w:p>
        </w:tc>
        <w:tc>
          <w:tcPr>
            <w:tcW w:type="dxa" w:w="2333"/>
          </w:tcPr>
          <w:p>
            <w:pPr>
              <w:spacing w:after="20"/>
              <w:jc w:val="right"/>
            </w:pPr>
            <w:r>
              <w:rPr>
                <w:color w:val="1C3A36"/>
                <w:sz w:val="15"/>
              </w:rPr>
              <w:t>Reviewed interim condensed consolidated financial statements for the six months ended 30 June 2025</w:t>
            </w:r>
          </w:p>
        </w:tc>
        <w:tc>
          <w:tcPr>
            <w:tcW w:type="dxa" w:w="1656"/>
          </w:tcPr>
          <w:p>
            <w:pPr>
              <w:spacing w:after="20"/>
              <w:jc w:val="right"/>
            </w:pPr>
            <w:r>
              <w:rPr>
                <w:color w:val="1C3A36"/>
                <w:sz w:val="15"/>
              </w:rPr>
              <w:t>The company, for the half-year ended 30 June 2025</w:t>
            </w:r>
          </w:p>
        </w:tc>
        <w:tc>
          <w:tcPr>
            <w:tcW w:type="dxa" w:w="5544"/>
          </w:tcPr>
          <w:p>
            <w:pPr>
              <w:spacing w:after="20"/>
              <w:jc w:val="right"/>
            </w:pPr>
            <w:r>
              <w:rPr>
                <w:color w:val="1C3A36"/>
                <w:sz w:val="15"/>
              </w:rPr>
              <w:t>The prior-year half-year comparatives — revenue, volumes by segment, gross profit by segment and inventory movements — without which the first half of 2026 could not be read as a growth rate rather than a level.</w:t>
            </w:r>
          </w:p>
        </w:tc>
      </w:tr>
      <w:tr>
        <w:trPr>
          <w:cantSplit/>
        </w:trPr>
        <w:tc>
          <w:tcPr>
            <w:tcW w:type="dxa" w:w="547"/>
          </w:tcPr>
          <w:p>
            <w:pPr>
              <w:spacing w:after="20"/>
            </w:pPr>
            <w:r>
              <w:rPr>
                <w:color w:val="1C3A36"/>
                <w:sz w:val="15"/>
              </w:rPr>
              <w:t>D7</w:t>
            </w:r>
          </w:p>
        </w:tc>
        <w:tc>
          <w:tcPr>
            <w:tcW w:type="dxa" w:w="2333"/>
          </w:tcPr>
          <w:p>
            <w:pPr>
              <w:spacing w:after="20"/>
              <w:jc w:val="right"/>
            </w:pPr>
            <w:r>
              <w:rPr>
                <w:color w:val="1C3A36"/>
                <w:sz w:val="15"/>
              </w:rPr>
              <w:t>Management discussion and analysis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operating figures no financial statement carries: fuel volumes by segment, the station count, convenience-store and electric-vehicle-point counts, transaction counts, gross profit split between retail fuel, non-fuel and commercial, the inventory-movement disclosure for FY2025 and FY2024, and the underlying EBITDA summary table.</w:t>
            </w:r>
          </w:p>
        </w:tc>
      </w:tr>
      <w:tr>
        <w:trPr>
          <w:cantSplit/>
        </w:trPr>
        <w:tc>
          <w:tcPr>
            <w:tcW w:type="dxa" w:w="547"/>
          </w:tcPr>
          <w:p>
            <w:pPr>
              <w:spacing w:after="20"/>
            </w:pPr>
            <w:r>
              <w:rPr>
                <w:color w:val="1C3A36"/>
                <w:sz w:val="15"/>
              </w:rPr>
              <w:t>D8</w:t>
            </w:r>
          </w:p>
        </w:tc>
        <w:tc>
          <w:tcPr>
            <w:tcW w:type="dxa" w:w="2333"/>
          </w:tcPr>
          <w:p>
            <w:pPr>
              <w:spacing w:after="20"/>
              <w:jc w:val="right"/>
            </w:pPr>
            <w:r>
              <w:rPr>
                <w:color w:val="1C3A36"/>
                <w:sz w:val="15"/>
              </w:rPr>
              <w:t>Management discussion and analysis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same operating set for the first half of 2026 and its 2025 comparative, including the inventory movement for the half and its split between fuel retail and commercial; the reaffirmed 2026 capital-expenditure, network and dividend targets; the medium-term network and non-fuel targets; and the description of the proposed South African acquisition and its stated accretion.</w:t>
            </w:r>
          </w:p>
        </w:tc>
      </w:tr>
      <w:tr>
        <w:trPr>
          <w:cantSplit/>
        </w:trPr>
        <w:tc>
          <w:tcPr>
            <w:tcW w:type="dxa" w:w="547"/>
          </w:tcPr>
          <w:p>
            <w:pPr>
              <w:spacing w:after="20"/>
            </w:pPr>
            <w:r>
              <w:rPr>
                <w:color w:val="1C3A36"/>
                <w:sz w:val="15"/>
              </w:rPr>
              <w:t>D9</w:t>
            </w:r>
          </w:p>
        </w:tc>
        <w:tc>
          <w:tcPr>
            <w:tcW w:type="dxa" w:w="2333"/>
          </w:tcPr>
          <w:p>
            <w:pPr>
              <w:spacing w:after="20"/>
              <w:jc w:val="right"/>
            </w:pPr>
            <w:r>
              <w:rPr>
                <w:color w:val="1C3A36"/>
                <w:sz w:val="15"/>
              </w:rPr>
              <w:t>Results presentation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segment bridges and per-litre margin build behind the FY2025 management report, used to confirm the gross-profit-per-litre construction.</w:t>
            </w:r>
          </w:p>
        </w:tc>
      </w:tr>
      <w:tr>
        <w:trPr>
          <w:cantSplit/>
        </w:trPr>
        <w:tc>
          <w:tcPr>
            <w:tcW w:type="dxa" w:w="547"/>
          </w:tcPr>
          <w:p>
            <w:pPr>
              <w:spacing w:after="20"/>
            </w:pPr>
            <w:r>
              <w:rPr>
                <w:color w:val="1C3A36"/>
                <w:sz w:val="15"/>
              </w:rPr>
              <w:t>D10</w:t>
            </w:r>
          </w:p>
        </w:tc>
        <w:tc>
          <w:tcPr>
            <w:tcW w:type="dxa" w:w="2333"/>
          </w:tcPr>
          <w:p>
            <w:pPr>
              <w:spacing w:after="20"/>
              <w:jc w:val="right"/>
            </w:pPr>
            <w:r>
              <w:rPr>
                <w:color w:val="1C3A36"/>
                <w:sz w:val="15"/>
              </w:rPr>
              <w:t>Results presentation for the first quarter of 2026</w:t>
            </w:r>
          </w:p>
        </w:tc>
        <w:tc>
          <w:tcPr>
            <w:tcW w:type="dxa" w:w="1656"/>
          </w:tcPr>
          <w:p>
            <w:pPr>
              <w:spacing w:after="20"/>
              <w:jc w:val="right"/>
            </w:pPr>
            <w:r>
              <w:rPr>
                <w:color w:val="1C3A36"/>
                <w:sz w:val="15"/>
              </w:rPr>
              <w:t>The company, published with the Q1-2026 results</w:t>
            </w:r>
          </w:p>
        </w:tc>
        <w:tc>
          <w:tcPr>
            <w:tcW w:type="dxa" w:w="5544"/>
          </w:tcPr>
          <w:p>
            <w:pPr>
              <w:spacing w:after="20"/>
              <w:jc w:val="right"/>
            </w:pPr>
            <w:r>
              <w:rPr>
                <w:color w:val="1C3A36"/>
                <w:sz w:val="15"/>
              </w:rPr>
              <w:t>The 2026 targets as first stated — network additions, electric-vehicle points, capital expenditure and the dividend floor — and the first-quarter operating detail.</w:t>
            </w:r>
          </w:p>
        </w:tc>
      </w:tr>
      <w:tr>
        <w:trPr>
          <w:cantSplit/>
        </w:trPr>
        <w:tc>
          <w:tcPr>
            <w:tcW w:type="dxa" w:w="547"/>
          </w:tcPr>
          <w:p>
            <w:pPr>
              <w:spacing w:after="20"/>
            </w:pPr>
            <w:r>
              <w:rPr>
                <w:color w:val="1C3A36"/>
                <w:sz w:val="15"/>
              </w:rPr>
              <w:t>D11</w:t>
            </w:r>
          </w:p>
        </w:tc>
        <w:tc>
          <w:tcPr>
            <w:tcW w:type="dxa" w:w="2333"/>
          </w:tcPr>
          <w:p>
            <w:pPr>
              <w:spacing w:after="20"/>
              <w:jc w:val="right"/>
            </w:pPr>
            <w:r>
              <w:rPr>
                <w:color w:val="1C3A36"/>
                <w:sz w:val="15"/>
              </w:rPr>
              <w:t>Results presentation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reaffirmed 2026 targets, the per-segment operating detail for the half, and the transaction description and stated accretion for the proposed South African acquisition.</w:t>
            </w:r>
          </w:p>
        </w:tc>
      </w:tr>
      <w:tr>
        <w:trPr>
          <w:cantSplit/>
        </w:trPr>
        <w:tc>
          <w:tcPr>
            <w:tcW w:type="dxa" w:w="547"/>
          </w:tcPr>
          <w:p>
            <w:pPr>
              <w:spacing w:after="20"/>
            </w:pPr>
            <w:r>
              <w:rPr>
                <w:color w:val="1C3A36"/>
                <w:sz w:val="15"/>
              </w:rPr>
              <w:t>D12</w:t>
            </w:r>
          </w:p>
        </w:tc>
        <w:tc>
          <w:tcPr>
            <w:tcW w:type="dxa" w:w="2333"/>
          </w:tcPr>
          <w:p>
            <w:pPr>
              <w:spacing w:after="20"/>
              <w:jc w:val="right"/>
            </w:pPr>
            <w:r>
              <w:rPr>
                <w:color w:val="1C3A36"/>
                <w:sz w:val="15"/>
              </w:rPr>
              <w:t>Integrated annual report 2025</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Strategy, network and transition detail: the medium-term network target, the electric-vehicle build-out, the convenience-store conversion series, the efficiency programme, and the environmental and workforce series. Also the second published version of underlying EBITDA, which differs from the management report and is reported in the final section.</w:t>
            </w:r>
          </w:p>
        </w:tc>
      </w:tr>
    </w:tbl>
    <w:p>
      <w:pPr>
        <w:spacing w:after="40"/>
      </w:pPr>
    </w:p>
    <w:p>
      <w:pPr>
        <w:spacing w:after="200" w:before="0"/>
      </w:pPr>
      <w:r>
        <w:rPr>
          <w:b w:val="0"/>
          <w:i/>
          <w:color w:val="6E7B77"/>
          <w:sz w:val="17"/>
        </w:rPr>
        <w:t>Table 1 — the official documents read, all of them obtained from the company's own investor-relations site. Three consecutive audited financial years were obtained, each with the auditor's report and the full notes, together with three reviewed interim filings, two management reports, three results presentations and the integrated annual report.</w:t>
      </w:r>
    </w:p>
    <w:p>
      <w:pPr>
        <w:spacing w:after="80" w:before="200"/>
      </w:pPr>
      <w:r>
        <w:rPr>
          <w:b/>
          <w:i w:val="0"/>
          <w:color w:val="1C3A36"/>
          <w:sz w:val="24"/>
        </w:rPr>
        <w:t>Attempts at an official source,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792"/>
        <w:gridCol w:w="5760"/>
      </w:tblGrid>
      <w:tr>
        <w:trPr>
          <w:cantSplit/>
        </w:trPr>
        <w:tc>
          <w:tcPr>
            <w:tcW w:type="dxa" w:w="3528"/>
            <w:shd w:val="clear" w:color="auto" w:fill="EAF0EE"/>
          </w:tcPr>
          <w:p>
            <w:pPr>
              <w:spacing w:after="20"/>
            </w:pPr>
            <w:r>
              <w:rPr>
                <w:b/>
                <w:color w:val="1C3A36"/>
                <w:sz w:val="15"/>
              </w:rPr>
              <w:t>Source attempted</w:t>
            </w:r>
          </w:p>
        </w:tc>
        <w:tc>
          <w:tcPr>
            <w:tcW w:type="dxa" w:w="792"/>
            <w:shd w:val="clear" w:color="auto" w:fill="EAF0EE"/>
          </w:tcPr>
          <w:p>
            <w:pPr>
              <w:spacing w:after="20"/>
            </w:pPr>
            <w:r>
              <w:rPr>
                <w:b/>
                <w:color w:val="1C3A36"/>
                <w:sz w:val="15"/>
              </w:rPr>
              <w:t>Reached</w:t>
            </w:r>
          </w:p>
        </w:tc>
        <w:tc>
          <w:tcPr>
            <w:tcW w:type="dxa" w:w="5760"/>
            <w:shd w:val="clear" w:color="auto" w:fill="EAF0EE"/>
          </w:tcPr>
          <w:p>
            <w:pPr>
              <w:spacing w:after="20"/>
            </w:pPr>
            <w:r>
              <w:rPr>
                <w:b/>
                <w:color w:val="1C3A36"/>
                <w:sz w:val="15"/>
              </w:rPr>
              <w:t>Outcome</w:t>
            </w:r>
          </w:p>
        </w:tc>
      </w:tr>
      <w:tr>
        <w:trPr>
          <w:cantSplit/>
        </w:trPr>
        <w:tc>
          <w:tcPr>
            <w:tcW w:type="dxa" w:w="3528"/>
          </w:tcPr>
          <w:p>
            <w:pPr>
              <w:spacing w:after="20"/>
            </w:pPr>
            <w:r>
              <w:rPr>
                <w:color w:val="1C3A36"/>
                <w:sz w:val="15"/>
              </w:rPr>
              <w:t>adnocdistribution.ae  -&gt;  en  -&gt;  investor-relations</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company's own investor-relations site was reachable and returned all audited financial statements and interim filings directly — no aggregator or press source stands between this study and the subject's reported historicals.</w:t>
            </w:r>
          </w:p>
        </w:tc>
      </w:tr>
      <w:tr>
        <w:trPr>
          <w:cantSplit/>
        </w:trPr>
        <w:tc>
          <w:tcPr>
            <w:tcW w:type="dxa" w:w="3528"/>
          </w:tcPr>
          <w:p>
            <w:pPr>
              <w:spacing w:after="20"/>
            </w:pPr>
            <w:r>
              <w:rPr>
                <w:color w:val="1C3A36"/>
                <w:sz w:val="15"/>
              </w:rPr>
              <w:t>adnocdistribution.ae  -&gt;  en  -&gt;  investor-relations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downloads page listed every filing by year and was the route to the FY2023, FY2024 and FY2025 audited consolidated financial statements and to both 2026 reviewed interim statements, together with the management discussion reports, the results presentations and the 2025 integrated report.</w:t>
            </w:r>
          </w:p>
        </w:tc>
      </w:tr>
      <w:tr>
        <w:trPr>
          <w:cantSplit/>
        </w:trPr>
        <w:tc>
          <w:tcPr>
            <w:tcW w:type="dxa" w:w="3528"/>
          </w:tcPr>
          <w:p>
            <w:pPr>
              <w:spacing w:after="20"/>
            </w:pPr>
            <w:r>
              <w:rPr>
                <w:color w:val="1C3A36"/>
                <w:sz w:val="15"/>
              </w:rPr>
              <w:t>centralbank.ae  -&gt;  en  -&gt;  forex-eibor  -&gt;  …</w:t>
            </w:r>
          </w:p>
        </w:tc>
        <w:tc>
          <w:tcPr>
            <w:tcW w:type="dxa" w:w="792"/>
          </w:tcPr>
          <w:p>
            <w:pPr>
              <w:spacing w:after="20"/>
              <w:jc w:val="right"/>
            </w:pPr>
            <w:r>
              <w:rPr>
                <w:color w:val="1C3A36"/>
                <w:sz w:val="15"/>
              </w:rPr>
              <w:t>NO</w:t>
            </w:r>
          </w:p>
        </w:tc>
        <w:tc>
          <w:tcPr>
            <w:tcW w:type="dxa" w:w="5760"/>
          </w:tcPr>
          <w:p>
            <w:pPr>
              <w:spacing w:after="20"/>
              <w:jc w:val="right"/>
            </w:pPr>
            <w:r>
              <w:rPr>
                <w:color w:val="1C3A36"/>
                <w:sz w:val="15"/>
              </w:rPr>
              <w:t>NOT REACHABLE: the Central Bank of the UAE's EIBOR page returned HTTP 403 to automated access. This study's own egress proxy was checked and reported healthy with no relay failures, so this is the site's own bot protection rather than a network fault on our side. CONSEQUENCE: the marginal cost of debt was built from the sovereign bond yield plus the company's OWN disclosed credit margin (borrowings note: EIBOR + 0.60% on the dirham tranche) instead of from a live interbank rate. The construction is disclosed as such and sensitised, not presented as observed.</w:t>
            </w:r>
          </w:p>
        </w:tc>
      </w:tr>
      <w:tr>
        <w:trPr>
          <w:cantSplit/>
        </w:trPr>
        <w:tc>
          <w:tcPr>
            <w:tcW w:type="dxa" w:w="3528"/>
          </w:tcPr>
          <w:p>
            <w:pPr>
              <w:spacing w:after="20"/>
            </w:pPr>
            <w:r>
              <w:rPr>
                <w:color w:val="1C3A36"/>
                <w:sz w:val="15"/>
              </w:rPr>
              <w:t>pages.stern.nyu.edu  -&gt;  ~adamodar  -&gt;  New_Home_Page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original country default spreads and risk premiums file was reachable and the January 2026 vintage United Arab Emirates row was read from it directly — not from a summary, a repost or a third-party table.</w:t>
            </w:r>
          </w:p>
        </w:tc>
      </w:tr>
    </w:tbl>
    <w:p>
      <w:pPr>
        <w:spacing w:after="40"/>
      </w:pPr>
    </w:p>
    <w:p>
      <w:pPr>
        <w:spacing w:after="200" w:before="0"/>
      </w:pPr>
      <w:r>
        <w:rPr>
          <w:b w:val="0"/>
          <w:i/>
          <w:color w:val="6E7B77"/>
          <w:sz w:val="17"/>
        </w:rPr>
        <w:t>Table 2 — every attempt at an official source, logged whether it succeeded or failed. A failure is reported here rather than quietly replaced by a weaker source.</w:t>
      </w:r>
    </w:p>
    <w:p>
      <w:pPr>
        <w:spacing w:after="80" w:before="200"/>
      </w:pPr>
      <w:r>
        <w:rPr>
          <w:b/>
          <w:i w:val="0"/>
          <w:color w:val="1C3A36"/>
          <w:sz w:val="24"/>
        </w:rPr>
        <w:t>Other sources consulted, none of them a source of the company's own reported figures</w:t>
      </w:r>
    </w:p>
    <w:p>
      <w:pPr>
        <w:spacing w:after="120" w:before="0"/>
      </w:pPr>
      <w:r>
        <w:rPr>
          <w:b w:val="0"/>
          <w:i w:val="0"/>
          <w:color w:val="1C3A36"/>
          <w:sz w:val="21"/>
        </w:rPr>
        <w:t>The company's own documents cannot supply a crude price, a government bond yield, a tax rate or a peer multiple. Those come from outside, and every outside source consulted is listed below with the date it was read and what it was used for. The share-price history itself is a separate input: 2,162 daily records for the listing, spanning 8.6 years to the close of 7 August 2026, screened for the exchange's own daily price limit so that any move larger than one session can physically produce is treated as a corporate action or a data error rather than a return. That series carries the share price, the beta regression, the technical read and the probability map.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160"/>
        <w:gridCol w:w="3067"/>
        <w:gridCol w:w="4248"/>
      </w:tblGrid>
      <w:tr>
        <w:trPr>
          <w:cantSplit/>
        </w:trPr>
        <w:tc>
          <w:tcPr>
            <w:tcW w:type="dxa" w:w="605"/>
            <w:shd w:val="clear" w:color="auto" w:fill="EAF0EE"/>
          </w:tcPr>
          <w:p>
            <w:pPr>
              <w:spacing w:after="20"/>
            </w:pPr>
            <w:r>
              <w:rPr>
                <w:b/>
                <w:color w:val="1C3A36"/>
                <w:sz w:val="14"/>
              </w:rPr>
              <w:t>Ref</w:t>
            </w:r>
          </w:p>
        </w:tc>
        <w:tc>
          <w:tcPr>
            <w:tcW w:type="dxa" w:w="2160"/>
            <w:shd w:val="clear" w:color="auto" w:fill="EAF0EE"/>
          </w:tcPr>
          <w:p>
            <w:pPr>
              <w:spacing w:after="20"/>
            </w:pPr>
            <w:r>
              <w:rPr>
                <w:b/>
                <w:color w:val="1C3A36"/>
                <w:sz w:val="14"/>
              </w:rPr>
              <w:t>Subject</w:t>
            </w:r>
          </w:p>
        </w:tc>
        <w:tc>
          <w:tcPr>
            <w:tcW w:type="dxa" w:w="3067"/>
            <w:shd w:val="clear" w:color="auto" w:fill="EAF0EE"/>
          </w:tcPr>
          <w:p>
            <w:pPr>
              <w:spacing w:after="20"/>
            </w:pPr>
            <w:r>
              <w:rPr>
                <w:b/>
                <w:color w:val="1C3A36"/>
                <w:sz w:val="14"/>
              </w:rPr>
              <w:t>Source, and when it was read</w:t>
            </w:r>
          </w:p>
        </w:tc>
        <w:tc>
          <w:tcPr>
            <w:tcW w:type="dxa" w:w="4248"/>
            <w:shd w:val="clear" w:color="auto" w:fill="EAF0EE"/>
          </w:tcPr>
          <w:p>
            <w:pPr>
              <w:spacing w:after="20"/>
            </w:pPr>
            <w:r>
              <w:rPr>
                <w:b/>
                <w:color w:val="1C3A36"/>
                <w:sz w:val="14"/>
              </w:rPr>
              <w:t>How it was used</w:t>
            </w:r>
          </w:p>
        </w:tc>
      </w:tr>
      <w:tr>
        <w:trPr>
          <w:cantSplit/>
        </w:trPr>
        <w:tc>
          <w:tcPr>
            <w:tcW w:type="dxa" w:w="605"/>
          </w:tcPr>
          <w:p>
            <w:pPr>
              <w:spacing w:after="20"/>
            </w:pPr>
            <w:r>
              <w:rPr>
                <w:color w:val="1C3A36"/>
                <w:sz w:val="14"/>
              </w:rPr>
              <w:t>G-01</w:t>
            </w:r>
          </w:p>
        </w:tc>
        <w:tc>
          <w:tcPr>
            <w:tcW w:type="dxa" w:w="2160"/>
          </w:tcPr>
          <w:p>
            <w:pPr>
              <w:spacing w:after="20"/>
              <w:jc w:val="right"/>
            </w:pPr>
            <w:r>
              <w:rPr>
                <w:color w:val="1C3A36"/>
                <w:sz w:val="14"/>
              </w:rPr>
              <w:t>Brent crude spot price</w:t>
            </w:r>
          </w:p>
        </w:tc>
        <w:tc>
          <w:tcPr>
            <w:tcW w:type="dxa" w:w="3067"/>
          </w:tcPr>
          <w:p>
            <w:pPr>
              <w:spacing w:after="20"/>
              <w:jc w:val="right"/>
            </w:pPr>
            <w:r>
              <w:rPr>
                <w:color w:val="1C3A36"/>
                <w:sz w:val="14"/>
              </w:rPr>
              <w:t>Trading Economics — Brent Crude Oil</w:t>
              <w:br/>
              <w:t>tradingeconomics.com  -&gt;  commodity  -&gt;  brent-crude-oil</w:t>
              <w:br/>
              <w:t>read 9 Aug 2026; as at 7 Aug 2026</w:t>
            </w:r>
          </w:p>
        </w:tc>
        <w:tc>
          <w:tcPr>
            <w:tcW w:type="dxa" w:w="4248"/>
          </w:tcPr>
          <w:p>
            <w:pPr>
              <w:spacing w:after="20"/>
              <w:jc w:val="right"/>
            </w:pPr>
            <w:r>
              <w:rPr>
                <w:color w:val="1C3A36"/>
                <w:sz w:val="14"/>
              </w:rPr>
              <w:t>Supplies a build-level driver. Anchors the crude input to the UAE monthly retail fuel price formula and therefore the revenue-per-litre driver. Sets the base of the 2026-2030 price path.</w:t>
            </w:r>
          </w:p>
        </w:tc>
      </w:tr>
      <w:tr>
        <w:trPr>
          <w:cantSplit/>
        </w:trPr>
        <w:tc>
          <w:tcPr>
            <w:tcW w:type="dxa" w:w="605"/>
          </w:tcPr>
          <w:p>
            <w:pPr>
              <w:spacing w:after="20"/>
            </w:pPr>
            <w:r>
              <w:rPr>
                <w:color w:val="1C3A36"/>
                <w:sz w:val="14"/>
              </w:rPr>
              <w:t>G-02</w:t>
            </w:r>
          </w:p>
        </w:tc>
        <w:tc>
          <w:tcPr>
            <w:tcW w:type="dxa" w:w="2160"/>
          </w:tcPr>
          <w:p>
            <w:pPr>
              <w:spacing w:after="20"/>
              <w:jc w:val="right"/>
            </w:pPr>
            <w:r>
              <w:rPr>
                <w:color w:val="1C3A36"/>
                <w:sz w:val="14"/>
              </w:rPr>
              <w:t>WTI crude spot price</w:t>
            </w:r>
          </w:p>
        </w:tc>
        <w:tc>
          <w:tcPr>
            <w:tcW w:type="dxa" w:w="3067"/>
          </w:tcPr>
          <w:p>
            <w:pPr>
              <w:spacing w:after="20"/>
              <w:jc w:val="right"/>
            </w:pPr>
            <w:r>
              <w:rPr>
                <w:color w:val="1C3A36"/>
                <w:sz w:val="14"/>
              </w:rPr>
              <w:t>Forbes Advisor — Crude Oil Price Today (via search); Trading Economics</w:t>
              <w:br/>
              <w:t>forbes.com  -&gt;  advisor  -&gt;  investing  -&gt;  …</w:t>
              <w:br/>
              <w:t>read 9 Aug 2026; as at 7 Aug 2026</w:t>
            </w:r>
          </w:p>
        </w:tc>
        <w:tc>
          <w:tcPr>
            <w:tcW w:type="dxa" w:w="4248"/>
          </w:tcPr>
          <w:p>
            <w:pPr>
              <w:spacing w:after="20"/>
              <w:jc w:val="right"/>
            </w:pPr>
            <w:r>
              <w:rPr>
                <w:color w:val="1C3A36"/>
                <w:sz w:val="14"/>
              </w:rPr>
              <w:t>Sets or tests a forward driver. Cross-check on the crude benchmark; the WTI-Brent spread inverted for the first time since 2009 in April 2026, a signal of Middle East supply disruption rather than US-centric dynamics.</w:t>
            </w:r>
          </w:p>
        </w:tc>
      </w:tr>
      <w:tr>
        <w:trPr>
          <w:cantSplit/>
        </w:trPr>
        <w:tc>
          <w:tcPr>
            <w:tcW w:type="dxa" w:w="605"/>
          </w:tcPr>
          <w:p>
            <w:pPr>
              <w:spacing w:after="20"/>
            </w:pPr>
            <w:r>
              <w:rPr>
                <w:color w:val="1C3A36"/>
                <w:sz w:val="14"/>
              </w:rPr>
              <w:t>G-03</w:t>
            </w:r>
          </w:p>
        </w:tc>
        <w:tc>
          <w:tcPr>
            <w:tcW w:type="dxa" w:w="2160"/>
          </w:tcPr>
          <w:p>
            <w:pPr>
              <w:spacing w:after="20"/>
              <w:jc w:val="right"/>
            </w:pPr>
            <w:r>
              <w:rPr>
                <w:color w:val="1C3A36"/>
                <w:sz w:val="14"/>
              </w:rPr>
              <w:t>2026 YTD crude oil price path — the Strait of Hormuz shock</w:t>
            </w:r>
          </w:p>
        </w:tc>
        <w:tc>
          <w:tcPr>
            <w:tcW w:type="dxa" w:w="3067"/>
          </w:tcPr>
          <w:p>
            <w:pPr>
              <w:spacing w:after="20"/>
              <w:jc w:val="right"/>
            </w:pPr>
            <w:r>
              <w:rPr>
                <w:color w:val="1C3A36"/>
                <w:sz w:val="14"/>
              </w:rPr>
              <w:t>Wikipedia — 2026-2028 world oil market chronology</w:t>
              <w:br/>
              <w:t>en.wikipedia.org  -&gt;  wiki  -&gt;  2026%E2%80%932028_world_…</w:t>
              <w:br/>
              <w:t>read 9 Aug 2026; as at 8 Aug 2026</w:t>
            </w:r>
          </w:p>
        </w:tc>
        <w:tc>
          <w:tcPr>
            <w:tcW w:type="dxa" w:w="4248"/>
          </w:tcPr>
          <w:p>
            <w:pPr>
              <w:spacing w:after="20"/>
              <w:jc w:val="right"/>
            </w:pPr>
            <w:r>
              <w:rPr>
                <w:color w:val="1C3A36"/>
                <w:sz w:val="14"/>
              </w:rPr>
              <w:t>Context and cross-check only. CRITICAL context. The 2026 crude path is not a normal cycle — it is a geopolitical shock centred on the Strait of Hormuz, through which the UAE's own exports transit.</w:t>
            </w:r>
          </w:p>
        </w:tc>
      </w:tr>
      <w:tr>
        <w:trPr>
          <w:cantSplit/>
        </w:trPr>
        <w:tc>
          <w:tcPr>
            <w:tcW w:type="dxa" w:w="605"/>
          </w:tcPr>
          <w:p>
            <w:pPr>
              <w:spacing w:after="20"/>
            </w:pPr>
            <w:r>
              <w:rPr>
                <w:color w:val="1C3A36"/>
                <w:sz w:val="14"/>
              </w:rPr>
              <w:t>G-04</w:t>
            </w:r>
          </w:p>
        </w:tc>
        <w:tc>
          <w:tcPr>
            <w:tcW w:type="dxa" w:w="2160"/>
          </w:tcPr>
          <w:p>
            <w:pPr>
              <w:spacing w:after="20"/>
              <w:jc w:val="right"/>
            </w:pPr>
            <w:r>
              <w:rPr>
                <w:color w:val="1C3A36"/>
                <w:sz w:val="14"/>
              </w:rPr>
              <w:t>EIA Short-Term Energy Outlook — Brent forecast 2026-2027</w:t>
            </w:r>
          </w:p>
        </w:tc>
        <w:tc>
          <w:tcPr>
            <w:tcW w:type="dxa" w:w="3067"/>
          </w:tcPr>
          <w:p>
            <w:pPr>
              <w:spacing w:after="20"/>
              <w:jc w:val="right"/>
            </w:pPr>
            <w:r>
              <w:rPr>
                <w:color w:val="1C3A36"/>
                <w:sz w:val="14"/>
              </w:rPr>
              <w:t>US EIA July 2026 Short-Term Energy Outlook (via Oil &amp; Gas Journal and EIA pressroom)</w:t>
              <w:br/>
              <w:t>eia.gov  -&gt;  outlooks  -&gt;  steo  -&gt;  …</w:t>
              <w:br/>
              <w:t>read 9 Aug 2026; as at 7 Jul 2026</w:t>
            </w:r>
          </w:p>
        </w:tc>
        <w:tc>
          <w:tcPr>
            <w:tcW w:type="dxa" w:w="4248"/>
          </w:tcPr>
          <w:p>
            <w:pPr>
              <w:spacing w:after="20"/>
              <w:jc w:val="right"/>
            </w:pPr>
            <w:r>
              <w:rPr>
                <w:color w:val="1C3A36"/>
                <w:sz w:val="14"/>
              </w:rPr>
              <w:t>Supplies a build-level driver. The official forecast is for a sharp mean-reversion in crude — Brent USD 70 by 4Q26 and USD 65 in 2027 versus USD 83.55 spot. If that path realises, UAE retail fuel prices fall materially from the August 2026 level, revenue per litre compresses, AND the ADNOC backstop mechanism (see CO-09) is triggered on retail inventory.</w:t>
            </w:r>
          </w:p>
        </w:tc>
      </w:tr>
      <w:tr>
        <w:trPr>
          <w:cantSplit/>
        </w:trPr>
        <w:tc>
          <w:tcPr>
            <w:tcW w:type="dxa" w:w="605"/>
          </w:tcPr>
          <w:p>
            <w:pPr>
              <w:spacing w:after="20"/>
            </w:pPr>
            <w:r>
              <w:rPr>
                <w:color w:val="1C3A36"/>
                <w:sz w:val="14"/>
              </w:rPr>
              <w:t>G-05</w:t>
            </w:r>
          </w:p>
        </w:tc>
        <w:tc>
          <w:tcPr>
            <w:tcW w:type="dxa" w:w="2160"/>
          </w:tcPr>
          <w:p>
            <w:pPr>
              <w:spacing w:after="20"/>
              <w:jc w:val="right"/>
            </w:pPr>
            <w:r>
              <w:rPr>
                <w:color w:val="1C3A36"/>
                <w:sz w:val="14"/>
              </w:rPr>
              <w:t>Global refined-product cracks / refining margins 2025-2026</w:t>
            </w:r>
          </w:p>
        </w:tc>
        <w:tc>
          <w:tcPr>
            <w:tcW w:type="dxa" w:w="3067"/>
          </w:tcPr>
          <w:p>
            <w:pPr>
              <w:spacing w:after="20"/>
              <w:jc w:val="right"/>
            </w:pPr>
            <w:r>
              <w:rPr>
                <w:color w:val="1C3A36"/>
                <w:sz w:val="14"/>
              </w:rPr>
              <w:t>Forbes — Refining Stocks Soar As Crack Spread Hits Record High In 2026; Kpler; IndexBox</w:t>
              <w:br/>
              <w:t>forbes.com  -&gt;  sites  -&gt;  garthfriesen  -&gt;  …</w:t>
              <w:br/>
              <w:t>read 9 Aug 2026; as at 23 Jul 2026</w:t>
            </w:r>
          </w:p>
        </w:tc>
        <w:tc>
          <w:tcPr>
            <w:tcW w:type="dxa" w:w="4248"/>
          </w:tcPr>
          <w:p>
            <w:pPr>
              <w:spacing w:after="20"/>
              <w:jc w:val="right"/>
            </w:pPr>
            <w:r>
              <w:rPr>
                <w:color w:val="1C3A36"/>
                <w:sz w:val="14"/>
              </w:rPr>
              <w:t>Sets or tests a forward driver. Record cracks are a refiner story, not directly a fuel-retailer story: ADNOC Distribution buys product from ADNOC under a supply agreement, so high cracks raise its input cost. However the UAE monthly pricing formula explicitly incorporates international refining margins, so record cracks flow into the retail price and hence into revenue ...</w:t>
            </w:r>
          </w:p>
        </w:tc>
      </w:tr>
      <w:tr>
        <w:trPr>
          <w:cantSplit/>
        </w:trPr>
        <w:tc>
          <w:tcPr>
            <w:tcW w:type="dxa" w:w="605"/>
          </w:tcPr>
          <w:p>
            <w:pPr>
              <w:spacing w:after="20"/>
            </w:pPr>
            <w:r>
              <w:rPr>
                <w:color w:val="1C3A36"/>
                <w:sz w:val="14"/>
              </w:rPr>
              <w:t>G-06</w:t>
            </w:r>
          </w:p>
        </w:tc>
        <w:tc>
          <w:tcPr>
            <w:tcW w:type="dxa" w:w="2160"/>
          </w:tcPr>
          <w:p>
            <w:pPr>
              <w:spacing w:after="20"/>
              <w:jc w:val="right"/>
            </w:pPr>
            <w:r>
              <w:rPr>
                <w:color w:val="1C3A36"/>
                <w:sz w:val="14"/>
              </w:rPr>
              <w:t>Global EV penetration trajectory</w:t>
            </w:r>
          </w:p>
        </w:tc>
        <w:tc>
          <w:tcPr>
            <w:tcW w:type="dxa" w:w="3067"/>
          </w:tcPr>
          <w:p>
            <w:pPr>
              <w:spacing w:after="20"/>
              <w:jc w:val="right"/>
            </w:pPr>
            <w:r>
              <w:rPr>
                <w:color w:val="1C3A36"/>
                <w:sz w:val="14"/>
              </w:rPr>
              <w:t>IEA Global EV Outlook 2026</w:t>
              <w:br/>
              <w:t>iea.org  -&gt;  reports  -&gt;  global-ev-outlook-2026  -&gt;  …</w:t>
              <w:br/>
              <w:t>read 9 Aug 2026; as at 1 May 2026</w:t>
            </w:r>
          </w:p>
        </w:tc>
        <w:tc>
          <w:tcPr>
            <w:tcW w:type="dxa" w:w="4248"/>
          </w:tcPr>
          <w:p>
            <w:pPr>
              <w:spacing w:after="20"/>
              <w:jc w:val="right"/>
            </w:pPr>
            <w:r>
              <w:rPr>
                <w:color w:val="1C3A36"/>
                <w:sz w:val="14"/>
              </w:rPr>
              <w:t>Supplies a build-level driver. The global terminal-value driver for fuel retail. Sets the outer bound on long-run fuel volume growth and is the primary justification for a conservative terminal growth rate and for weighting the non-fuel/convenience leg.</w:t>
            </w:r>
          </w:p>
        </w:tc>
      </w:tr>
      <w:tr>
        <w:trPr>
          <w:cantSplit/>
        </w:trPr>
        <w:tc>
          <w:tcPr>
            <w:tcW w:type="dxa" w:w="605"/>
          </w:tcPr>
          <w:p>
            <w:pPr>
              <w:spacing w:after="20"/>
            </w:pPr>
            <w:r>
              <w:rPr>
                <w:color w:val="1C3A36"/>
                <w:sz w:val="14"/>
              </w:rPr>
              <w:t>G-07</w:t>
            </w:r>
          </w:p>
        </w:tc>
        <w:tc>
          <w:tcPr>
            <w:tcW w:type="dxa" w:w="2160"/>
          </w:tcPr>
          <w:p>
            <w:pPr>
              <w:spacing w:after="20"/>
              <w:jc w:val="right"/>
            </w:pPr>
            <w:r>
              <w:rPr>
                <w:color w:val="1C3A36"/>
                <w:sz w:val="14"/>
              </w:rPr>
              <w:t>Non-fuel income share at global fuel-retail peers</w:t>
            </w:r>
          </w:p>
        </w:tc>
        <w:tc>
          <w:tcPr>
            <w:tcW w:type="dxa" w:w="3067"/>
          </w:tcPr>
          <w:p>
            <w:pPr>
              <w:spacing w:after="20"/>
              <w:jc w:val="right"/>
            </w:pPr>
            <w:r>
              <w:rPr>
                <w:color w:val="1C3A36"/>
                <w:sz w:val="14"/>
              </w:rPr>
              <w:t>Raymond James Convenience Store Insight; Couche-Tard corporate releases; Casey's FY2025 SEC-filed release</w:t>
              <w:br/>
              <w:t>raymondjames.com  -&gt;  -  -&gt;  media  -&gt;  …</w:t>
              <w:br/>
              <w:t>read 9 Aug 2026; as at 11 Feb 2026</w:t>
            </w:r>
          </w:p>
        </w:tc>
        <w:tc>
          <w:tcPr>
            <w:tcW w:type="dxa" w:w="4248"/>
          </w:tcPr>
          <w:p>
            <w:pPr>
              <w:spacing w:after="20"/>
              <w:jc w:val="right"/>
            </w:pPr>
            <w:r>
              <w:rPr>
                <w:color w:val="1C3A36"/>
                <w:sz w:val="14"/>
              </w:rPr>
              <w:t>Supplies a build-level driver. The structural benchmark against which ADNOC Distribution's non-fuel leg must be judged. ADNOC Distribution's non-fuel gross profit was USD 140m in H1-2026 versus H1 total EBITDA of USD 786m — far below the 70-78% peer benchmark, i.e.</w:t>
            </w:r>
          </w:p>
        </w:tc>
      </w:tr>
      <w:tr>
        <w:trPr>
          <w:cantSplit/>
        </w:trPr>
        <w:tc>
          <w:tcPr>
            <w:tcW w:type="dxa" w:w="605"/>
          </w:tcPr>
          <w:p>
            <w:pPr>
              <w:spacing w:after="20"/>
            </w:pPr>
            <w:r>
              <w:rPr>
                <w:color w:val="1C3A36"/>
                <w:sz w:val="14"/>
              </w:rPr>
              <w:t>G-08</w:t>
            </w:r>
          </w:p>
        </w:tc>
        <w:tc>
          <w:tcPr>
            <w:tcW w:type="dxa" w:w="2160"/>
          </w:tcPr>
          <w:p>
            <w:pPr>
              <w:spacing w:after="20"/>
              <w:jc w:val="right"/>
            </w:pPr>
            <w:r>
              <w:rPr>
                <w:color w:val="1C3A36"/>
                <w:sz w:val="14"/>
              </w:rPr>
              <w:t>US Federal Reserve policy rate — drives UAE rates via the AED/USD peg</w:t>
            </w:r>
          </w:p>
        </w:tc>
        <w:tc>
          <w:tcPr>
            <w:tcW w:type="dxa" w:w="3067"/>
          </w:tcPr>
          <w:p>
            <w:pPr>
              <w:spacing w:after="20"/>
              <w:jc w:val="right"/>
            </w:pPr>
            <w:r>
              <w:rPr>
                <w:color w:val="1C3A36"/>
                <w:sz w:val="14"/>
              </w:rPr>
              <w:t>Federal Reserve Board — FOMC statement, 29 July 2026</w:t>
              <w:br/>
              <w:t>federalreserve.gov  -&gt;  newsevents  -&gt;  pressreleases  -&gt;  …</w:t>
              <w:br/>
              <w:t>read 9 Aug 2026; as at 29 Jul 2026</w:t>
            </w:r>
          </w:p>
        </w:tc>
        <w:tc>
          <w:tcPr>
            <w:tcW w:type="dxa" w:w="4248"/>
          </w:tcPr>
          <w:p>
            <w:pPr>
              <w:spacing w:after="20"/>
              <w:jc w:val="right"/>
            </w:pPr>
            <w:r>
              <w:rPr>
                <w:color w:val="1C3A36"/>
                <w:sz w:val="14"/>
              </w:rPr>
              <w:t>Supplies a build-level driver. The AED is pegged to the USD, so the Fed sets the floor for UAE money-market rates and hence the CBUAE Base Rate (C-05) and ADNOC Distribution's floating-rate debt cost. Note the hawkish direction of travel: three dissents for a HIKE, and markets pricing a 25bp increase in September 2026 (see G-09).</w:t>
            </w:r>
          </w:p>
        </w:tc>
      </w:tr>
      <w:tr>
        <w:trPr>
          <w:cantSplit/>
        </w:trPr>
        <w:tc>
          <w:tcPr>
            <w:tcW w:type="dxa" w:w="605"/>
          </w:tcPr>
          <w:p>
            <w:pPr>
              <w:spacing w:after="20"/>
            </w:pPr>
            <w:r>
              <w:rPr>
                <w:color w:val="1C3A36"/>
                <w:sz w:val="14"/>
              </w:rPr>
              <w:t>G-09</w:t>
            </w:r>
          </w:p>
        </w:tc>
        <w:tc>
          <w:tcPr>
            <w:tcW w:type="dxa" w:w="2160"/>
          </w:tcPr>
          <w:p>
            <w:pPr>
              <w:spacing w:after="20"/>
              <w:jc w:val="right"/>
            </w:pPr>
            <w:r>
              <w:rPr>
                <w:color w:val="1C3A36"/>
                <w:sz w:val="14"/>
              </w:rPr>
              <w:t>US 10-year Treasury yield</w:t>
            </w:r>
          </w:p>
        </w:tc>
        <w:tc>
          <w:tcPr>
            <w:tcW w:type="dxa" w:w="3067"/>
          </w:tcPr>
          <w:p>
            <w:pPr>
              <w:spacing w:after="20"/>
              <w:jc w:val="right"/>
            </w:pPr>
            <w:r>
              <w:rPr>
                <w:color w:val="1C3A36"/>
                <w:sz w:val="14"/>
              </w:rPr>
              <w:t>Trading Economics — US 10 Year Treasury Note Yield</w:t>
              <w:br/>
              <w:t>tradingeconomics.com  -&gt;  united-states  -&gt;  government-bond-yield</w:t>
              <w:br/>
              <w:t>read 9 Aug 2026; as at 8 Aug 2026</w:t>
            </w:r>
          </w:p>
        </w:tc>
        <w:tc>
          <w:tcPr>
            <w:tcW w:type="dxa" w:w="4248"/>
          </w:tcPr>
          <w:p>
            <w:pPr>
              <w:spacing w:after="20"/>
              <w:jc w:val="right"/>
            </w:pPr>
            <w:r>
              <w:rPr>
                <w:color w:val="1C3A36"/>
                <w:sz w:val="14"/>
              </w:rPr>
              <w:t>Context and cross-check only. Because AED is pegged and UAE federal paper prices at a few basis points over comparable USTs (see C-06), the UST curve is the effective backbone of the AED risk-free rate. A UAE/Abu Dhabi 10Y USD point marked off today's UST 10Y at the Feb-2026 issue spread of +25bp implies ~4.90-4.93%.</w:t>
            </w:r>
          </w:p>
        </w:tc>
      </w:tr>
      <w:tr>
        <w:trPr>
          <w:cantSplit/>
        </w:trPr>
        <w:tc>
          <w:tcPr>
            <w:tcW w:type="dxa" w:w="605"/>
          </w:tcPr>
          <w:p>
            <w:pPr>
              <w:spacing w:after="20"/>
            </w:pPr>
            <w:r>
              <w:rPr>
                <w:color w:val="1C3A36"/>
                <w:sz w:val="14"/>
              </w:rPr>
              <w:t>C-01</w:t>
            </w:r>
          </w:p>
        </w:tc>
        <w:tc>
          <w:tcPr>
            <w:tcW w:type="dxa" w:w="2160"/>
          </w:tcPr>
          <w:p>
            <w:pPr>
              <w:spacing w:after="20"/>
              <w:jc w:val="right"/>
            </w:pPr>
            <w:r>
              <w:rPr>
                <w:color w:val="1C3A36"/>
                <w:sz w:val="14"/>
              </w:rPr>
              <w:t>UAE real GDP growth 2025 actual</w:t>
            </w:r>
          </w:p>
        </w:tc>
        <w:tc>
          <w:tcPr>
            <w:tcW w:type="dxa" w:w="3067"/>
          </w:tcPr>
          <w:p>
            <w:pPr>
              <w:spacing w:after="20"/>
              <w:jc w:val="right"/>
            </w:pPr>
            <w:r>
              <w:rPr>
                <w:color w:val="1C3A36"/>
                <w:sz w:val="14"/>
              </w:rPr>
              <w:t>IMF — 2025 Article IV Consultation, United Arab Emirates (Staff Report and press release)</w:t>
              <w:br/>
              <w:t>imf.org  -&gt;  en  -&gt;  news  -&gt;  …</w:t>
              <w:br/>
              <w:t>read 9 Aug 2026; as at 2 Oct 2025</w:t>
            </w:r>
          </w:p>
        </w:tc>
        <w:tc>
          <w:tcPr>
            <w:tcW w:type="dxa" w:w="4248"/>
          </w:tcPr>
          <w:p>
            <w:pPr>
              <w:spacing w:after="20"/>
              <w:jc w:val="right"/>
            </w:pPr>
            <w:r>
              <w:rPr>
                <w:color w:val="1C3A36"/>
                <w:sz w:val="14"/>
              </w:rPr>
              <w:t>Sets or tests a forward driver. Macro backdrop for UAE fuel-volume growth. Note the spread across official sources (4.8% IMF vs 5.6% World Bank) — do not present a single point without naming the source.</w:t>
            </w:r>
          </w:p>
        </w:tc>
      </w:tr>
      <w:tr>
        <w:trPr>
          <w:cantSplit/>
        </w:trPr>
        <w:tc>
          <w:tcPr>
            <w:tcW w:type="dxa" w:w="605"/>
          </w:tcPr>
          <w:p>
            <w:pPr>
              <w:spacing w:after="20"/>
            </w:pPr>
            <w:r>
              <w:rPr>
                <w:color w:val="1C3A36"/>
                <w:sz w:val="14"/>
              </w:rPr>
              <w:t>C-02</w:t>
            </w:r>
          </w:p>
        </w:tc>
        <w:tc>
          <w:tcPr>
            <w:tcW w:type="dxa" w:w="2160"/>
          </w:tcPr>
          <w:p>
            <w:pPr>
              <w:spacing w:after="20"/>
              <w:jc w:val="right"/>
            </w:pPr>
            <w:r>
              <w:rPr>
                <w:color w:val="1C3A36"/>
                <w:sz w:val="14"/>
              </w:rPr>
              <w:t>UAE real GDP growth 2026-2027 forecast, non-oil specifically</w:t>
            </w:r>
          </w:p>
        </w:tc>
        <w:tc>
          <w:tcPr>
            <w:tcW w:type="dxa" w:w="3067"/>
          </w:tcPr>
          <w:p>
            <w:pPr>
              <w:spacing w:after="20"/>
              <w:jc w:val="right"/>
            </w:pPr>
            <w:r>
              <w:rPr>
                <w:color w:val="1C3A36"/>
                <w:sz w:val="14"/>
              </w:rPr>
              <w:t>IMF 2025 Article IV; CBUAE Quarterly Economic Review</w:t>
              <w:br/>
              <w:t>elibrary.imf.org  -&gt;  view  -&gt;  journals  -&gt;  …</w:t>
              <w:br/>
              <w:t>read 9 Aug 2026; as at 2 Oct 2025</w:t>
            </w:r>
          </w:p>
        </w:tc>
        <w:tc>
          <w:tcPr>
            <w:tcW w:type="dxa" w:w="4248"/>
          </w:tcPr>
          <w:p>
            <w:pPr>
              <w:spacing w:after="20"/>
              <w:jc w:val="right"/>
            </w:pPr>
            <w:r>
              <w:rPr>
                <w:color w:val="1C3A36"/>
                <w:sz w:val="14"/>
              </w:rPr>
              <w:t>Supplies a build-level driver. Non-oil GDP growth of ~4.6% is the closest macro proxy for UAE fuel demand growth. It should be reconciled against the company's own realised UAE volume growth of +1.6% y/y in H1-2026 (CO-04) — volumes are growing far slower than non-oil GDP, which is the single most important sanity check on any volume driver.</w:t>
            </w:r>
          </w:p>
        </w:tc>
      </w:tr>
      <w:tr>
        <w:trPr>
          <w:cantSplit/>
        </w:trPr>
        <w:tc>
          <w:tcPr>
            <w:tcW w:type="dxa" w:w="605"/>
          </w:tcPr>
          <w:p>
            <w:pPr>
              <w:spacing w:after="20"/>
            </w:pPr>
            <w:r>
              <w:rPr>
                <w:color w:val="1C3A36"/>
                <w:sz w:val="14"/>
              </w:rPr>
              <w:t>C-03</w:t>
            </w:r>
          </w:p>
        </w:tc>
        <w:tc>
          <w:tcPr>
            <w:tcW w:type="dxa" w:w="2160"/>
          </w:tcPr>
          <w:p>
            <w:pPr>
              <w:spacing w:after="20"/>
              <w:jc w:val="right"/>
            </w:pPr>
            <w:r>
              <w:rPr>
                <w:color w:val="1C3A36"/>
                <w:sz w:val="14"/>
              </w:rPr>
              <w:t>UAE CPI inflation 2025 actual and 2026-2027 forecast</w:t>
            </w:r>
          </w:p>
        </w:tc>
        <w:tc>
          <w:tcPr>
            <w:tcW w:type="dxa" w:w="3067"/>
          </w:tcPr>
          <w:p>
            <w:pPr>
              <w:spacing w:after="20"/>
              <w:jc w:val="right"/>
            </w:pPr>
            <w:r>
              <w:rPr>
                <w:color w:val="1C3A36"/>
                <w:sz w:val="14"/>
              </w:rPr>
              <w:t>Central Bank of the UAE — Quarterly Economic Review, March 2026</w:t>
              <w:br/>
              <w:t>centralbank.ae  -&gt;  media  -&gt;  lgnfakgc  -&gt;  …</w:t>
              <w:br/>
              <w:t>read 9 Aug 2026; as at 1 Mar 2026</w:t>
            </w:r>
          </w:p>
        </w:tc>
        <w:tc>
          <w:tcPr>
            <w:tcW w:type="dxa" w:w="4248"/>
          </w:tcPr>
          <w:p>
            <w:pPr>
              <w:spacing w:after="20"/>
              <w:jc w:val="right"/>
            </w:pPr>
            <w:r>
              <w:rPr>
                <w:color w:val="1C3A36"/>
                <w:sz w:val="14"/>
              </w:rPr>
              <w:t>Supplies a build-level driver. The domestic escalator for genuinely domestic cost lines (UAE wages, local services, station opex). Per the cost-stack escalation rule, this 1.8-2.0% domestic CPI must NOT be applied to product-cost or globally-traded input lines — those escalate on their own commodity path.</w:t>
            </w:r>
          </w:p>
        </w:tc>
      </w:tr>
      <w:tr>
        <w:trPr>
          <w:cantSplit/>
        </w:trPr>
        <w:tc>
          <w:tcPr>
            <w:tcW w:type="dxa" w:w="605"/>
          </w:tcPr>
          <w:p>
            <w:pPr>
              <w:spacing w:after="20"/>
            </w:pPr>
            <w:r>
              <w:rPr>
                <w:color w:val="1C3A36"/>
                <w:sz w:val="14"/>
              </w:rPr>
              <w:t>C-04</w:t>
            </w:r>
          </w:p>
        </w:tc>
        <w:tc>
          <w:tcPr>
            <w:tcW w:type="dxa" w:w="2160"/>
          </w:tcPr>
          <w:p>
            <w:pPr>
              <w:spacing w:after="20"/>
              <w:jc w:val="right"/>
            </w:pPr>
            <w:r>
              <w:rPr>
                <w:color w:val="1C3A36"/>
                <w:sz w:val="14"/>
              </w:rPr>
              <w:t>UAE population growth and vehicle parc / registrations</w:t>
            </w:r>
          </w:p>
        </w:tc>
        <w:tc>
          <w:tcPr>
            <w:tcW w:type="dxa" w:w="3067"/>
          </w:tcPr>
          <w:p>
            <w:pPr>
              <w:spacing w:after="20"/>
              <w:jc w:val="right"/>
            </w:pPr>
            <w:r>
              <w:rPr>
                <w:color w:val="1C3A36"/>
                <w:sz w:val="14"/>
              </w:rPr>
              <w:t>Khaleej Times / The Filipino Times (citing UAE Ministry of Interior and Dubai RTA data); DubiCars UAE Automotive Industry Report</w:t>
              <w:br/>
              <w:t>khaleejtimes.com  -&gt;  uae  -&gt;  transport  -&gt;  …</w:t>
              <w:br/>
              <w:t>read 9 Aug 2026; as at 30 Jun 2025</w:t>
            </w:r>
          </w:p>
        </w:tc>
        <w:tc>
          <w:tcPr>
            <w:tcW w:type="dxa" w:w="4248"/>
          </w:tcPr>
          <w:p>
            <w:pPr>
              <w:spacing w:after="20"/>
              <w:jc w:val="right"/>
            </w:pPr>
            <w:r>
              <w:rPr>
                <w:color w:val="1C3A36"/>
                <w:sz w:val="14"/>
              </w:rPr>
              <w:t>Supplies a build-level driver. The physical volume driver: vehicle parc growth of ~9% y/y sits far above the company's realised +1.6% H1-2026 fuel volume growth. That gap (parc +9%, volumes +1.6%) is a material tension — candidate explanations are fleet efficiency, EV substitution, market-share loss, or price elasticity following the &gt;60% price rise.</w:t>
            </w:r>
          </w:p>
        </w:tc>
      </w:tr>
      <w:tr>
        <w:trPr>
          <w:cantSplit/>
        </w:trPr>
        <w:tc>
          <w:tcPr>
            <w:tcW w:type="dxa" w:w="605"/>
          </w:tcPr>
          <w:p>
            <w:pPr>
              <w:spacing w:after="20"/>
            </w:pPr>
            <w:r>
              <w:rPr>
                <w:color w:val="1C3A36"/>
                <w:sz w:val="14"/>
              </w:rPr>
              <w:t>C-05</w:t>
            </w:r>
          </w:p>
        </w:tc>
        <w:tc>
          <w:tcPr>
            <w:tcW w:type="dxa" w:w="2160"/>
          </w:tcPr>
          <w:p>
            <w:pPr>
              <w:spacing w:after="20"/>
              <w:jc w:val="right"/>
            </w:pPr>
            <w:r>
              <w:rPr>
                <w:color w:val="1C3A36"/>
                <w:sz w:val="14"/>
              </w:rPr>
              <w:t>UAE Central Bank Base Rate</w:t>
            </w:r>
          </w:p>
        </w:tc>
        <w:tc>
          <w:tcPr>
            <w:tcW w:type="dxa" w:w="3067"/>
          </w:tcPr>
          <w:p>
            <w:pPr>
              <w:spacing w:after="20"/>
              <w:jc w:val="right"/>
            </w:pPr>
            <w:r>
              <w:rPr>
                <w:color w:val="1C3A36"/>
                <w:sz w:val="14"/>
              </w:rPr>
              <w:t>Central Bank of the UAE — 'CBUAE Maintains the Base Rate at 3.65%'</w:t>
              <w:br/>
              <w:t>centralbank.ae  -&gt;  media  -&gt;  kc0p2tuf  -&gt;  …</w:t>
              <w:br/>
              <w:t>read 9 Aug 2026; as at 29 Jul 2026</w:t>
            </w:r>
          </w:p>
        </w:tc>
        <w:tc>
          <w:tcPr>
            <w:tcW w:type="dxa" w:w="4248"/>
          </w:tcPr>
          <w:p>
            <w:pPr>
              <w:spacing w:after="20"/>
              <w:jc w:val="right"/>
            </w:pPr>
            <w:r>
              <w:rPr>
                <w:color w:val="1C3A36"/>
                <w:sz w:val="14"/>
              </w:rPr>
              <w:t>Supplies a build-level driver. The policy anchor for AED short rates and the floor for floating-rate bank debt pricing (EIBOR-linked term loans). Not itself the risk-free rate for a DCF — use the federal T-bond curve (C-06) for that — but it constrains the marginal cost of short-dated debt.</w:t>
            </w:r>
          </w:p>
        </w:tc>
      </w:tr>
      <w:tr>
        <w:trPr>
          <w:cantSplit/>
        </w:trPr>
        <w:tc>
          <w:tcPr>
            <w:tcW w:type="dxa" w:w="605"/>
          </w:tcPr>
          <w:p>
            <w:pPr>
              <w:spacing w:after="20"/>
            </w:pPr>
            <w:r>
              <w:rPr>
                <w:color w:val="1C3A36"/>
                <w:sz w:val="14"/>
              </w:rPr>
              <w:t>C-06</w:t>
            </w:r>
          </w:p>
        </w:tc>
        <w:tc>
          <w:tcPr>
            <w:tcW w:type="dxa" w:w="2160"/>
          </w:tcPr>
          <w:p>
            <w:pPr>
              <w:spacing w:after="20"/>
              <w:jc w:val="right"/>
            </w:pPr>
            <w:r>
              <w:rPr>
                <w:color w:val="1C3A36"/>
                <w:sz w:val="14"/>
              </w:rPr>
              <w:t>UAE federal AED Treasury Bond curve — THE RISK-FREE ANCHOR</w:t>
            </w:r>
          </w:p>
        </w:tc>
        <w:tc>
          <w:tcPr>
            <w:tcW w:type="dxa" w:w="3067"/>
          </w:tcPr>
          <w:p>
            <w:pPr>
              <w:spacing w:after="20"/>
              <w:jc w:val="right"/>
            </w:pPr>
            <w:r>
              <w:rPr>
                <w:color w:val="1C3A36"/>
                <w:sz w:val="14"/>
              </w:rPr>
              <w:t>UAE Ministry of Finance / WAM (Emirates News Agency) — July 2026 Treasury Sukuk and Bonds auction results</w:t>
              <w:br/>
              <w:t>wam.ae  -&gt;  en  -&gt;  article  -&gt;  …</w:t>
              <w:br/>
              <w:t>read 9 Aug 2026; as at 30 Jul 2026</w:t>
            </w:r>
          </w:p>
        </w:tc>
        <w:tc>
          <w:tcPr>
            <w:tcW w:type="dxa" w:w="4248"/>
          </w:tcPr>
          <w:p>
            <w:pPr>
              <w:spacing w:after="20"/>
              <w:jc w:val="right"/>
            </w:pPr>
            <w:r>
              <w:rPr>
                <w:color w:val="1C3A36"/>
                <w:sz w:val="14"/>
              </w:rPr>
              <w:t>Context and cross-check only. PRIMARY RISK-FREE ANCHOR for an AED-denominated DCF. This is a local-currency government yield from the sovereign's own curve, exactly as the WACC rule requires (rf from the LOCAL govt bond even for pegged currencies — never shortcut to USD).</w:t>
            </w:r>
          </w:p>
        </w:tc>
      </w:tr>
      <w:tr>
        <w:trPr>
          <w:cantSplit/>
        </w:trPr>
        <w:tc>
          <w:tcPr>
            <w:tcW w:type="dxa" w:w="605"/>
          </w:tcPr>
          <w:p>
            <w:pPr>
              <w:spacing w:after="20"/>
            </w:pPr>
            <w:r>
              <w:rPr>
                <w:color w:val="1C3A36"/>
                <w:sz w:val="14"/>
              </w:rPr>
              <w:t>C-07</w:t>
            </w:r>
          </w:p>
        </w:tc>
        <w:tc>
          <w:tcPr>
            <w:tcW w:type="dxa" w:w="2160"/>
          </w:tcPr>
          <w:p>
            <w:pPr>
              <w:spacing w:after="20"/>
              <w:jc w:val="right"/>
            </w:pPr>
            <w:r>
              <w:rPr>
                <w:color w:val="1C3A36"/>
                <w:sz w:val="14"/>
              </w:rPr>
              <w:t>UAE federal AED T-Bond curve — prior auctions (path evidence)</w:t>
            </w:r>
          </w:p>
        </w:tc>
        <w:tc>
          <w:tcPr>
            <w:tcW w:type="dxa" w:w="3067"/>
          </w:tcPr>
          <w:p>
            <w:pPr>
              <w:spacing w:after="20"/>
              <w:jc w:val="right"/>
            </w:pPr>
            <w:r>
              <w:rPr>
                <w:color w:val="1C3A36"/>
                <w:sz w:val="14"/>
              </w:rPr>
              <w:t>UAE Ministry of Finance — 'UAE Successfully Concludes May 2026 Treasury Bond Auction'</w:t>
              <w:br/>
              <w:t>mof.gov.ae  -&gt;  en  -&gt;  news  -&gt;  …</w:t>
              <w:br/>
              <w:t>read 9 Aug 2026; as at 23 May 2026</w:t>
            </w:r>
          </w:p>
        </w:tc>
        <w:tc>
          <w:tcPr>
            <w:tcW w:type="dxa" w:w="4248"/>
          </w:tcPr>
          <w:p>
            <w:pPr>
              <w:spacing w:after="20"/>
              <w:jc w:val="right"/>
            </w:pPr>
            <w:r>
              <w:rPr>
                <w:color w:val="1C3A36"/>
                <w:sz w:val="14"/>
              </w:rPr>
              <w:t>Sets or tests a forward driver. Shows the AED curve rising through 2026 (Jan-2031 point: 3.85% in an earlier vintage, 4.30% in May-2026, 4.48% in Jul-2026). Confirms the July print is not an outlier and that the direction of travel is upward, consistent with the hawkish Fed.</w:t>
            </w:r>
          </w:p>
        </w:tc>
      </w:tr>
      <w:tr>
        <w:trPr>
          <w:cantSplit/>
        </w:trPr>
        <w:tc>
          <w:tcPr>
            <w:tcW w:type="dxa" w:w="605"/>
          </w:tcPr>
          <w:p>
            <w:pPr>
              <w:spacing w:after="20"/>
            </w:pPr>
            <w:r>
              <w:rPr>
                <w:color w:val="1C3A36"/>
                <w:sz w:val="14"/>
              </w:rPr>
              <w:t>C-08</w:t>
            </w:r>
          </w:p>
        </w:tc>
        <w:tc>
          <w:tcPr>
            <w:tcW w:type="dxa" w:w="2160"/>
          </w:tcPr>
          <w:p>
            <w:pPr>
              <w:spacing w:after="20"/>
              <w:jc w:val="right"/>
            </w:pPr>
            <w:r>
              <w:rPr>
                <w:color w:val="1C3A36"/>
                <w:sz w:val="14"/>
              </w:rPr>
              <w:t>Abu Dhabi sovereign USD bond — 10-year point</w:t>
            </w:r>
          </w:p>
        </w:tc>
        <w:tc>
          <w:tcPr>
            <w:tcW w:type="dxa" w:w="3067"/>
          </w:tcPr>
          <w:p>
            <w:pPr>
              <w:spacing w:after="20"/>
              <w:jc w:val="right"/>
            </w:pPr>
            <w:r>
              <w:rPr>
                <w:color w:val="1C3A36"/>
                <w:sz w:val="14"/>
              </w:rPr>
              <w:t>Zawya — 'Abu Dhabi raises $3bln as investor demand drives tight spreads on dual-tranche bond'; Abu Dhabi Department of Finance / Abu Dhabi Media Office</w:t>
              <w:br/>
              <w:t>zawya.com  -&gt;  en  -&gt;  capital-markets  -&gt;  …</w:t>
              <w:br/>
              <w:t>read 9 Aug 2026; as at 1 Feb 2026</w:t>
            </w:r>
          </w:p>
        </w:tc>
        <w:tc>
          <w:tcPr>
            <w:tcW w:type="dxa" w:w="4248"/>
          </w:tcPr>
          <w:p>
            <w:pPr>
              <w:spacing w:after="20"/>
              <w:jc w:val="right"/>
            </w:pPr>
            <w:r>
              <w:rPr>
                <w:color w:val="1C3A36"/>
                <w:sz w:val="14"/>
              </w:rPr>
              <w:t>Supplies a build-level driver. The only observed 10-year sovereign point for the emirate in which ADNOC Distribution is domiciled. Because it is a February-2026 PRIMARY PRINT, not a live secondary yield, it is a stale level — but the SPREAD (+25bp over UST) is the durable, transferable quantity.</w:t>
            </w:r>
          </w:p>
        </w:tc>
      </w:tr>
      <w:tr>
        <w:trPr>
          <w:cantSplit/>
        </w:trPr>
        <w:tc>
          <w:tcPr>
            <w:tcW w:type="dxa" w:w="605"/>
          </w:tcPr>
          <w:p>
            <w:pPr>
              <w:spacing w:after="20"/>
            </w:pPr>
            <w:r>
              <w:rPr>
                <w:color w:val="1C3A36"/>
                <w:sz w:val="14"/>
              </w:rPr>
              <w:t>C-09</w:t>
            </w:r>
          </w:p>
        </w:tc>
        <w:tc>
          <w:tcPr>
            <w:tcW w:type="dxa" w:w="2160"/>
          </w:tcPr>
          <w:p>
            <w:pPr>
              <w:spacing w:after="20"/>
              <w:jc w:val="right"/>
            </w:pPr>
            <w:r>
              <w:rPr>
                <w:color w:val="1C3A36"/>
                <w:sz w:val="14"/>
              </w:rPr>
              <w:t>UAE sovereign credit rating — Moody's</w:t>
            </w:r>
          </w:p>
        </w:tc>
        <w:tc>
          <w:tcPr>
            <w:tcW w:type="dxa" w:w="3067"/>
          </w:tcPr>
          <w:p>
            <w:pPr>
              <w:spacing w:after="20"/>
              <w:jc w:val="right"/>
            </w:pPr>
            <w:r>
              <w:rPr>
                <w:color w:val="1C3A36"/>
                <w:sz w:val="14"/>
              </w:rPr>
              <w:t>The National — 'UAE retains high Moody's ratings and stable outlook on strong shock-absorption'</w:t>
              <w:br/>
              <w:t>thenationalnews.com  -&gt;  business  -&gt;  economy  -&gt;  …</w:t>
              <w:br/>
              <w:t>read 9 Aug 2026; as at 12 Jun 2026</w:t>
            </w:r>
          </w:p>
        </w:tc>
        <w:tc>
          <w:tcPr>
            <w:tcW w:type="dxa" w:w="4248"/>
          </w:tcPr>
          <w:p>
            <w:pPr>
              <w:spacing w:after="20"/>
              <w:jc w:val="right"/>
            </w:pPr>
            <w:r>
              <w:rPr>
                <w:color w:val="1C3A36"/>
                <w:sz w:val="14"/>
              </w:rPr>
              <w:t>Supplies a build-level driver. Aa2 is the rating that maps to the Damodaran default spread of 0.42% used to normalise rf and to derive the CRP (C-13). It confirms the Damodaran row's rating input is current as at the valuation date, even though the Damodaran file itself is a January-2026 vintage.</w:t>
            </w:r>
          </w:p>
        </w:tc>
      </w:tr>
      <w:tr>
        <w:trPr>
          <w:cantSplit/>
        </w:trPr>
        <w:tc>
          <w:tcPr>
            <w:tcW w:type="dxa" w:w="605"/>
          </w:tcPr>
          <w:p>
            <w:pPr>
              <w:spacing w:after="20"/>
            </w:pPr>
            <w:r>
              <w:rPr>
                <w:color w:val="1C3A36"/>
                <w:sz w:val="14"/>
              </w:rPr>
              <w:t>C-10</w:t>
            </w:r>
          </w:p>
        </w:tc>
        <w:tc>
          <w:tcPr>
            <w:tcW w:type="dxa" w:w="2160"/>
          </w:tcPr>
          <w:p>
            <w:pPr>
              <w:spacing w:after="20"/>
              <w:jc w:val="right"/>
            </w:pPr>
            <w:r>
              <w:rPr>
                <w:color w:val="1C3A36"/>
                <w:sz w:val="14"/>
              </w:rPr>
              <w:t>UAE sovereign credit rating — S&amp;P</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6 Mar 2026</w:t>
            </w:r>
          </w:p>
        </w:tc>
        <w:tc>
          <w:tcPr>
            <w:tcW w:type="dxa" w:w="4248"/>
          </w:tcPr>
          <w:p>
            <w:pPr>
              <w:spacing w:after="20"/>
              <w:jc w:val="right"/>
            </w:pPr>
            <w:r>
              <w:rPr>
                <w:color w:val="1C3A36"/>
                <w:sz w:val="14"/>
              </w:rPr>
              <w:t>Sets or tests a forward driver. Cross-check on the sovereign quality input. S&amp;P at AA is one notch above the Moody's Aa2 equivalent;</w:t>
            </w:r>
          </w:p>
        </w:tc>
      </w:tr>
      <w:tr>
        <w:trPr>
          <w:cantSplit/>
        </w:trPr>
        <w:tc>
          <w:tcPr>
            <w:tcW w:type="dxa" w:w="605"/>
          </w:tcPr>
          <w:p>
            <w:pPr>
              <w:spacing w:after="20"/>
            </w:pPr>
            <w:r>
              <w:rPr>
                <w:color w:val="1C3A36"/>
                <w:sz w:val="14"/>
              </w:rPr>
              <w:t>C-11</w:t>
            </w:r>
          </w:p>
        </w:tc>
        <w:tc>
          <w:tcPr>
            <w:tcW w:type="dxa" w:w="2160"/>
          </w:tcPr>
          <w:p>
            <w:pPr>
              <w:spacing w:after="20"/>
              <w:jc w:val="right"/>
            </w:pPr>
            <w:r>
              <w:rPr>
                <w:color w:val="1C3A36"/>
                <w:sz w:val="14"/>
              </w:rPr>
              <w:t>UAE sovereign credit rating — Fitch</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23 May 2026</w:t>
            </w:r>
          </w:p>
        </w:tc>
        <w:tc>
          <w:tcPr>
            <w:tcW w:type="dxa" w:w="4248"/>
          </w:tcPr>
          <w:p>
            <w:pPr>
              <w:spacing w:after="20"/>
              <w:jc w:val="right"/>
            </w:pPr>
            <w:r>
              <w:rPr>
                <w:color w:val="1C3A36"/>
                <w:sz w:val="14"/>
              </w:rPr>
              <w:t>Sets or tests a forward driver. Cross-check. The three agencies span AA- to AA (Aa2 equivalent), i.e.</w:t>
            </w:r>
          </w:p>
        </w:tc>
      </w:tr>
      <w:tr>
        <w:trPr>
          <w:cantSplit/>
        </w:trPr>
        <w:tc>
          <w:tcPr>
            <w:tcW w:type="dxa" w:w="605"/>
          </w:tcPr>
          <w:p>
            <w:pPr>
              <w:spacing w:after="20"/>
            </w:pPr>
            <w:r>
              <w:rPr>
                <w:color w:val="1C3A36"/>
                <w:sz w:val="14"/>
              </w:rPr>
              <w:t>C-12</w:t>
            </w:r>
          </w:p>
        </w:tc>
        <w:tc>
          <w:tcPr>
            <w:tcW w:type="dxa" w:w="2160"/>
          </w:tcPr>
          <w:p>
            <w:pPr>
              <w:spacing w:after="20"/>
              <w:jc w:val="right"/>
            </w:pPr>
            <w:r>
              <w:rPr>
                <w:color w:val="1C3A36"/>
                <w:sz w:val="14"/>
              </w:rPr>
              <w:t>Damodaran country risk premium — UNITED ARAB EMIRATES row, from the original published country-premium file</w:t>
            </w:r>
          </w:p>
        </w:tc>
        <w:tc>
          <w:tcPr>
            <w:tcW w:type="dxa" w:w="3067"/>
          </w:tcPr>
          <w:p>
            <w:pPr>
              <w:spacing w:after="20"/>
              <w:jc w:val="right"/>
            </w:pPr>
            <w:r>
              <w:rPr>
                <w:color w:val="1C3A36"/>
                <w:sz w:val="14"/>
              </w:rPr>
              <w:t>Aswath Damodaran (NYU Stern) — Country Default Spreads and Risk Premiums (the published country-premium file), ORIGINAL FILE</w:t>
              <w:br/>
              <w:t>pages.stern.nyu.edu  -&gt;  ~adamodar  -&gt;  New_Home_Page  -&gt;  …</w:t>
              <w:br/>
              <w:t>read 9 Aug 2026; as at 5 Jan 2026</w:t>
            </w:r>
          </w:p>
        </w:tc>
        <w:tc>
          <w:tcPr>
            <w:tcW w:type="dxa" w:w="4248"/>
          </w:tcPr>
          <w:p>
            <w:pPr>
              <w:spacing w:after="20"/>
              <w:jc w:val="right"/>
            </w:pPr>
            <w:r>
              <w:rPr>
                <w:color w:val="1C3A36"/>
                <w:sz w:val="14"/>
              </w:rPr>
              <w:t>Context and cross-check only. THE cost-of-equity input. Ke = rf* + beta x ERP, with rf* = 4.48% - 0.42% = 4.06% (C-06) and ERP = 4.87%.</w:t>
            </w:r>
          </w:p>
        </w:tc>
      </w:tr>
      <w:tr>
        <w:trPr>
          <w:cantSplit/>
        </w:trPr>
        <w:tc>
          <w:tcPr>
            <w:tcW w:type="dxa" w:w="605"/>
          </w:tcPr>
          <w:p>
            <w:pPr>
              <w:spacing w:after="20"/>
            </w:pPr>
            <w:r>
              <w:rPr>
                <w:color w:val="1C3A36"/>
                <w:sz w:val="14"/>
              </w:rPr>
              <w:t>C-13</w:t>
            </w:r>
          </w:p>
        </w:tc>
        <w:tc>
          <w:tcPr>
            <w:tcW w:type="dxa" w:w="2160"/>
          </w:tcPr>
          <w:p>
            <w:pPr>
              <w:spacing w:after="20"/>
              <w:jc w:val="right"/>
            </w:pPr>
            <w:r>
              <w:rPr>
                <w:color w:val="1C3A36"/>
                <w:sz w:val="14"/>
              </w:rPr>
              <w:t>Damodaran July-2026 mid-year update — DISCREPANCY FLAG</w:t>
            </w:r>
          </w:p>
        </w:tc>
        <w:tc>
          <w:tcPr>
            <w:tcW w:type="dxa" w:w="3067"/>
          </w:tcPr>
          <w:p>
            <w:pPr>
              <w:spacing w:after="20"/>
              <w:jc w:val="right"/>
            </w:pPr>
            <w:r>
              <w:rPr>
                <w:color w:val="1C3A36"/>
                <w:sz w:val="14"/>
              </w:rPr>
              <w:t>Aswath Damodaran — 'Equity Risk Premiums, by country - July 2026 Update' (LinkedIn); third-party summary at elitecurrensea.com</w:t>
              <w:br/>
              <w:t>linkedin.com  -&gt;  pulse  -&gt;  equity-risk-premiums-cou…</w:t>
              <w:br/>
              <w:t>read 9 Aug 2026; as at 3 Jul 2026</w:t>
            </w:r>
          </w:p>
        </w:tc>
        <w:tc>
          <w:tcPr>
            <w:tcW w:type="dxa" w:w="4248"/>
          </w:tcPr>
          <w:p>
            <w:pPr>
              <w:spacing w:after="20"/>
              <w:jc w:val="right"/>
            </w:pPr>
            <w:r>
              <w:rPr>
                <w:color w:val="1C3A36"/>
                <w:sz w:val="14"/>
              </w:rPr>
              <w:t>Context and cross-check only. item flagged before issue. This study requires the UAE row from the original published country-premium file, and that file is the January-2026 vintage.</w:t>
            </w:r>
          </w:p>
        </w:tc>
      </w:tr>
      <w:tr>
        <w:trPr>
          <w:cantSplit/>
        </w:trPr>
        <w:tc>
          <w:tcPr>
            <w:tcW w:type="dxa" w:w="605"/>
          </w:tcPr>
          <w:p>
            <w:pPr>
              <w:spacing w:after="20"/>
            </w:pPr>
            <w:r>
              <w:rPr>
                <w:color w:val="1C3A36"/>
                <w:sz w:val="14"/>
              </w:rPr>
              <w:t>C-14</w:t>
            </w:r>
          </w:p>
        </w:tc>
        <w:tc>
          <w:tcPr>
            <w:tcW w:type="dxa" w:w="2160"/>
          </w:tcPr>
          <w:p>
            <w:pPr>
              <w:spacing w:after="20"/>
              <w:jc w:val="right"/>
            </w:pPr>
            <w:r>
              <w:rPr>
                <w:color w:val="1C3A36"/>
                <w:sz w:val="14"/>
              </w:rPr>
              <w:t>UAE federal corporate tax — 9% regime</w:t>
            </w:r>
          </w:p>
        </w:tc>
        <w:tc>
          <w:tcPr>
            <w:tcW w:type="dxa" w:w="3067"/>
          </w:tcPr>
          <w:p>
            <w:pPr>
              <w:spacing w:after="20"/>
              <w:jc w:val="right"/>
            </w:pPr>
            <w:r>
              <w:rPr>
                <w:color w:val="1C3A36"/>
                <w:sz w:val="14"/>
              </w:rPr>
              <w:t>PwC Worldwide Tax Summaries — United Arab Emirates, Corporate taxes on corporate income; UAE Ministry of Finance</w:t>
              <w:br/>
              <w:t>taxsummaries.pwc.com  -&gt;  united-arab-emirates  -&gt;  corporate  -&gt;  …</w:t>
              <w:br/>
              <w:t>read 9 Aug 2026; as at 1 Jan 2026</w:t>
            </w:r>
          </w:p>
        </w:tc>
        <w:tc>
          <w:tcPr>
            <w:tcW w:type="dxa" w:w="4248"/>
          </w:tcPr>
          <w:p>
            <w:pPr>
              <w:spacing w:after="20"/>
              <w:jc w:val="right"/>
            </w:pPr>
            <w:r>
              <w:rPr>
                <w:color w:val="1C3A36"/>
                <w:sz w:val="14"/>
              </w:rPr>
              <w:t>Context and cross-check only. Tax rate driver for the FCFF waterfall. The upstream-extraction carve-out does NOT cover ADNOC Distribution: it is a downstream retail and distribution business, not an extractor, so it sits inside the federal net.</w:t>
            </w:r>
          </w:p>
        </w:tc>
      </w:tr>
      <w:tr>
        <w:trPr>
          <w:cantSplit/>
        </w:trPr>
        <w:tc>
          <w:tcPr>
            <w:tcW w:type="dxa" w:w="605"/>
          </w:tcPr>
          <w:p>
            <w:pPr>
              <w:spacing w:after="20"/>
            </w:pPr>
            <w:r>
              <w:rPr>
                <w:color w:val="1C3A36"/>
                <w:sz w:val="14"/>
              </w:rPr>
              <w:t>C-15</w:t>
            </w:r>
          </w:p>
        </w:tc>
        <w:tc>
          <w:tcPr>
            <w:tcW w:type="dxa" w:w="2160"/>
          </w:tcPr>
          <w:p>
            <w:pPr>
              <w:spacing w:after="20"/>
              <w:jc w:val="right"/>
            </w:pPr>
            <w:r>
              <w:rPr>
                <w:color w:val="1C3A36"/>
                <w:sz w:val="14"/>
              </w:rPr>
              <w:t>UAE Domestic Minimum Top-up Tax (DMTT) — 15%</w:t>
            </w:r>
          </w:p>
        </w:tc>
        <w:tc>
          <w:tcPr>
            <w:tcW w:type="dxa" w:w="3067"/>
          </w:tcPr>
          <w:p>
            <w:pPr>
              <w:spacing w:after="20"/>
              <w:jc w:val="right"/>
            </w:pPr>
            <w:r>
              <w:rPr>
                <w:color w:val="1C3A36"/>
                <w:sz w:val="14"/>
              </w:rPr>
              <w:t>UAE Ministry of Finance — Top-up Tax; EY Global Tax Alert; PwC Middle East</w:t>
              <w:br/>
              <w:t>mof.gov.ae  -&gt;  en  -&gt;  public-finance  -&gt;  …</w:t>
              <w:br/>
              <w:t>read 9 Aug 2026; as at 1 Jan 2025</w:t>
            </w:r>
          </w:p>
        </w:tc>
        <w:tc>
          <w:tcPr>
            <w:tcW w:type="dxa" w:w="4248"/>
          </w:tcPr>
          <w:p>
            <w:pPr>
              <w:spacing w:after="20"/>
              <w:jc w:val="right"/>
            </w:pPr>
            <w:r>
              <w:rPr>
                <w:color w:val="1C3A36"/>
                <w:sz w:val="14"/>
              </w:rPr>
              <w:t>Context and cross-check only. MATERIAL TAX DRIVER. ADNOC Group's consolidated global revenues are far above the EUR 750m threshold, and ADNOC Distribution alone reported ~AED 40.8bn TTM revenue, so the DMTT threshold is clearly met at group level.</w:t>
            </w:r>
          </w:p>
        </w:tc>
      </w:tr>
      <w:tr>
        <w:trPr>
          <w:cantSplit/>
        </w:trPr>
        <w:tc>
          <w:tcPr>
            <w:tcW w:type="dxa" w:w="605"/>
          </w:tcPr>
          <w:p>
            <w:pPr>
              <w:spacing w:after="20"/>
            </w:pPr>
            <w:r>
              <w:rPr>
                <w:color w:val="1C3A36"/>
                <w:sz w:val="14"/>
              </w:rPr>
              <w:t>C-16</w:t>
            </w:r>
          </w:p>
        </w:tc>
        <w:tc>
          <w:tcPr>
            <w:tcW w:type="dxa" w:w="2160"/>
          </w:tcPr>
          <w:p>
            <w:pPr>
              <w:spacing w:after="20"/>
              <w:jc w:val="right"/>
            </w:pPr>
            <w:r>
              <w:rPr>
                <w:color w:val="1C3A36"/>
                <w:sz w:val="14"/>
              </w:rPr>
              <w:t>ADNOC Distribution's own tax position — regime applicability</w:t>
            </w:r>
          </w:p>
        </w:tc>
        <w:tc>
          <w:tcPr>
            <w:tcW w:type="dxa" w:w="3067"/>
          </w:tcPr>
          <w:p>
            <w:pPr>
              <w:spacing w:after="20"/>
              <w:jc w:val="right"/>
            </w:pPr>
            <w:r>
              <w:rPr>
                <w:color w:val="1C3A36"/>
                <w:sz w:val="14"/>
              </w:rPr>
              <w:t>Gulf News — ADNOC Distribution results reporting (independent, period ambiguous)</w:t>
              <w:br/>
              <w:t>gulfnews.com  -&gt;  business  -&gt;  markets  -&gt;  …</w:t>
              <w:br/>
              <w:t>read 9 Aug 2026</w:t>
            </w:r>
          </w:p>
        </w:tc>
        <w:tc>
          <w:tcPr>
            <w:tcW w:type="dxa" w:w="4248"/>
          </w:tcPr>
          <w:p>
            <w:pPr>
              <w:spacing w:after="20"/>
              <w:jc w:val="right"/>
            </w:pPr>
            <w:r>
              <w:rPr>
                <w:color w:val="1C3A36"/>
                <w:sz w:val="14"/>
              </w:rPr>
              <w:t>Context and cross-check only. flagged before issue. The tax rate is one of the most consequential single drivers in the DCF and it is not resolved by this research.</w:t>
            </w:r>
          </w:p>
        </w:tc>
      </w:tr>
      <w:tr>
        <w:trPr>
          <w:cantSplit/>
        </w:trPr>
        <w:tc>
          <w:tcPr>
            <w:tcW w:type="dxa" w:w="605"/>
          </w:tcPr>
          <w:p>
            <w:pPr>
              <w:spacing w:after="20"/>
            </w:pPr>
            <w:r>
              <w:rPr>
                <w:color w:val="1C3A36"/>
                <w:sz w:val="14"/>
              </w:rPr>
              <w:t>C-17</w:t>
            </w:r>
          </w:p>
        </w:tc>
        <w:tc>
          <w:tcPr>
            <w:tcW w:type="dxa" w:w="2160"/>
          </w:tcPr>
          <w:p>
            <w:pPr>
              <w:spacing w:after="20"/>
              <w:jc w:val="right"/>
            </w:pPr>
            <w:r>
              <w:rPr>
                <w:color w:val="1C3A36"/>
                <w:sz w:val="14"/>
              </w:rPr>
              <w:t>UAE retail fuel pricing mechanism — deregulation and the monthly committee</w:t>
            </w:r>
          </w:p>
        </w:tc>
        <w:tc>
          <w:tcPr>
            <w:tcW w:type="dxa" w:w="3067"/>
          </w:tcPr>
          <w:p>
            <w:pPr>
              <w:spacing w:after="20"/>
              <w:jc w:val="right"/>
            </w:pPr>
            <w:r>
              <w:rPr>
                <w:color w:val="1C3A36"/>
                <w:sz w:val="14"/>
              </w:rPr>
              <w:t>UAE Cabinet — 'Fuel Prices to be deregulated with effect from 1 August, 2015'; The Official Portal of the UAE Government — Deregulation of fuel prices</w:t>
              <w:br/>
              <w:t>u.ae  -&gt;  en  -&gt;  information-and-services  -&gt;  …</w:t>
              <w:br/>
              <w:t>read 9 Aug 2026; as at 1 Aug 2015</w:t>
            </w:r>
          </w:p>
        </w:tc>
        <w:tc>
          <w:tcPr>
            <w:tcW w:type="dxa" w:w="4248"/>
          </w:tcPr>
          <w:p>
            <w:pPr>
              <w:spacing w:after="20"/>
              <w:jc w:val="right"/>
            </w:pPr>
            <w:r>
              <w:rPr>
                <w:color w:val="1C3A36"/>
                <w:sz w:val="14"/>
              </w:rPr>
              <w:t>Context and cross-check only. THE central pricing driver and the reason this business is not a normal price-taking retailer. Three consequences for the build: (1) retail price is a regulated pass-through of global prices plus operating costs, reset monthly — so revenue per litre is formulaic and forecastable from a crude/crack path, not a competitive outcome;</w:t>
            </w:r>
          </w:p>
        </w:tc>
      </w:tr>
      <w:tr>
        <w:trPr>
          <w:cantSplit/>
        </w:trPr>
        <w:tc>
          <w:tcPr>
            <w:tcW w:type="dxa" w:w="605"/>
          </w:tcPr>
          <w:p>
            <w:pPr>
              <w:spacing w:after="20"/>
            </w:pPr>
            <w:r>
              <w:rPr>
                <w:color w:val="1C3A36"/>
                <w:sz w:val="14"/>
              </w:rPr>
              <w:t>C-18</w:t>
            </w:r>
          </w:p>
        </w:tc>
        <w:tc>
          <w:tcPr>
            <w:tcW w:type="dxa" w:w="2160"/>
          </w:tcPr>
          <w:p>
            <w:pPr>
              <w:spacing w:after="20"/>
              <w:jc w:val="right"/>
            </w:pPr>
            <w:r>
              <w:rPr>
                <w:color w:val="1C3A36"/>
                <w:sz w:val="14"/>
              </w:rPr>
              <w:t>UAE retail fuel prices — August 2026 (current levels)</w:t>
            </w:r>
          </w:p>
        </w:tc>
        <w:tc>
          <w:tcPr>
            <w:tcW w:type="dxa" w:w="3067"/>
          </w:tcPr>
          <w:p>
            <w:pPr>
              <w:spacing w:after="20"/>
              <w:jc w:val="right"/>
            </w:pPr>
            <w:r>
              <w:rPr>
                <w:color w:val="1C3A36"/>
                <w:sz w:val="14"/>
              </w:rPr>
              <w:t>Khaleej Times — 'UAE petrol and diesel prices for August 2026 announced'; UAE Fuel Price Committee</w:t>
              <w:br/>
              <w:t>khaleejtimes.com  -&gt;  business  -&gt;  energy  -&gt;  …</w:t>
              <w:br/>
              <w:t>read 9 Aug 2026; as at 1 Aug 2026</w:t>
            </w:r>
          </w:p>
        </w:tc>
        <w:tc>
          <w:tcPr>
            <w:tcW w:type="dxa" w:w="4248"/>
          </w:tcPr>
          <w:p>
            <w:pPr>
              <w:spacing w:after="20"/>
              <w:jc w:val="right"/>
            </w:pPr>
            <w:r>
              <w:rPr>
                <w:color w:val="1C3A36"/>
                <w:sz w:val="14"/>
              </w:rPr>
              <w:t>Context and cross-check only. The current realised price point for the revenue-per-litre driver, at the valuation date. Note prices are uniform nationally and across competitors — there is NO price competition in UAE fuel retail, so share is won on network, convenience and service, not price.</w:t>
            </w:r>
          </w:p>
        </w:tc>
      </w:tr>
      <w:tr>
        <w:trPr>
          <w:cantSplit/>
        </w:trPr>
        <w:tc>
          <w:tcPr>
            <w:tcW w:type="dxa" w:w="605"/>
          </w:tcPr>
          <w:p>
            <w:pPr>
              <w:spacing w:after="20"/>
            </w:pPr>
            <w:r>
              <w:rPr>
                <w:color w:val="1C3A36"/>
                <w:sz w:val="14"/>
              </w:rPr>
              <w:t>C-19</w:t>
            </w:r>
          </w:p>
        </w:tc>
        <w:tc>
          <w:tcPr>
            <w:tcW w:type="dxa" w:w="2160"/>
          </w:tcPr>
          <w:p>
            <w:pPr>
              <w:spacing w:after="20"/>
              <w:jc w:val="right"/>
            </w:pPr>
            <w:r>
              <w:rPr>
                <w:color w:val="1C3A36"/>
                <w:sz w:val="14"/>
              </w:rPr>
              <w:t>UAE retail fuel price path — full monthly 2026 series</w:t>
            </w:r>
          </w:p>
        </w:tc>
        <w:tc>
          <w:tcPr>
            <w:tcW w:type="dxa" w:w="3067"/>
          </w:tcPr>
          <w:p>
            <w:pPr>
              <w:spacing w:after="20"/>
              <w:jc w:val="right"/>
            </w:pPr>
            <w:r>
              <w:rPr>
                <w:color w:val="1C3A36"/>
                <w:sz w:val="14"/>
              </w:rPr>
              <w:t>OneClickDrive UAE Petrol Prices 2026 Tracker (monthly compilation of UAE Fuel Price Committee announcements)</w:t>
              <w:br/>
              <w:t>blog.oneclickdrive.com  -&gt;  uae-petrol-prices-2026-t…</w:t>
              <w:br/>
              <w:t>read 9 Aug 2026; as at 1 Aug 2026</w:t>
            </w:r>
          </w:p>
        </w:tc>
        <w:tc>
          <w:tcPr>
            <w:tcW w:type="dxa" w:w="4248"/>
          </w:tcPr>
          <w:p>
            <w:pPr>
              <w:spacing w:after="20"/>
              <w:jc w:val="right"/>
            </w:pPr>
            <w:r>
              <w:rPr>
                <w:color w:val="1C3A36"/>
                <w:sz w:val="14"/>
              </w:rPr>
              <w:t>Context and cross-check only. The single most important external series in the study. It explains ADNOC Distribution's H1-2026 revenue growth of +29% on volume growth of only +1.6% — the revenue increase is almost entirely PRICE, not volume, and price is a regulated pass-through the company does not control.</w:t>
            </w:r>
          </w:p>
        </w:tc>
      </w:tr>
      <w:tr>
        <w:trPr>
          <w:cantSplit/>
        </w:trPr>
        <w:tc>
          <w:tcPr>
            <w:tcW w:type="dxa" w:w="605"/>
          </w:tcPr>
          <w:p>
            <w:pPr>
              <w:spacing w:after="20"/>
            </w:pPr>
            <w:r>
              <w:rPr>
                <w:color w:val="1C3A36"/>
                <w:sz w:val="14"/>
              </w:rPr>
              <w:t>C-20</w:t>
            </w:r>
          </w:p>
        </w:tc>
        <w:tc>
          <w:tcPr>
            <w:tcW w:type="dxa" w:w="2160"/>
          </w:tcPr>
          <w:p>
            <w:pPr>
              <w:spacing w:after="20"/>
              <w:jc w:val="right"/>
            </w:pPr>
            <w:r>
              <w:rPr>
                <w:color w:val="1C3A36"/>
                <w:sz w:val="14"/>
              </w:rPr>
              <w:t>UAE retail fuel price path — 2024 and 2025 (prior-period base)</w:t>
            </w:r>
          </w:p>
        </w:tc>
        <w:tc>
          <w:tcPr>
            <w:tcW w:type="dxa" w:w="3067"/>
          </w:tcPr>
          <w:p>
            <w:pPr>
              <w:spacing w:after="20"/>
              <w:jc w:val="right"/>
            </w:pPr>
            <w:r>
              <w:rPr>
                <w:color w:val="1C3A36"/>
                <w:sz w:val="14"/>
              </w:rPr>
              <w:t>DubaiWheels UAE Petrol Price History (2015-2026); Khaleej Times and Gulf News monthly announcements</w:t>
              <w:br/>
              <w:t>dubaiwheels.ae  -&gt;  uae-petrol-price-history</w:t>
              <w:br/>
              <w:t>read 9 Aug 2026; as at 1 Dec 2025</w:t>
            </w:r>
          </w:p>
        </w:tc>
        <w:tc>
          <w:tcPr>
            <w:tcW w:type="dxa" w:w="4248"/>
          </w:tcPr>
          <w:p>
            <w:pPr>
              <w:spacing w:after="20"/>
              <w:jc w:val="right"/>
            </w:pPr>
            <w:r>
              <w:rPr>
                <w:color w:val="1C3A36"/>
                <w:sz w:val="14"/>
              </w:rPr>
              <w:t>Supplies a build-level driver. Establishes the pre-shock normal: 2025 Special 95 traded in a tight AED 2.46-2.77 band all year, versus AED 3.49 today. That ~AED 2.60 mid-cycle level is the honest anchor for a normalised-earnings-power lens (Section 1.4) and for the terminal year, and it makes clear how far above normal the current price sits.</w:t>
            </w:r>
          </w:p>
        </w:tc>
      </w:tr>
      <w:tr>
        <w:trPr>
          <w:cantSplit/>
        </w:trPr>
        <w:tc>
          <w:tcPr>
            <w:tcW w:type="dxa" w:w="605"/>
          </w:tcPr>
          <w:p>
            <w:pPr>
              <w:spacing w:after="20"/>
            </w:pPr>
            <w:r>
              <w:rPr>
                <w:color w:val="1C3A36"/>
                <w:sz w:val="14"/>
              </w:rPr>
              <w:t>I-01</w:t>
            </w:r>
          </w:p>
        </w:tc>
        <w:tc>
          <w:tcPr>
            <w:tcW w:type="dxa" w:w="2160"/>
          </w:tcPr>
          <w:p>
            <w:pPr>
              <w:spacing w:after="20"/>
              <w:jc w:val="right"/>
            </w:pPr>
            <w:r>
              <w:rPr>
                <w:color w:val="1C3A36"/>
                <w:sz w:val="14"/>
              </w:rPr>
              <w:t>UAE fuel retail market structure and shares</w:t>
            </w:r>
          </w:p>
        </w:tc>
        <w:tc>
          <w:tcPr>
            <w:tcW w:type="dxa" w:w="3067"/>
          </w:tcPr>
          <w:p>
            <w:pPr>
              <w:spacing w:after="20"/>
              <w:jc w:val="right"/>
            </w:pPr>
            <w:r>
              <w:rPr>
                <w:color w:val="1C3A36"/>
                <w:sz w:val="14"/>
              </w:rPr>
              <w:t>Mordor Intelligence — United Arab Emirates Fuel Station Market; ENOC and Emarat corporate sites</w:t>
              <w:br/>
              <w:t>mordorintelligence.com  -&gt;  industry-reports  -&gt;  united-arab-emirates-fue…</w:t>
              <w:br/>
              <w:t>read 9 Aug 2026; as at 31 Dec 2025</w:t>
            </w:r>
          </w:p>
        </w:tc>
        <w:tc>
          <w:tcPr>
            <w:tcW w:type="dxa" w:w="4248"/>
          </w:tcPr>
          <w:p>
            <w:pPr>
              <w:spacing w:after="20"/>
              <w:jc w:val="right"/>
            </w:pPr>
            <w:r>
              <w:rPr>
                <w:color w:val="1C3A36"/>
                <w:sz w:val="14"/>
              </w:rPr>
              <w:t>Supplies a build-level driver. A concentrated, geographically segmented market: ADNOC Distribution historically dominant in Abu Dhabi, ENOC/EPPCO in Dubai, Emarat in the Northern Emirates. With prices set uniformly by the Fuel Price Committee, competition is on network density and non-fuel offer only.</w:t>
            </w:r>
          </w:p>
        </w:tc>
      </w:tr>
      <w:tr>
        <w:trPr>
          <w:cantSplit/>
        </w:trPr>
        <w:tc>
          <w:tcPr>
            <w:tcW w:type="dxa" w:w="605"/>
          </w:tcPr>
          <w:p>
            <w:pPr>
              <w:spacing w:after="20"/>
            </w:pPr>
            <w:r>
              <w:rPr>
                <w:color w:val="1C3A36"/>
                <w:sz w:val="14"/>
              </w:rPr>
              <w:t>I-02</w:t>
            </w:r>
          </w:p>
        </w:tc>
        <w:tc>
          <w:tcPr>
            <w:tcW w:type="dxa" w:w="2160"/>
          </w:tcPr>
          <w:p>
            <w:pPr>
              <w:spacing w:after="20"/>
              <w:jc w:val="right"/>
            </w:pPr>
            <w:r>
              <w:rPr>
                <w:color w:val="1C3A36"/>
                <w:sz w:val="14"/>
              </w:rPr>
              <w:t>UAE fuel station market size and growth</w:t>
            </w:r>
          </w:p>
        </w:tc>
        <w:tc>
          <w:tcPr>
            <w:tcW w:type="dxa" w:w="3067"/>
          </w:tcPr>
          <w:p>
            <w:pPr>
              <w:spacing w:after="20"/>
              <w:jc w:val="right"/>
            </w:pPr>
            <w:r>
              <w:rPr>
                <w:color w:val="1C3A36"/>
                <w:sz w:val="14"/>
              </w:rPr>
              <w:t>Mordor Intelligence — United Arab Emirates Fuel Station Market</w:t>
              <w:br/>
              <w:t>mordorintelligence.com  -&gt;  industry-reports  -&gt;  united-arab-emirates-fue…</w:t>
              <w:br/>
              <w:t>read 9 Aug 2026; as at 1 Jan 2026</w:t>
            </w:r>
          </w:p>
        </w:tc>
        <w:tc>
          <w:tcPr>
            <w:tcW w:type="dxa" w:w="4248"/>
          </w:tcPr>
          <w:p>
            <w:pPr>
              <w:spacing w:after="20"/>
              <w:jc w:val="right"/>
            </w:pPr>
            <w:r>
              <w:rPr>
                <w:color w:val="1C3A36"/>
                <w:sz w:val="14"/>
              </w:rPr>
              <w:t>Resets the starting point. Background sizing only. The 4.15% CAGR is a nominal, price-inclusive market figure from a commercial research house — it is NOT a substitute for a bottom-up volume x price driver and must not be used as one.</w:t>
            </w:r>
          </w:p>
        </w:tc>
      </w:tr>
      <w:tr>
        <w:trPr>
          <w:cantSplit/>
        </w:trPr>
        <w:tc>
          <w:tcPr>
            <w:tcW w:type="dxa" w:w="605"/>
          </w:tcPr>
          <w:p>
            <w:pPr>
              <w:spacing w:after="20"/>
            </w:pPr>
            <w:r>
              <w:rPr>
                <w:color w:val="1C3A36"/>
                <w:sz w:val="14"/>
              </w:rPr>
              <w:t>I-03</w:t>
            </w:r>
          </w:p>
        </w:tc>
        <w:tc>
          <w:tcPr>
            <w:tcW w:type="dxa" w:w="2160"/>
          </w:tcPr>
          <w:p>
            <w:pPr>
              <w:spacing w:after="20"/>
              <w:jc w:val="right"/>
            </w:pPr>
            <w:r>
              <w:rPr>
                <w:color w:val="1C3A36"/>
                <w:sz w:val="14"/>
              </w:rPr>
              <w:t>Saudi Arabia fuel retail — licensing and consolidation regime</w:t>
            </w:r>
          </w:p>
        </w:tc>
        <w:tc>
          <w:tcPr>
            <w:tcW w:type="dxa" w:w="3067"/>
          </w:tcPr>
          <w:p>
            <w:pPr>
              <w:spacing w:after="20"/>
              <w:jc w:val="right"/>
            </w:pPr>
            <w:r>
              <w:rPr>
                <w:color w:val="1C3A36"/>
                <w:sz w:val="14"/>
              </w:rPr>
              <w:t>Saudi Press Agency; Zawya — 'Saudi: Energy Ministry mandates licenses for all petroleum, petrochemical operations'</w:t>
              <w:br/>
              <w:t>zawya.com  -&gt;  en  -&gt;  business  -&gt;  …</w:t>
              <w:br/>
              <w:t>read 9 Aug 2026; as at 1 Jun 2026</w:t>
            </w:r>
          </w:p>
        </w:tc>
        <w:tc>
          <w:tcPr>
            <w:tcW w:type="dxa" w:w="4248"/>
          </w:tcPr>
          <w:p>
            <w:pPr>
              <w:spacing w:after="20"/>
              <w:jc w:val="right"/>
            </w:pPr>
            <w:r>
              <w:rPr>
                <w:color w:val="1C3A36"/>
                <w:sz w:val="14"/>
              </w:rPr>
              <w:t>Supplies a build-level driver. The licensing-driven consolidation of Saudi fuel retail is the structural opportunity ADNOC Distribution's Saudi expansion is built on: thousands of sub-scale independent stations must either upgrade to standard or exit, creating a branded-operator land grab. Supports the credibility of the Saudi station-count ramp (I-04) but also means ...</w:t>
            </w:r>
          </w:p>
        </w:tc>
      </w:tr>
      <w:tr>
        <w:trPr>
          <w:cantSplit/>
        </w:trPr>
        <w:tc>
          <w:tcPr>
            <w:tcW w:type="dxa" w:w="605"/>
          </w:tcPr>
          <w:p>
            <w:pPr>
              <w:spacing w:after="20"/>
            </w:pPr>
            <w:r>
              <w:rPr>
                <w:color w:val="1C3A36"/>
                <w:sz w:val="14"/>
              </w:rPr>
              <w:t>I-04</w:t>
            </w:r>
          </w:p>
        </w:tc>
        <w:tc>
          <w:tcPr>
            <w:tcW w:type="dxa" w:w="2160"/>
          </w:tcPr>
          <w:p>
            <w:pPr>
              <w:spacing w:after="20"/>
              <w:jc w:val="right"/>
            </w:pPr>
            <w:r>
              <w:rPr>
                <w:color w:val="1C3A36"/>
                <w:sz w:val="14"/>
              </w:rPr>
              <w:t>ADNOC Distribution Saudi Arabia entry, network and competitors</w:t>
            </w:r>
          </w:p>
        </w:tc>
        <w:tc>
          <w:tcPr>
            <w:tcW w:type="dxa" w:w="3067"/>
          </w:tcPr>
          <w:p>
            <w:pPr>
              <w:spacing w:after="20"/>
              <w:jc w:val="right"/>
            </w:pPr>
            <w:r>
              <w:rPr>
                <w:color w:val="1C3A36"/>
                <w:sz w:val="14"/>
              </w:rPr>
              <w:t>ADNOC Distribution H1-2026 earnings call, 05-Aug-2026 (transcript via Investing.com); Argaam; Gulf News</w:t>
              <w:br/>
              <w:t>investing.com  -&gt;  news  -&gt;  transcripts  -&gt;  …</w:t>
              <w:br/>
              <w:t>read 9 Aug 2026; as at 30 Jun 2026</w:t>
            </w:r>
          </w:p>
        </w:tc>
        <w:tc>
          <w:tcPr>
            <w:tcW w:type="dxa" w:w="4248"/>
          </w:tcPr>
          <w:p>
            <w:pPr>
              <w:spacing w:after="20"/>
              <w:jc w:val="right"/>
            </w:pPr>
            <w:r>
              <w:rPr>
                <w:color w:val="1C3A36"/>
                <w:sz w:val="14"/>
              </w:rPr>
              <w:t>Supplies a build-level driver. The Saudi leg is the highest-growth part of the business (+65% sites y/y) and is capital-light via the DUCCO model, so it consumes little capex but earns a thinner per-site margin than an owned UAE site. It should be modelled as its own driver leg (sites x throughput x dealer margin), NOT blended into UAE economics.</w:t>
            </w:r>
          </w:p>
        </w:tc>
      </w:tr>
      <w:tr>
        <w:trPr>
          <w:cantSplit/>
        </w:trPr>
        <w:tc>
          <w:tcPr>
            <w:tcW w:type="dxa" w:w="605"/>
          </w:tcPr>
          <w:p>
            <w:pPr>
              <w:spacing w:after="20"/>
            </w:pPr>
            <w:r>
              <w:rPr>
                <w:color w:val="1C3A36"/>
                <w:sz w:val="14"/>
              </w:rPr>
              <w:t>I-05</w:t>
            </w:r>
          </w:p>
        </w:tc>
        <w:tc>
          <w:tcPr>
            <w:tcW w:type="dxa" w:w="2160"/>
          </w:tcPr>
          <w:p>
            <w:pPr>
              <w:spacing w:after="20"/>
              <w:jc w:val="right"/>
            </w:pPr>
            <w:r>
              <w:rPr>
                <w:color w:val="1C3A36"/>
                <w:sz w:val="14"/>
              </w:rPr>
              <w:t>Egypt fuel retail — TotalEnergies Marketing Egypt JV and EGP exposure</w:t>
            </w:r>
          </w:p>
        </w:tc>
        <w:tc>
          <w:tcPr>
            <w:tcW w:type="dxa" w:w="3067"/>
          </w:tcPr>
          <w:p>
            <w:pPr>
              <w:spacing w:after="20"/>
              <w:jc w:val="right"/>
            </w:pPr>
            <w:r>
              <w:rPr>
                <w:color w:val="1C3A36"/>
                <w:sz w:val="14"/>
              </w:rPr>
              <w:t>ADNOC Distribution — completion announcement (Feb-2023); H1-2026 earnings call, 05-Aug-2026</w:t>
              <w:br/>
              <w:t>adnocdistribution.ae  -&gt;  en  -&gt;  media-folder  -&gt;  …</w:t>
              <w:br/>
              <w:t>read 9 Aug 2026; as at 5 Aug 2026</w:t>
            </w:r>
          </w:p>
        </w:tc>
        <w:tc>
          <w:tcPr>
            <w:tcW w:type="dxa" w:w="4248"/>
          </w:tcPr>
          <w:p>
            <w:pPr>
              <w:spacing w:after="20"/>
              <w:jc w:val="right"/>
            </w:pPr>
            <w:r>
              <w:rPr>
                <w:color w:val="1C3A36"/>
                <w:sz w:val="14"/>
              </w:rPr>
              <w:t>Supplies a build-level driver. Egypt is the study's main FX-risk leg, and management's claim that 85-90% is naturally hedged against EGP devaluation is a MATERIAL, TESTABLE assertion that must be verified against the segment disclosure rather than accepted — the natural hedge comes from USD-linked aviation and lubricant revenue. If true, Egypt requires no EGP ...</w:t>
            </w:r>
          </w:p>
        </w:tc>
      </w:tr>
      <w:tr>
        <w:trPr>
          <w:cantSplit/>
        </w:trPr>
        <w:tc>
          <w:tcPr>
            <w:tcW w:type="dxa" w:w="605"/>
          </w:tcPr>
          <w:p>
            <w:pPr>
              <w:spacing w:after="20"/>
            </w:pPr>
            <w:r>
              <w:rPr>
                <w:color w:val="1C3A36"/>
                <w:sz w:val="14"/>
              </w:rPr>
              <w:t>I-06</w:t>
            </w:r>
          </w:p>
        </w:tc>
        <w:tc>
          <w:tcPr>
            <w:tcW w:type="dxa" w:w="2160"/>
          </w:tcPr>
          <w:p>
            <w:pPr>
              <w:spacing w:after="20"/>
              <w:jc w:val="right"/>
            </w:pPr>
            <w:r>
              <w:rPr>
                <w:color w:val="1C3A36"/>
                <w:sz w:val="14"/>
              </w:rPr>
              <w:t>EV charging in the UAE — policy targets and adoption</w:t>
            </w:r>
          </w:p>
        </w:tc>
        <w:tc>
          <w:tcPr>
            <w:tcW w:type="dxa" w:w="3067"/>
          </w:tcPr>
          <w:p>
            <w:pPr>
              <w:spacing w:after="20"/>
              <w:jc w:val="right"/>
            </w:pPr>
            <w:r>
              <w:rPr>
                <w:color w:val="1C3A36"/>
                <w:sz w:val="14"/>
              </w:rPr>
              <w:t>The Official Platform of the UAE Government — National Electric Vehicles Policy</w:t>
              <w:br/>
              <w:t>u.ae  -&gt;  en  -&gt;  about-the-uae  -&gt;  …</w:t>
              <w:br/>
              <w:t>read 9 Aug 2026; as at 1 Jan 2026</w:t>
            </w:r>
          </w:p>
        </w:tc>
        <w:tc>
          <w:tcPr>
            <w:tcW w:type="dxa" w:w="4248"/>
          </w:tcPr>
          <w:p>
            <w:pPr>
              <w:spacing w:after="20"/>
              <w:jc w:val="right"/>
            </w:pPr>
            <w:r>
              <w:rPr>
                <w:color w:val="1C3A36"/>
                <w:sz w:val="14"/>
              </w:rPr>
              <w:t>Supplies a build-level driver. The terminal-value driver for the UAE fuel leg. The critical distinction for a 5-year horizon is STOCK versus FLOW: even at 13%+ of new SALES, the target is only ~10% of the vehicle PARC electric by 2030, and fuel volumes track the parc, not the sales mix.</w:t>
            </w:r>
          </w:p>
        </w:tc>
      </w:tr>
      <w:tr>
        <w:trPr>
          <w:cantSplit/>
        </w:trPr>
        <w:tc>
          <w:tcPr>
            <w:tcW w:type="dxa" w:w="605"/>
          </w:tcPr>
          <w:p>
            <w:pPr>
              <w:spacing w:after="20"/>
            </w:pPr>
            <w:r>
              <w:rPr>
                <w:color w:val="1C3A36"/>
                <w:sz w:val="14"/>
              </w:rPr>
              <w:t>I-07</w:t>
            </w:r>
          </w:p>
        </w:tc>
        <w:tc>
          <w:tcPr>
            <w:tcW w:type="dxa" w:w="2160"/>
          </w:tcPr>
          <w:p>
            <w:pPr>
              <w:spacing w:after="20"/>
              <w:jc w:val="right"/>
            </w:pPr>
            <w:r>
              <w:rPr>
                <w:color w:val="1C3A36"/>
                <w:sz w:val="14"/>
              </w:rPr>
              <w:t>Peer multiple — Aldrees Petroleum and Transport Services (Tadawul: 4200) — CLOSEST REGIONAL PEER</w:t>
            </w:r>
          </w:p>
        </w:tc>
        <w:tc>
          <w:tcPr>
            <w:tcW w:type="dxa" w:w="3067"/>
          </w:tcPr>
          <w:p>
            <w:pPr>
              <w:spacing w:after="20"/>
              <w:jc w:val="right"/>
            </w:pPr>
            <w:r>
              <w:rPr>
                <w:color w:val="1C3A36"/>
                <w:sz w:val="14"/>
              </w:rPr>
              <w:t>StockAnalysis.com — Aldrees Petroleum and Transport Services (TADAWUL:4200) Statistics</w:t>
              <w:br/>
              <w:t>stockanalysis.com  -&gt;  quote  -&gt;  tadawul  -&gt;  …</w:t>
              <w:br/>
              <w:t>read 9 Aug 2026; as at 9 Aug 2026</w:t>
            </w:r>
          </w:p>
        </w:tc>
        <w:tc>
          <w:tcPr>
            <w:tcW w:type="dxa" w:w="4248"/>
          </w:tcPr>
          <w:p>
            <w:pPr>
              <w:spacing w:after="20"/>
              <w:jc w:val="right"/>
            </w:pPr>
            <w:r>
              <w:rPr>
                <w:color w:val="1C3A36"/>
                <w:sz w:val="14"/>
              </w:rPr>
              <w:t>Supplies a build-level driver. The most directly comparable listed peer: GCC fuel retail, same regulated-price structure, same Saudi market ADNOC Distribution is expanding into. Trades at 12.89x EV/EBITDA and 26.1x earnings versus ADNOC Distribution at 10.93x and 14.3x — i.e.</w:t>
            </w:r>
          </w:p>
        </w:tc>
      </w:tr>
      <w:tr>
        <w:trPr>
          <w:cantSplit/>
        </w:trPr>
        <w:tc>
          <w:tcPr>
            <w:tcW w:type="dxa" w:w="605"/>
          </w:tcPr>
          <w:p>
            <w:pPr>
              <w:spacing w:after="20"/>
            </w:pPr>
            <w:r>
              <w:rPr>
                <w:color w:val="1C3A36"/>
                <w:sz w:val="14"/>
              </w:rPr>
              <w:t>I-08</w:t>
            </w:r>
          </w:p>
        </w:tc>
        <w:tc>
          <w:tcPr>
            <w:tcW w:type="dxa" w:w="2160"/>
          </w:tcPr>
          <w:p>
            <w:pPr>
              <w:spacing w:after="20"/>
              <w:jc w:val="right"/>
            </w:pPr>
            <w:r>
              <w:rPr>
                <w:color w:val="1C3A36"/>
                <w:sz w:val="14"/>
              </w:rPr>
              <w:t>Peer multiple — Saudi Automotive Services Company / SASCO (Tadawul: 4050) — used only as a cross-check</w:t>
            </w:r>
          </w:p>
        </w:tc>
        <w:tc>
          <w:tcPr>
            <w:tcW w:type="dxa" w:w="3067"/>
          </w:tcPr>
          <w:p>
            <w:pPr>
              <w:spacing w:after="20"/>
              <w:jc w:val="right"/>
            </w:pPr>
            <w:r>
              <w:rPr>
                <w:color w:val="1C3A36"/>
                <w:sz w:val="14"/>
              </w:rPr>
              <w:t>StockAnalysis.com — Saudi Automotive Services Company (TADAWUL:4050) Statistics</w:t>
              <w:br/>
              <w:t>stockanalysis.com  -&gt;  quote  -&gt;  tadawul  -&gt;  …</w:t>
              <w:br/>
              <w:t>read 9 Aug 2026; as at 9 Aug 2026</w:t>
            </w:r>
          </w:p>
        </w:tc>
        <w:tc>
          <w:tcPr>
            <w:tcW w:type="dxa" w:w="4248"/>
          </w:tcPr>
          <w:p>
            <w:pPr>
              <w:spacing w:after="20"/>
              <w:jc w:val="right"/>
            </w:pPr>
            <w:r>
              <w:rPr>
                <w:color w:val="1C3A36"/>
                <w:sz w:val="14"/>
              </w:rPr>
              <w:t>Sets or tests a forward driver. used only as a cross-check, and a weak one. SASCO's 73x P/E, 0.30% margin, 2.39% ROIC and Altman Z of 2 make it a distressed sub-scale operator, not a valuation benchmark.</w:t>
            </w:r>
          </w:p>
        </w:tc>
      </w:tr>
      <w:tr>
        <w:trPr>
          <w:cantSplit/>
        </w:trPr>
        <w:tc>
          <w:tcPr>
            <w:tcW w:type="dxa" w:w="605"/>
          </w:tcPr>
          <w:p>
            <w:pPr>
              <w:spacing w:after="20"/>
            </w:pPr>
            <w:r>
              <w:rPr>
                <w:color w:val="1C3A36"/>
                <w:sz w:val="14"/>
              </w:rPr>
              <w:t>I-09</w:t>
            </w:r>
          </w:p>
        </w:tc>
        <w:tc>
          <w:tcPr>
            <w:tcW w:type="dxa" w:w="2160"/>
          </w:tcPr>
          <w:p>
            <w:pPr>
              <w:spacing w:after="20"/>
              <w:jc w:val="right"/>
            </w:pPr>
            <w:r>
              <w:rPr>
                <w:color w:val="1C3A36"/>
                <w:sz w:val="14"/>
              </w:rPr>
              <w:t>Peer multiple — Alimentation Couche-Tard (TSX: ATD) — used only as a cross-check</w:t>
            </w:r>
          </w:p>
        </w:tc>
        <w:tc>
          <w:tcPr>
            <w:tcW w:type="dxa" w:w="3067"/>
          </w:tcPr>
          <w:p>
            <w:pPr>
              <w:spacing w:after="20"/>
              <w:jc w:val="right"/>
            </w:pPr>
            <w:r>
              <w:rPr>
                <w:color w:val="1C3A36"/>
                <w:sz w:val="14"/>
              </w:rPr>
              <w:t>StockAnalysis.com — Alimentation Couche-Tard (TSX:ATD) Statistics</w:t>
              <w:br/>
              <w:t>stockanalysis.com  -&gt;  quote  -&gt;  tsx  -&gt;  …</w:t>
              <w:br/>
              <w:t>read 9 Aug 2026; as at 9 Aug 2026</w:t>
            </w:r>
          </w:p>
        </w:tc>
        <w:tc>
          <w:tcPr>
            <w:tcW w:type="dxa" w:w="4248"/>
          </w:tcPr>
          <w:p>
            <w:pPr>
              <w:spacing w:after="20"/>
              <w:jc w:val="right"/>
            </w:pPr>
            <w:r>
              <w:rPr>
                <w:color w:val="1C3A36"/>
                <w:sz w:val="14"/>
              </w:rPr>
              <w:t>Sets or tests a forward driver. used only as a cross-check — global convenience-led benchmark, useful for the non-fuel leg. Trades at 10.66x EV/EBITDA, almost exactly in line with ADNOC Distribution's 10.93x, but on a business where non-fuel dominates gross profit and in a fully deregulated, price-competitive market.</w:t>
            </w:r>
          </w:p>
        </w:tc>
      </w:tr>
      <w:tr>
        <w:trPr>
          <w:cantSplit/>
        </w:trPr>
        <w:tc>
          <w:tcPr>
            <w:tcW w:type="dxa" w:w="605"/>
          </w:tcPr>
          <w:p>
            <w:pPr>
              <w:spacing w:after="20"/>
            </w:pPr>
            <w:r>
              <w:rPr>
                <w:color w:val="1C3A36"/>
                <w:sz w:val="14"/>
              </w:rPr>
              <w:t>I-10</w:t>
            </w:r>
          </w:p>
        </w:tc>
        <w:tc>
          <w:tcPr>
            <w:tcW w:type="dxa" w:w="2160"/>
          </w:tcPr>
          <w:p>
            <w:pPr>
              <w:spacing w:after="20"/>
              <w:jc w:val="right"/>
            </w:pPr>
            <w:r>
              <w:rPr>
                <w:color w:val="1C3A36"/>
                <w:sz w:val="14"/>
              </w:rPr>
              <w:t>Peer multiple — Casey's General Stores (NASDAQ: CASY) — used only as a cross-check</w:t>
            </w:r>
          </w:p>
        </w:tc>
        <w:tc>
          <w:tcPr>
            <w:tcW w:type="dxa" w:w="3067"/>
          </w:tcPr>
          <w:p>
            <w:pPr>
              <w:spacing w:after="20"/>
              <w:jc w:val="right"/>
            </w:pPr>
            <w:r>
              <w:rPr>
                <w:color w:val="1C3A36"/>
                <w:sz w:val="14"/>
              </w:rPr>
              <w:t>StockAnalysis.com — Casey's General Stores (CASY) Statistics</w:t>
              <w:br/>
              <w:t>stockanalysis.com  -&gt;  stocks  -&gt;  casy  -&gt;  …</w:t>
              <w:br/>
              <w:t>read 9 Aug 2026; as at 9 Aug 2026</w:t>
            </w:r>
          </w:p>
        </w:tc>
        <w:tc>
          <w:tcPr>
            <w:tcW w:type="dxa" w:w="4248"/>
          </w:tcPr>
          <w:p>
            <w:pPr>
              <w:spacing w:after="20"/>
              <w:jc w:val="right"/>
            </w:pPr>
            <w:r>
              <w:rPr>
                <w:color w:val="1C3A36"/>
                <w:sz w:val="14"/>
              </w:rPr>
              <w:t>Sets or tests a forward driver. used only as a cross-check — the premium end of the convenience-led range at 22.4x EV/EBITDA and 43.5x earnings, reflecting a foodservice-heavy US model with a growth multiple. It is the single most important reminder that 'fuel retail' spans a 10x-to-22x EV/EBITDA range depending on non-fuel mix, and that the relative lens cannot be run ...</w:t>
            </w:r>
          </w:p>
        </w:tc>
      </w:tr>
      <w:tr>
        <w:trPr>
          <w:cantSplit/>
        </w:trPr>
        <w:tc>
          <w:tcPr>
            <w:tcW w:type="dxa" w:w="605"/>
          </w:tcPr>
          <w:p>
            <w:pPr>
              <w:spacing w:after="20"/>
            </w:pPr>
            <w:r>
              <w:rPr>
                <w:color w:val="1C3A36"/>
                <w:sz w:val="14"/>
              </w:rPr>
              <w:t>I-11</w:t>
            </w:r>
          </w:p>
        </w:tc>
        <w:tc>
          <w:tcPr>
            <w:tcW w:type="dxa" w:w="2160"/>
          </w:tcPr>
          <w:p>
            <w:pPr>
              <w:spacing w:after="20"/>
              <w:jc w:val="right"/>
            </w:pPr>
            <w:r>
              <w:rPr>
                <w:color w:val="1C3A36"/>
                <w:sz w:val="14"/>
              </w:rPr>
              <w:t>Peer multiple — Murphy USA (NYSE: MUSA) — used only as a cross-check</w:t>
            </w:r>
          </w:p>
        </w:tc>
        <w:tc>
          <w:tcPr>
            <w:tcW w:type="dxa" w:w="3067"/>
          </w:tcPr>
          <w:p>
            <w:pPr>
              <w:spacing w:after="20"/>
              <w:jc w:val="right"/>
            </w:pPr>
            <w:r>
              <w:rPr>
                <w:color w:val="1C3A36"/>
                <w:sz w:val="14"/>
              </w:rPr>
              <w:t>StockAnalysis.com — Murphy USA (MUSA) Statistics</w:t>
              <w:br/>
              <w:t>stockanalysis.com  -&gt;  stocks  -&gt;  musa  -&gt;  …</w:t>
              <w:br/>
              <w:t>read 9 Aug 2026; as at 9 Aug 2026</w:t>
            </w:r>
          </w:p>
        </w:tc>
        <w:tc>
          <w:tcPr>
            <w:tcW w:type="dxa" w:w="4248"/>
          </w:tcPr>
          <w:p>
            <w:pPr>
              <w:spacing w:after="20"/>
              <w:jc w:val="right"/>
            </w:pPr>
            <w:r>
              <w:rPr>
                <w:color w:val="1C3A36"/>
                <w:sz w:val="14"/>
              </w:rPr>
              <w:t>Sets or tests a forward driver. used only as a cross-check — the high-ROIC, fuel-led end of the US peer set (ROIC 21.8%) and the closest US analogue to ADNOC Distribution's volume-led model. At 10.03x EV/EBITDA it brackets ADNOC Distribution's 10.93x from below.</w:t>
            </w:r>
          </w:p>
        </w:tc>
      </w:tr>
      <w:tr>
        <w:trPr>
          <w:cantSplit/>
        </w:trPr>
        <w:tc>
          <w:tcPr>
            <w:tcW w:type="dxa" w:w="605"/>
          </w:tcPr>
          <w:p>
            <w:pPr>
              <w:spacing w:after="20"/>
            </w:pPr>
            <w:r>
              <w:rPr>
                <w:color w:val="1C3A36"/>
                <w:sz w:val="14"/>
              </w:rPr>
              <w:t>I-12</w:t>
            </w:r>
          </w:p>
        </w:tc>
        <w:tc>
          <w:tcPr>
            <w:tcW w:type="dxa" w:w="2160"/>
          </w:tcPr>
          <w:p>
            <w:pPr>
              <w:spacing w:after="20"/>
              <w:jc w:val="right"/>
            </w:pPr>
            <w:r>
              <w:rPr>
                <w:color w:val="1C3A36"/>
                <w:sz w:val="14"/>
              </w:rPr>
              <w:t>Peer multiple — OMV Petrom (BVB: SNP) — used only as a cross-check</w:t>
            </w:r>
          </w:p>
        </w:tc>
        <w:tc>
          <w:tcPr>
            <w:tcW w:type="dxa" w:w="3067"/>
          </w:tcPr>
          <w:p>
            <w:pPr>
              <w:spacing w:after="20"/>
              <w:jc w:val="right"/>
            </w:pPr>
            <w:r>
              <w:rPr>
                <w:color w:val="1C3A36"/>
                <w:sz w:val="14"/>
              </w:rPr>
              <w:t>StockAnalysis.com — OMV Petrom (BVB:SNP) Statistics</w:t>
              <w:br/>
              <w:t>stockanalysis.com  -&gt;  quote  -&gt;  bvb  -&gt;  …</w:t>
              <w:br/>
              <w:t>read 9 Aug 2026; as at 9 Aug 2026</w:t>
            </w:r>
          </w:p>
        </w:tc>
        <w:tc>
          <w:tcPr>
            <w:tcW w:type="dxa" w:w="4248"/>
          </w:tcPr>
          <w:p>
            <w:pPr>
              <w:spacing w:after="20"/>
              <w:jc w:val="right"/>
            </w:pPr>
            <w:r>
              <w:rPr>
                <w:color w:val="1C3A36"/>
                <w:sz w:val="14"/>
              </w:rPr>
              <w:t>Sets or tests a forward driver. used only as a cross-check, and a weak comparable: OMV Petrom is an INTEGRATED upstream-plus-downstream company, not a pure fuel retailer, so its EV/EBITDA embeds reserve value and its earnings are crude-price geared in a way ADNOC Distribution's are not. Its 6.13% dividend yield is the closest peer read to ADNOC Distribution's 5.05%.</w:t>
            </w:r>
          </w:p>
        </w:tc>
      </w:tr>
      <w:tr>
        <w:trPr>
          <w:cantSplit/>
        </w:trPr>
        <w:tc>
          <w:tcPr>
            <w:tcW w:type="dxa" w:w="605"/>
          </w:tcPr>
          <w:p>
            <w:pPr>
              <w:spacing w:after="20"/>
            </w:pPr>
            <w:r>
              <w:rPr>
                <w:color w:val="1C3A36"/>
                <w:sz w:val="14"/>
              </w:rPr>
              <w:t>I-13</w:t>
            </w:r>
          </w:p>
        </w:tc>
        <w:tc>
          <w:tcPr>
            <w:tcW w:type="dxa" w:w="2160"/>
          </w:tcPr>
          <w:p>
            <w:pPr>
              <w:spacing w:after="20"/>
              <w:jc w:val="right"/>
            </w:pPr>
            <w:r>
              <w:rPr>
                <w:color w:val="1C3A36"/>
                <w:sz w:val="14"/>
              </w:rPr>
              <w:t>Peer multiple — Vibra Energia (B3: VBBR3) — used only as a cross-check</w:t>
            </w:r>
          </w:p>
        </w:tc>
        <w:tc>
          <w:tcPr>
            <w:tcW w:type="dxa" w:w="3067"/>
          </w:tcPr>
          <w:p>
            <w:pPr>
              <w:spacing w:after="20"/>
              <w:jc w:val="right"/>
            </w:pPr>
            <w:r>
              <w:rPr>
                <w:color w:val="1C3A36"/>
                <w:sz w:val="14"/>
              </w:rPr>
              <w:t>StockAnalysis.com — Vibra Energia (BVMF:VBBR3) Statistics</w:t>
              <w:br/>
              <w:t>stockanalysis.com  -&gt;  quote  -&gt;  bvmf  -&gt;  …</w:t>
              <w:br/>
              <w:t>read 9 Aug 2026; as at 9 Aug 2026</w:t>
            </w:r>
          </w:p>
        </w:tc>
        <w:tc>
          <w:tcPr>
            <w:tcW w:type="dxa" w:w="4248"/>
          </w:tcPr>
          <w:p>
            <w:pPr>
              <w:spacing w:after="20"/>
              <w:jc w:val="right"/>
            </w:pPr>
            <w:r>
              <w:rPr>
                <w:color w:val="1C3A36"/>
                <w:sz w:val="14"/>
              </w:rPr>
              <w:t>Sets or tests a forward driver. used only as a cross-check — the EM fuel-distribution discount end of the range at 7.70x EV/EBITDA and a forward P/E of 6.34. Brazil-specific currency, inflation and competitive risk drive the discount;</w:t>
            </w:r>
          </w:p>
        </w:tc>
      </w:tr>
      <w:tr>
        <w:trPr>
          <w:cantSplit/>
        </w:trPr>
        <w:tc>
          <w:tcPr>
            <w:tcW w:type="dxa" w:w="605"/>
          </w:tcPr>
          <w:p>
            <w:pPr>
              <w:spacing w:after="20"/>
            </w:pPr>
            <w:r>
              <w:rPr>
                <w:color w:val="1C3A36"/>
                <w:sz w:val="14"/>
              </w:rPr>
              <w:t>I-14</w:t>
            </w:r>
          </w:p>
        </w:tc>
        <w:tc>
          <w:tcPr>
            <w:tcW w:type="dxa" w:w="2160"/>
          </w:tcPr>
          <w:p>
            <w:pPr>
              <w:spacing w:after="20"/>
              <w:jc w:val="right"/>
            </w:pPr>
            <w:r>
              <w:rPr>
                <w:color w:val="1C3A36"/>
                <w:sz w:val="14"/>
              </w:rPr>
              <w:t>Peer multiple — Ultrapar Participacoes (NYSE: UGP, ADR of UGPA3) — used only as a cross-check</w:t>
            </w:r>
          </w:p>
        </w:tc>
        <w:tc>
          <w:tcPr>
            <w:tcW w:type="dxa" w:w="3067"/>
          </w:tcPr>
          <w:p>
            <w:pPr>
              <w:spacing w:after="20"/>
              <w:jc w:val="right"/>
            </w:pPr>
            <w:r>
              <w:rPr>
                <w:color w:val="1C3A36"/>
                <w:sz w:val="14"/>
              </w:rPr>
              <w:t>StockAnalysis.com — Ultrapar Participacoes (UGP) Statistics</w:t>
              <w:br/>
              <w:t>stockanalysis.com  -&gt;  stocks  -&gt;  ugp  -&gt;  …</w:t>
              <w:br/>
              <w:t>read 9 Aug 2026; as at 9 Aug 2026</w:t>
            </w:r>
          </w:p>
        </w:tc>
        <w:tc>
          <w:tcPr>
            <w:tcW w:type="dxa" w:w="4248"/>
          </w:tcPr>
          <w:p>
            <w:pPr>
              <w:spacing w:after="20"/>
              <w:jc w:val="right"/>
            </w:pPr>
            <w:r>
              <w:rPr>
                <w:color w:val="1C3A36"/>
                <w:sz w:val="14"/>
              </w:rPr>
              <w:t>Sets or tests a forward driver. used only as a cross-check — the lowest multiple in the peer set at 6.80x EV/EBITDA, confirming the Brazilian fuel-distribution discount seen at Vibra. NOTE: this is the ADR, so the multiple is USD-denominated;</w:t>
            </w:r>
          </w:p>
        </w:tc>
      </w:tr>
      <w:tr>
        <w:trPr>
          <w:cantSplit/>
        </w:trPr>
        <w:tc>
          <w:tcPr>
            <w:tcW w:type="dxa" w:w="605"/>
          </w:tcPr>
          <w:p>
            <w:pPr>
              <w:spacing w:after="20"/>
            </w:pPr>
            <w:r>
              <w:rPr>
                <w:color w:val="1C3A36"/>
                <w:sz w:val="14"/>
              </w:rPr>
              <w:t>I-15</w:t>
            </w:r>
          </w:p>
        </w:tc>
        <w:tc>
          <w:tcPr>
            <w:tcW w:type="dxa" w:w="2160"/>
          </w:tcPr>
          <w:p>
            <w:pPr>
              <w:spacing w:after="20"/>
              <w:jc w:val="right"/>
            </w:pPr>
            <w:r>
              <w:rPr>
                <w:color w:val="1C3A36"/>
                <w:sz w:val="14"/>
              </w:rPr>
              <w:t>Peers requested but NOT LISTED — Jio-bp and Puma Energy</w:t>
            </w:r>
          </w:p>
        </w:tc>
        <w:tc>
          <w:tcPr>
            <w:tcW w:type="dxa" w:w="3067"/>
          </w:tcPr>
          <w:p>
            <w:pPr>
              <w:spacing w:after="20"/>
              <w:jc w:val="right"/>
            </w:pPr>
            <w:r>
              <w:rPr>
                <w:color w:val="1C3A36"/>
                <w:sz w:val="14"/>
              </w:rPr>
              <w:t>Wikipedia — Jio-bp; BP India press release; search of 2026 IPO pipelines</w:t>
              <w:br/>
              <w:t>en.wikipedia.org  -&gt;  wiki  -&gt;  Jio-bp</w:t>
              <w:br/>
              <w:t>read 9 Aug 2026; as at 9 Aug 2026</w:t>
            </w:r>
          </w:p>
        </w:tc>
        <w:tc>
          <w:tcPr>
            <w:tcW w:type="dxa" w:w="4248"/>
          </w:tcPr>
          <w:p>
            <w:pPr>
              <w:spacing w:after="20"/>
              <w:jc w:val="right"/>
            </w:pPr>
            <w:r>
              <w:rPr>
                <w:color w:val="1C3A36"/>
                <w:sz w:val="14"/>
              </w:rPr>
              <w:t>Resets the starting point. NOT FOUND, recorded as a negative result per the bibliography's negative-results requirement. Neither name can enter the peer table.</w:t>
            </w:r>
          </w:p>
        </w:tc>
      </w:tr>
      <w:tr>
        <w:trPr>
          <w:cantSplit/>
        </w:trPr>
        <w:tc>
          <w:tcPr>
            <w:tcW w:type="dxa" w:w="605"/>
          </w:tcPr>
          <w:p>
            <w:pPr>
              <w:spacing w:after="20"/>
            </w:pPr>
            <w:r>
              <w:rPr>
                <w:color w:val="1C3A36"/>
                <w:sz w:val="14"/>
              </w:rPr>
              <w:t>CO-01</w:t>
            </w:r>
          </w:p>
        </w:tc>
        <w:tc>
          <w:tcPr>
            <w:tcW w:type="dxa" w:w="2160"/>
          </w:tcPr>
          <w:p>
            <w:pPr>
              <w:spacing w:after="20"/>
              <w:jc w:val="right"/>
            </w:pPr>
            <w:r>
              <w:rPr>
                <w:color w:val="1C3A36"/>
                <w:sz w:val="14"/>
              </w:rPr>
              <w:t>ADNOC Distribution market data — price and capitalisation</w:t>
            </w:r>
          </w:p>
        </w:tc>
        <w:tc>
          <w:tcPr>
            <w:tcW w:type="dxa" w:w="3067"/>
          </w:tcPr>
          <w:p>
            <w:pPr>
              <w:spacing w:after="20"/>
              <w:jc w:val="right"/>
            </w:pPr>
            <w:r>
              <w:rPr>
                <w:color w:val="1C3A36"/>
                <w:sz w:val="14"/>
              </w:rPr>
              <w:t>StockAnalysis.com — Abu Dhabi National Oil Company for Distribution PJSC (ADX:ADNOCDIST) Statistics</w:t>
              <w:br/>
              <w:t>stockanalysis.com  -&gt;  quote  -&gt;  adx  -&gt;  …</w:t>
              <w:br/>
              <w:t>read 9 Aug 2026; as at 7 Aug 2026</w:t>
            </w:r>
          </w:p>
        </w:tc>
        <w:tc>
          <w:tcPr>
            <w:tcW w:type="dxa" w:w="4248"/>
          </w:tcPr>
          <w:p>
            <w:pPr>
              <w:spacing w:after="20"/>
              <w:jc w:val="right"/>
            </w:pPr>
            <w:r>
              <w:rPr>
                <w:color w:val="1C3A36"/>
                <w:sz w:val="14"/>
              </w:rPr>
              <w:t>Context and cross-check only. Market-value equity for the WACC weights (market-value equity only, never book) and the market anchor the fair-value range is compared against. NOTE the forward P/E (16.83x) is ABOVE the trailing (14.27x) — the market expects earnings to FALL, consistent with the EIA crude path (G-04) unwinding the 2026 price spike.</w:t>
            </w:r>
          </w:p>
        </w:tc>
      </w:tr>
      <w:tr>
        <w:trPr>
          <w:cantSplit/>
        </w:trPr>
        <w:tc>
          <w:tcPr>
            <w:tcW w:type="dxa" w:w="605"/>
          </w:tcPr>
          <w:p>
            <w:pPr>
              <w:spacing w:after="20"/>
            </w:pPr>
            <w:r>
              <w:rPr>
                <w:color w:val="1C3A36"/>
                <w:sz w:val="14"/>
              </w:rPr>
              <w:t>CO-02</w:t>
            </w:r>
          </w:p>
        </w:tc>
        <w:tc>
          <w:tcPr>
            <w:tcW w:type="dxa" w:w="2160"/>
          </w:tcPr>
          <w:p>
            <w:pPr>
              <w:spacing w:after="20"/>
              <w:jc w:val="right"/>
            </w:pPr>
            <w:r>
              <w:rPr>
                <w:color w:val="1C3A36"/>
                <w:sz w:val="14"/>
              </w:rPr>
              <w:t>ADNOC Distribution ownership — free float and parent stake</w:t>
            </w:r>
          </w:p>
        </w:tc>
        <w:tc>
          <w:tcPr>
            <w:tcW w:type="dxa" w:w="3067"/>
          </w:tcPr>
          <w:p>
            <w:pPr>
              <w:spacing w:after="20"/>
              <w:jc w:val="right"/>
            </w:pPr>
            <w:r>
              <w:rPr>
                <w:color w:val="1C3A36"/>
                <w:sz w:val="14"/>
              </w:rPr>
              <w:t>ADNOC Distribution Investor Relations; ADX disclosures</w:t>
              <w:br/>
              <w:t>adnocdistribution.ae  -&gt;  en  -&gt;  investor-relations</w:t>
              <w:br/>
              <w:t>read 9 Aug 2026; as at 31 Dec 2025</w:t>
            </w:r>
          </w:p>
        </w:tc>
        <w:tc>
          <w:tcPr>
            <w:tcW w:type="dxa" w:w="4248"/>
          </w:tcPr>
          <w:p>
            <w:pPr>
              <w:spacing w:after="20"/>
              <w:jc w:val="right"/>
            </w:pPr>
            <w:r>
              <w:rPr>
                <w:color w:val="1C3A36"/>
                <w:sz w:val="14"/>
              </w:rPr>
              <w:t>Supplies a build-level driver. A 23% float with a 77% state-linked parent is a governance and liquidity fact that belongs in the caveats section and bears on the discount rate discussion: minority holders are price-takers on strategy, the related-party supply agreement with the parent sets the company's margin (CO-09), and the ADNOC Distribution CEO sits on the ...</w:t>
            </w:r>
          </w:p>
        </w:tc>
      </w:tr>
      <w:tr>
        <w:trPr>
          <w:cantSplit/>
        </w:trPr>
        <w:tc>
          <w:tcPr>
            <w:tcW w:type="dxa" w:w="605"/>
          </w:tcPr>
          <w:p>
            <w:pPr>
              <w:spacing w:after="20"/>
            </w:pPr>
            <w:r>
              <w:rPr>
                <w:color w:val="1C3A36"/>
                <w:sz w:val="14"/>
              </w:rPr>
              <w:t>CO-03</w:t>
            </w:r>
          </w:p>
        </w:tc>
        <w:tc>
          <w:tcPr>
            <w:tcW w:type="dxa" w:w="2160"/>
          </w:tcPr>
          <w:p>
            <w:pPr>
              <w:spacing w:after="20"/>
              <w:jc w:val="right"/>
            </w:pPr>
            <w:r>
              <w:rPr>
                <w:color w:val="1C3A36"/>
                <w:sz w:val="14"/>
              </w:rPr>
              <w:t>ADNOC Distribution Q2 and H1 2026 results — headline (CONTEXT ONLY)</w:t>
            </w:r>
          </w:p>
        </w:tc>
        <w:tc>
          <w:tcPr>
            <w:tcW w:type="dxa" w:w="3067"/>
          </w:tcPr>
          <w:p>
            <w:pPr>
              <w:spacing w:after="20"/>
              <w:jc w:val="right"/>
            </w:pPr>
            <w:r>
              <w:rPr>
                <w:color w:val="1C3A36"/>
                <w:sz w:val="14"/>
              </w:rPr>
              <w:t>ADNOC Distribution H1-2026 results and earnings call, 05-Aug-2026 (transcript via Investing.com); The National</w:t>
              <w:br/>
              <w:t>investing.com  -&gt;  news  -&gt;  transcripts  -&gt;  …</w:t>
              <w:br/>
              <w:t>read 9 Aug 2026; as at 30 Jun 2026</w:t>
            </w:r>
          </w:p>
        </w:tc>
        <w:tc>
          <w:tcPr>
            <w:tcW w:type="dxa" w:w="4248"/>
          </w:tcPr>
          <w:p>
            <w:pPr>
              <w:spacing w:after="20"/>
              <w:jc w:val="right"/>
            </w:pPr>
            <w:r>
              <w:rPr>
                <w:color w:val="1C3A36"/>
                <w:sz w:val="14"/>
              </w:rPr>
              <w:t>Context and cross-check only. CONTEXT ONLY — these figures MUST be re-read from the company's own interim financial statements before entering the model (the source-integrity rule). The single most important disclosure here is the gap between headline EBITDA (+39%) and UNDERLYING EBITDA ex-inventory (+14%): roughly USD 183m of H1-2026 EBITDA, or 23% of the headline, ...</w:t>
            </w:r>
          </w:p>
        </w:tc>
      </w:tr>
      <w:tr>
        <w:trPr>
          <w:cantSplit/>
        </w:trPr>
        <w:tc>
          <w:tcPr>
            <w:tcW w:type="dxa" w:w="605"/>
          </w:tcPr>
          <w:p>
            <w:pPr>
              <w:spacing w:after="20"/>
            </w:pPr>
            <w:r>
              <w:rPr>
                <w:color w:val="1C3A36"/>
                <w:sz w:val="14"/>
              </w:rPr>
              <w:t>CO-04</w:t>
            </w:r>
          </w:p>
        </w:tc>
        <w:tc>
          <w:tcPr>
            <w:tcW w:type="dxa" w:w="2160"/>
          </w:tcPr>
          <w:p>
            <w:pPr>
              <w:spacing w:after="20"/>
              <w:jc w:val="right"/>
            </w:pPr>
            <w:r>
              <w:rPr>
                <w:color w:val="1C3A36"/>
                <w:sz w:val="14"/>
              </w:rPr>
              <w:t>ADNOC Distribution non-fuel retail and property (CONTEXT ONLY)</w:t>
            </w:r>
          </w:p>
        </w:tc>
        <w:tc>
          <w:tcPr>
            <w:tcW w:type="dxa" w:w="3067"/>
          </w:tcPr>
          <w:p>
            <w:pPr>
              <w:spacing w:after="20"/>
              <w:jc w:val="right"/>
            </w:pPr>
            <w:r>
              <w:rPr>
                <w:color w:val="1C3A36"/>
                <w:sz w:val="14"/>
              </w:rPr>
              <w:t>ADNOC Distribution H1-2026 earnings call, 05-Aug-2026</w:t>
              <w:br/>
              <w:t>investing.com  -&gt;  news  -&gt;  transcripts  -&gt;  …</w:t>
              <w:br/>
              <w:t>read 9 Aug 2026; as at 30 Jun 2026</w:t>
            </w:r>
          </w:p>
        </w:tc>
        <w:tc>
          <w:tcPr>
            <w:tcW w:type="dxa" w:w="4248"/>
          </w:tcPr>
          <w:p>
            <w:pPr>
              <w:spacing w:after="20"/>
              <w:jc w:val="right"/>
            </w:pPr>
            <w:r>
              <w:rPr>
                <w:color w:val="1C3A36"/>
                <w:sz w:val="14"/>
              </w:rPr>
              <w:t>Supplies a build-level driver. The non-fuel leg is the structural growth and re-rating story, and the leg least exposed to both crude prices and EV substitution. At USD 140m of gross profit against USD 786m of H1 EBITDA it is still small relative to the 70-78% non-fuel gross-profit share at US peers (G-07), so the runway is long but the near-term valuation ...</w:t>
            </w:r>
          </w:p>
        </w:tc>
      </w:tr>
      <w:tr>
        <w:trPr>
          <w:cantSplit/>
        </w:trPr>
        <w:tc>
          <w:tcPr>
            <w:tcW w:type="dxa" w:w="605"/>
          </w:tcPr>
          <w:p>
            <w:pPr>
              <w:spacing w:after="20"/>
            </w:pPr>
            <w:r>
              <w:rPr>
                <w:color w:val="1C3A36"/>
                <w:sz w:val="14"/>
              </w:rPr>
              <w:t>CO-05</w:t>
            </w:r>
          </w:p>
        </w:tc>
        <w:tc>
          <w:tcPr>
            <w:tcW w:type="dxa" w:w="2160"/>
          </w:tcPr>
          <w:p>
            <w:pPr>
              <w:spacing w:after="20"/>
              <w:jc w:val="right"/>
            </w:pPr>
            <w:r>
              <w:rPr>
                <w:color w:val="1C3A36"/>
                <w:sz w:val="14"/>
              </w:rPr>
              <w:t>ADNOC Distribution — Shell Downstream South Africa acquisition</w:t>
            </w:r>
          </w:p>
        </w:tc>
        <w:tc>
          <w:tcPr>
            <w:tcW w:type="dxa" w:w="3067"/>
          </w:tcPr>
          <w:p>
            <w:pPr>
              <w:spacing w:after="20"/>
              <w:jc w:val="right"/>
            </w:pPr>
            <w:r>
              <w:rPr>
                <w:color w:val="1C3A36"/>
                <w:sz w:val="14"/>
              </w:rPr>
              <w:t>ADNOC Distribution H1-2026 earnings call; Semafor — 'ADNOC wants more gas stations, eyes Africa and Southeast Asia'</w:t>
              <w:br/>
              <w:t>semafor.com  -&gt;  article  -&gt;  07  -&gt;  …</w:t>
              <w:br/>
              <w:t>read 9 Aug 2026; as at 7 Jul 2026</w:t>
            </w:r>
          </w:p>
        </w:tc>
        <w:tc>
          <w:tcPr>
            <w:tcW w:type="dxa" w:w="4248"/>
          </w:tcPr>
          <w:p>
            <w:pPr>
              <w:spacing w:after="20"/>
              <w:jc w:val="right"/>
            </w:pPr>
            <w:r>
              <w:rPr>
                <w:color w:val="1C3A36"/>
                <w:sz w:val="14"/>
              </w:rPr>
              <w:t>Context and cross-check only. MATERIAL and UNRESOLVED at the valuation date. A USD 1bn EV acquisition against a AED 55.7bn (USD ~15.2bn) EV, adding ~55% to the network and ~20% to volumes, closing in 2027 — i.e.</w:t>
            </w:r>
          </w:p>
        </w:tc>
      </w:tr>
      <w:tr>
        <w:trPr>
          <w:cantSplit/>
        </w:trPr>
        <w:tc>
          <w:tcPr>
            <w:tcW w:type="dxa" w:w="605"/>
          </w:tcPr>
          <w:p>
            <w:pPr>
              <w:spacing w:after="20"/>
            </w:pPr>
            <w:r>
              <w:rPr>
                <w:color w:val="1C3A36"/>
                <w:sz w:val="14"/>
              </w:rPr>
              <w:t>CO-06</w:t>
            </w:r>
          </w:p>
        </w:tc>
        <w:tc>
          <w:tcPr>
            <w:tcW w:type="dxa" w:w="2160"/>
          </w:tcPr>
          <w:p>
            <w:pPr>
              <w:spacing w:after="20"/>
              <w:jc w:val="right"/>
            </w:pPr>
            <w:r>
              <w:rPr>
                <w:color w:val="1C3A36"/>
                <w:sz w:val="14"/>
              </w:rPr>
              <w:t>ADNOC Distribution dividend policy</w:t>
            </w:r>
          </w:p>
        </w:tc>
        <w:tc>
          <w:tcPr>
            <w:tcW w:type="dxa" w:w="3067"/>
          </w:tcPr>
          <w:p>
            <w:pPr>
              <w:spacing w:after="20"/>
              <w:jc w:val="right"/>
            </w:pPr>
            <w:r>
              <w:rPr>
                <w:color w:val="1C3A36"/>
                <w:sz w:val="14"/>
              </w:rPr>
              <w:t>ADNOC Distribution — Dividends / Investor Relations; shareholder approval of the final 2025 dividend (April 2026)</w:t>
              <w:br/>
              <w:t>adnocdistribution.ae  -&gt;  en  -&gt;  investor-relations  -&gt;  …</w:t>
              <w:br/>
              <w:t>read 9 Aug 2026; as at 1 Apr 2026</w:t>
            </w:r>
          </w:p>
        </w:tc>
        <w:tc>
          <w:tcPr>
            <w:tcW w:type="dxa" w:w="4248"/>
          </w:tcPr>
          <w:p>
            <w:pPr>
              <w:spacing w:after="20"/>
              <w:jc w:val="right"/>
            </w:pPr>
            <w:r>
              <w:rPr>
                <w:color w:val="1C3A36"/>
                <w:sz w:val="14"/>
              </w:rPr>
              <w:t>Context and cross-check only. A contractual-strength, parent-endorsed policy running to 2030 — this is unusually firm for a dividend assumption and effectively fixes the payout leg of the model through the explicit forecast window. It also caps retained-earnings-funded growth: with a floor of the greater of USD 700m or 75% of net profit, the company distributes most ...</w:t>
            </w:r>
          </w:p>
        </w:tc>
      </w:tr>
      <w:tr>
        <w:trPr>
          <w:cantSplit/>
        </w:trPr>
        <w:tc>
          <w:tcPr>
            <w:tcW w:type="dxa" w:w="605"/>
          </w:tcPr>
          <w:p>
            <w:pPr>
              <w:spacing w:after="20"/>
            </w:pPr>
            <w:r>
              <w:rPr>
                <w:color w:val="1C3A36"/>
                <w:sz w:val="14"/>
              </w:rPr>
              <w:t>CO-07</w:t>
            </w:r>
          </w:p>
        </w:tc>
        <w:tc>
          <w:tcPr>
            <w:tcW w:type="dxa" w:w="2160"/>
          </w:tcPr>
          <w:p>
            <w:pPr>
              <w:spacing w:after="20"/>
              <w:jc w:val="right"/>
            </w:pPr>
            <w:r>
              <w:rPr>
                <w:color w:val="1C3A36"/>
                <w:sz w:val="14"/>
              </w:rPr>
              <w:t>ADNOC Distribution dividends declared 2025-2026</w:t>
            </w:r>
          </w:p>
        </w:tc>
        <w:tc>
          <w:tcPr>
            <w:tcW w:type="dxa" w:w="3067"/>
          </w:tcPr>
          <w:p>
            <w:pPr>
              <w:spacing w:after="20"/>
              <w:jc w:val="right"/>
            </w:pPr>
            <w:r>
              <w:rPr>
                <w:color w:val="1C3A36"/>
                <w:sz w:val="14"/>
              </w:rPr>
              <w:t>ADNOC Distribution — H1-2026 results announcement; shareholder approval of final 2025 dividend</w:t>
              <w:br/>
              <w:t>adnocdistribution.ae  -&gt;  en  -&gt;  media-folder  -&gt;  …</w:t>
              <w:br/>
              <w:t>read 9 Aug 2026; as at 5 Aug 2026</w:t>
            </w:r>
          </w:p>
        </w:tc>
        <w:tc>
          <w:tcPr>
            <w:tcW w:type="dxa" w:w="4248"/>
          </w:tcPr>
          <w:p>
            <w:pPr>
              <w:spacing w:after="20"/>
              <w:jc w:val="right"/>
            </w:pPr>
            <w:r>
              <w:rPr>
                <w:color w:val="1C3A36"/>
                <w:sz w:val="14"/>
              </w:rPr>
              <w:t>Supplies a build-level driver. Confirms the policy is being executed at the USD 700m floor run-rate (4 x 5.14 fils = 20.56 fils = ~USD 700m), NOT at 75% of the elevated 2026 profit. That is informative: despite record H1 profit driven by inventory gains, the Board is paying the floor, implicitly treating the 2026 profit spike as non-recurring.</w:t>
            </w:r>
          </w:p>
        </w:tc>
      </w:tr>
      <w:tr>
        <w:trPr>
          <w:cantSplit/>
        </w:trPr>
        <w:tc>
          <w:tcPr>
            <w:tcW w:type="dxa" w:w="605"/>
          </w:tcPr>
          <w:p>
            <w:pPr>
              <w:spacing w:after="20"/>
            </w:pPr>
            <w:r>
              <w:rPr>
                <w:color w:val="1C3A36"/>
                <w:sz w:val="14"/>
              </w:rPr>
              <w:t>CO-08</w:t>
            </w:r>
          </w:p>
        </w:tc>
        <w:tc>
          <w:tcPr>
            <w:tcW w:type="dxa" w:w="2160"/>
          </w:tcPr>
          <w:p>
            <w:pPr>
              <w:spacing w:after="20"/>
              <w:jc w:val="right"/>
            </w:pPr>
            <w:r>
              <w:rPr>
                <w:color w:val="1C3A36"/>
                <w:sz w:val="14"/>
              </w:rPr>
              <w:t>ADNOC supply agreement — the 45 fils/litre minimum margin backstop</w:t>
            </w:r>
          </w:p>
        </w:tc>
        <w:tc>
          <w:tcPr>
            <w:tcW w:type="dxa" w:w="3067"/>
          </w:tcPr>
          <w:p>
            <w:pPr>
              <w:spacing w:after="20"/>
              <w:jc w:val="right"/>
            </w:pPr>
            <w:r>
              <w:rPr>
                <w:color w:val="1C3A36"/>
                <w:sz w:val="14"/>
              </w:rPr>
              <w:t>ADNOC Distribution H1-2026 earnings call, 05-Aug-2026; ADX filing on the ADNOC supply agreement</w:t>
              <w:br/>
              <w:t>investing.com  -&gt;  news  -&gt;  transcripts  -&gt;  …</w:t>
              <w:br/>
              <w:t>read 9 Aug 2026; as at 5 Aug 2026</w:t>
            </w:r>
          </w:p>
        </w:tc>
        <w:tc>
          <w:tcPr>
            <w:tcW w:type="dxa" w:w="4248"/>
          </w:tcPr>
          <w:p>
            <w:pPr>
              <w:spacing w:after="20"/>
              <w:jc w:val="right"/>
            </w:pPr>
            <w:r>
              <w:rPr>
                <w:color w:val="1C3A36"/>
                <w:sz w:val="14"/>
              </w:rPr>
              <w:t>Context and cross-check only. THE most important structural feature of this business and the core of the valuation case. It converts a commodity-exposed retailer into something closer to a regulated utility with an option on price: a floor of ~45 fils/litre with unlimited upside.</w:t>
            </w:r>
          </w:p>
        </w:tc>
      </w:tr>
      <w:tr>
        <w:trPr>
          <w:cantSplit/>
        </w:trPr>
        <w:tc>
          <w:tcPr>
            <w:tcW w:type="dxa" w:w="605"/>
          </w:tcPr>
          <w:p>
            <w:pPr>
              <w:spacing w:after="20"/>
            </w:pPr>
            <w:r>
              <w:rPr>
                <w:color w:val="1C3A36"/>
                <w:sz w:val="14"/>
              </w:rPr>
              <w:t>CO-09</w:t>
            </w:r>
          </w:p>
        </w:tc>
        <w:tc>
          <w:tcPr>
            <w:tcW w:type="dxa" w:w="2160"/>
          </w:tcPr>
          <w:p>
            <w:pPr>
              <w:spacing w:after="20"/>
              <w:jc w:val="right"/>
            </w:pPr>
            <w:r>
              <w:rPr>
                <w:color w:val="1C3A36"/>
                <w:sz w:val="14"/>
              </w:rPr>
              <w:t>ADNOC Distribution guidance — capex, network and 2028-2030 targets</w:t>
            </w:r>
          </w:p>
        </w:tc>
        <w:tc>
          <w:tcPr>
            <w:tcW w:type="dxa" w:w="3067"/>
          </w:tcPr>
          <w:p>
            <w:pPr>
              <w:spacing w:after="20"/>
              <w:jc w:val="right"/>
            </w:pPr>
            <w:r>
              <w:rPr>
                <w:color w:val="1C3A36"/>
                <w:sz w:val="14"/>
              </w:rPr>
              <w:t>ADNOC Distribution H1-2026 earnings call and strategy guidance; Semafor</w:t>
              <w:br/>
              <w:t>investing.com  -&gt;  news  -&gt;  transcripts  -&gt;  …</w:t>
              <w:br/>
              <w:t>read 9 Aug 2026; as at 5 Aug 2026</w:t>
            </w:r>
          </w:p>
        </w:tc>
        <w:tc>
          <w:tcPr>
            <w:tcW w:type="dxa" w:w="4248"/>
          </w:tcPr>
          <w:p>
            <w:pPr>
              <w:spacing w:after="20"/>
              <w:jc w:val="right"/>
            </w:pPr>
            <w:r>
              <w:rPr>
                <w:color w:val="1C3A36"/>
                <w:sz w:val="14"/>
              </w:rPr>
              <w:t>Supplies a build-level driver. Capex of USD 250-300m against operating cash flow of AED 4.72bn (~USD 1.29bn) confirms this is a low-reinvestment, high-free-cash-flow business (FCF AED 3.74bn) — consistent with the 50.7% ROIC and the ability to sustain a USD 700m dividend. Sets the capex line of the FCFF waterfall directly.</w:t>
            </w:r>
          </w:p>
        </w:tc>
      </w:tr>
      <w:tr>
        <w:trPr>
          <w:cantSplit/>
        </w:trPr>
        <w:tc>
          <w:tcPr>
            <w:tcW w:type="dxa" w:w="605"/>
          </w:tcPr>
          <w:p>
            <w:pPr>
              <w:spacing w:after="20"/>
            </w:pPr>
            <w:r>
              <w:rPr>
                <w:color w:val="1C3A36"/>
                <w:sz w:val="14"/>
              </w:rPr>
              <w:t>CO-10</w:t>
            </w:r>
          </w:p>
        </w:tc>
        <w:tc>
          <w:tcPr>
            <w:tcW w:type="dxa" w:w="2160"/>
          </w:tcPr>
          <w:p>
            <w:pPr>
              <w:spacing w:after="20"/>
              <w:jc w:val="right"/>
            </w:pPr>
            <w:r>
              <w:rPr>
                <w:color w:val="1C3A36"/>
                <w:sz w:val="14"/>
              </w:rPr>
              <w:t>ADNOC Distribution debt and cost of debt evidence (cross-check)</w:t>
            </w:r>
          </w:p>
        </w:tc>
        <w:tc>
          <w:tcPr>
            <w:tcW w:type="dxa" w:w="3067"/>
          </w:tcPr>
          <w:p>
            <w:pPr>
              <w:spacing w:after="20"/>
              <w:jc w:val="right"/>
            </w:pPr>
            <w:r>
              <w:rPr>
                <w:color w:val="1C3A36"/>
                <w:sz w:val="14"/>
              </w:rPr>
              <w:t>ADNOC — 'ADNOC Successfully Completes $1.5 Billion Debut International Sukuk Issuance'; AGBI on ADNOC Distribution loan facilities</w:t>
              <w:br/>
              <w:t>adnoc.ae  -&gt;  -  -&gt;  media  -&gt;  …</w:t>
              <w:br/>
              <w:t>read 9 Aug 2026; as at 6 May 2025</w:t>
            </w:r>
          </w:p>
        </w:tc>
        <w:tc>
          <w:tcPr>
            <w:tcW w:type="dxa" w:w="4248"/>
          </w:tcPr>
          <w:p>
            <w:pPr>
              <w:spacing w:after="20"/>
              <w:jc w:val="right"/>
            </w:pPr>
            <w:r>
              <w:rPr>
                <w:color w:val="1C3A36"/>
                <w:sz w:val="14"/>
              </w:rPr>
              <w:t>Supplies a build-level driver. cross-check for the marginal cost of debt. The Kd rule requires a MARGINAL, forward-looking rate in the CASH-FLOW CURRENCY (AED), sitting ABOVE the local sovereign.</w:t>
            </w:r>
          </w:p>
        </w:tc>
      </w:tr>
      <w:tr>
        <w:trPr>
          <w:cantSplit/>
        </w:trPr>
        <w:tc>
          <w:tcPr>
            <w:tcW w:type="dxa" w:w="605"/>
          </w:tcPr>
          <w:p>
            <w:pPr>
              <w:spacing w:after="20"/>
            </w:pPr>
            <w:r>
              <w:rPr>
                <w:color w:val="1C3A36"/>
                <w:sz w:val="14"/>
              </w:rPr>
              <w:t>CO-11</w:t>
            </w:r>
          </w:p>
        </w:tc>
        <w:tc>
          <w:tcPr>
            <w:tcW w:type="dxa" w:w="2160"/>
          </w:tcPr>
          <w:p>
            <w:pPr>
              <w:spacing w:after="20"/>
              <w:jc w:val="right"/>
            </w:pPr>
            <w:r>
              <w:rPr>
                <w:color w:val="1C3A36"/>
                <w:sz w:val="14"/>
              </w:rPr>
              <w:t>Sell-side / analyst commentary — used only as a cross-check, never as a source for the model</w:t>
            </w:r>
          </w:p>
        </w:tc>
        <w:tc>
          <w:tcPr>
            <w:tcW w:type="dxa" w:w="3067"/>
          </w:tcPr>
          <w:p>
            <w:pPr>
              <w:spacing w:after="20"/>
              <w:jc w:val="right"/>
            </w:pPr>
            <w:r>
              <w:rPr>
                <w:color w:val="1C3A36"/>
                <w:sz w:val="14"/>
              </w:rPr>
              <w:t>StockAnalysis.com consensus data (aggregated sell-side)</w:t>
              <w:br/>
              <w:t>stockanalysis.com  -&gt;  quote  -&gt;  adx  -&gt;  …</w:t>
              <w:br/>
              <w:t>read 9 Aug 2026; as at 9 Aug 2026</w:t>
            </w:r>
          </w:p>
        </w:tc>
        <w:tc>
          <w:tcPr>
            <w:tcW w:type="dxa" w:w="4248"/>
          </w:tcPr>
          <w:p>
            <w:pPr>
              <w:spacing w:after="20"/>
              <w:jc w:val="right"/>
            </w:pPr>
            <w:r>
              <w:rPr>
                <w:color w:val="1C3A36"/>
                <w:sz w:val="14"/>
              </w:rPr>
              <w:t>Resets the starting point. used only as a cross-check. Recorded because the research plan called for it and because a large divergence between the study's fair-value range and consensus is itself information worth explaining.</w:t>
            </w:r>
          </w:p>
        </w:tc>
      </w:tr>
    </w:tbl>
    <w:p>
      <w:pPr>
        <w:spacing w:after="40"/>
      </w:pPr>
    </w:p>
    <w:p>
      <w:pPr>
        <w:spacing w:after="200" w:before="0"/>
      </w:pPr>
      <w:r>
        <w:rPr>
          <w:b w:val="0"/>
          <w:i/>
          <w:color w:val="6E7B77"/>
          <w:sz w:val="17"/>
        </w:rPr>
        <w:t>Table 3 — the 55 sources consulted outside the company's own documents, grouped by the layer they belong to: 9 global, 20 country, 15 industry and 11 about the company itself — the last of which are context and cross-check only and are never a source of a reported figure.</w:t>
      </w:r>
    </w:p>
    <w:p>
      <w:pPr>
        <w:spacing w:after="120" w:before="280"/>
      </w:pPr>
      <w:r>
        <w:rPr>
          <w:b/>
          <w:i w:val="0"/>
          <w:color w:val="1C3A36"/>
          <w:sz w:val="30"/>
        </w:rPr>
        <w:t>2. The full input record</w:t>
      </w:r>
    </w:p>
    <w:p>
      <w:pPr>
        <w:spacing w:after="120" w:before="0"/>
      </w:pPr>
      <w:r>
        <w:rPr>
          <w:b w:val="0"/>
          <w:i w:val="0"/>
          <w:color w:val="1C3A36"/>
          <w:sz w:val="21"/>
        </w:rPr>
        <w:t>Every input the valuation uses, with its value, the date that value belongs to, and the sentence that says where it came from and how it was built. There are 222 of them and all 222 are printed here. A bare numeral cannot enter the model: the build refuses to produce a valuation unless each input carries all four fields — a value, a source, a date and a layer.</w:t>
      </w:r>
    </w:p>
    <w:p>
      <w:pPr>
        <w:spacing w:after="120" w:before="0"/>
      </w:pPr>
      <w:r>
        <w:rPr>
          <w:b w:val="0"/>
          <w:i w:val="0"/>
          <w:color w:val="6E7B77"/>
          <w:sz w:val="19"/>
        </w:rPr>
        <w:t>Conventions in the value column: money figures are in dirhams, in millions, with thousands separators, unless the input name says otherwise; rates and growth figures are shown as percentages; per-share and per-litre figures are shown to four decimals; volumes are in millions of litres and station, store and transaction figures are counts. Where an input is a path rather than a single figure, the five forecast years are shown in order as a comma-separated series.</w:t>
      </w:r>
    </w:p>
    <w:p>
      <w:pPr>
        <w:spacing w:after="80" w:before="200"/>
      </w:pPr>
      <w:r>
        <w:rPr>
          <w:b/>
          <w:i w:val="0"/>
          <w:color w:val="1C3A36"/>
          <w:sz w:val="24"/>
        </w:rPr>
        <w:t>Market layer — 4 inputs</w:t>
      </w:r>
    </w:p>
    <w:p>
      <w:pPr>
        <w:spacing w:after="80" w:before="0"/>
      </w:pPr>
      <w:r>
        <w:rPr>
          <w:b w:val="0"/>
          <w:i/>
          <w:color w:val="6E7B77"/>
          <w:sz w:val="18"/>
        </w:rPr>
        <w:t>What the exchange itself observes — the share price and what is measured from its history.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beta</w:t>
            </w:r>
          </w:p>
        </w:tc>
        <w:tc>
          <w:tcPr>
            <w:tcW w:type="dxa" w:w="1440"/>
          </w:tcPr>
          <w:p>
            <w:pPr>
              <w:spacing w:after="20"/>
            </w:pPr>
            <w:r>
              <w:rPr>
                <w:color w:val="1C3A36"/>
                <w:sz w:val="14"/>
              </w:rPr>
              <w:t>0.509</w:t>
            </w:r>
          </w:p>
        </w:tc>
        <w:tc>
          <w:tcPr>
            <w:tcW w:type="dxa" w:w="936"/>
          </w:tcPr>
          <w:p>
            <w:pPr>
              <w:spacing w:after="20"/>
            </w:pPr>
            <w:r>
              <w:rPr>
                <w:color w:val="1C3A36"/>
                <w:sz w:val="14"/>
              </w:rPr>
              <w:t>7 Aug 2026</w:t>
            </w:r>
          </w:p>
        </w:tc>
        <w:tc>
          <w:tcPr>
            <w:tcW w:type="dxa" w:w="6048"/>
          </w:tcPr>
          <w:p>
            <w:pPr>
              <w:spacing w:after="20"/>
            </w:pPr>
            <w:r>
              <w:rPr>
                <w:color w:val="1C3A36"/>
                <w:sz w:val="14"/>
              </w:rPr>
              <w:t>Five-year weekly regression of the company's own returns against an equal-weight composite of the Abu Dhabi exchange's listed names, excluding the company itself; 257 observations, R-squared 0.194, standard error 0.065</w:t>
            </w:r>
          </w:p>
        </w:tc>
      </w:tr>
      <w:tr>
        <w:trPr>
          <w:cantSplit/>
        </w:trPr>
        <w:tc>
          <w:tcPr>
            <w:tcW w:type="dxa" w:w="1656"/>
          </w:tcPr>
          <w:p>
            <w:pPr>
              <w:spacing w:after="20"/>
            </w:pPr>
            <w:r>
              <w:rPr>
                <w:color w:val="1C3A36"/>
                <w:sz w:val="14"/>
              </w:rPr>
              <w:t>beta terminal</w:t>
            </w:r>
          </w:p>
        </w:tc>
        <w:tc>
          <w:tcPr>
            <w:tcW w:type="dxa" w:w="1440"/>
          </w:tcPr>
          <w:p>
            <w:pPr>
              <w:spacing w:after="20"/>
            </w:pPr>
            <w:r>
              <w:rPr>
                <w:color w:val="1C3A36"/>
                <w:sz w:val="14"/>
              </w:rPr>
              <w:t>0.700</w:t>
            </w:r>
          </w:p>
        </w:tc>
        <w:tc>
          <w:tcPr>
            <w:tcW w:type="dxa" w:w="936"/>
          </w:tcPr>
          <w:p>
            <w:pPr>
              <w:spacing w:after="20"/>
            </w:pPr>
            <w:r>
              <w:rPr>
                <w:color w:val="1C3A36"/>
                <w:sz w:val="14"/>
              </w:rPr>
              <w:t>5 Aug 2026</w:t>
            </w:r>
          </w:p>
        </w:tc>
        <w:tc>
          <w:tcPr>
            <w:tcW w:type="dxa" w:w="6048"/>
          </w:tcPr>
          <w:p>
            <w:pPr>
              <w:spacing w:after="20"/>
            </w:pPr>
            <w:r>
              <w:rPr>
                <w:color w:val="1C3A36"/>
                <w:sz w:val="14"/>
              </w:rPr>
              <w:t>Terminal beta, drifting from the measured 0.509 toward the market as the transition risk in the business rises and the regulated margin becomes a smaller share of a more diversified earnings base</w:t>
            </w:r>
          </w:p>
        </w:tc>
      </w:tr>
      <w:tr>
        <w:trPr>
          <w:cantSplit/>
        </w:trPr>
        <w:tc>
          <w:tcPr>
            <w:tcW w:type="dxa" w:w="1656"/>
          </w:tcPr>
          <w:p>
            <w:pPr>
              <w:spacing w:after="20"/>
            </w:pPr>
            <w:r>
              <w:rPr>
                <w:color w:val="1C3A36"/>
                <w:sz w:val="14"/>
              </w:rPr>
              <w:t>spot</w:t>
            </w:r>
          </w:p>
        </w:tc>
        <w:tc>
          <w:tcPr>
            <w:tcW w:type="dxa" w:w="1440"/>
          </w:tcPr>
          <w:p>
            <w:pPr>
              <w:spacing w:after="20"/>
            </w:pPr>
            <w:r>
              <w:rPr>
                <w:color w:val="1C3A36"/>
                <w:sz w:val="14"/>
              </w:rPr>
              <w:t>4.0700</w:t>
            </w:r>
          </w:p>
        </w:tc>
        <w:tc>
          <w:tcPr>
            <w:tcW w:type="dxa" w:w="936"/>
          </w:tcPr>
          <w:p>
            <w:pPr>
              <w:spacing w:after="20"/>
            </w:pPr>
            <w:r>
              <w:rPr>
                <w:color w:val="1C3A36"/>
                <w:sz w:val="14"/>
              </w:rPr>
              <w:t>7 Aug 2026</w:t>
            </w:r>
          </w:p>
        </w:tc>
        <w:tc>
          <w:tcPr>
            <w:tcW w:type="dxa" w:w="6048"/>
          </w:tcPr>
          <w:p>
            <w:pPr>
              <w:spacing w:after="20"/>
            </w:pPr>
            <w:r>
              <w:rPr>
                <w:color w:val="1C3A36"/>
                <w:sz w:val="14"/>
              </w:rPr>
              <w:t>Daily price history for the ADX listing supplied for this study, cleaned through the study's own data screen; last close 7 August 2026</w:t>
            </w:r>
          </w:p>
        </w:tc>
      </w:tr>
      <w:tr>
        <w:trPr>
          <w:cantSplit/>
        </w:trPr>
        <w:tc>
          <w:tcPr>
            <w:tcW w:type="dxa" w:w="1656"/>
          </w:tcPr>
          <w:p>
            <w:pPr>
              <w:spacing w:after="20"/>
            </w:pPr>
            <w:r>
              <w:rPr>
                <w:color w:val="1C3A36"/>
                <w:sz w:val="14"/>
              </w:rPr>
              <w:t>wd terminal</w:t>
            </w:r>
          </w:p>
        </w:tc>
        <w:tc>
          <w:tcPr>
            <w:tcW w:type="dxa" w:w="1440"/>
          </w:tcPr>
          <w:p>
            <w:pPr>
              <w:spacing w:after="20"/>
            </w:pPr>
            <w:r>
              <w:rPr>
                <w:color w:val="1C3A36"/>
                <w:sz w:val="14"/>
              </w:rPr>
              <w:t>10.00%</w:t>
            </w:r>
          </w:p>
        </w:tc>
        <w:tc>
          <w:tcPr>
            <w:tcW w:type="dxa" w:w="936"/>
          </w:tcPr>
          <w:p>
            <w:pPr>
              <w:spacing w:after="20"/>
            </w:pPr>
            <w:r>
              <w:rPr>
                <w:color w:val="1C3A36"/>
                <w:sz w:val="14"/>
              </w:rPr>
              <w:t>5 Aug 2026</w:t>
            </w:r>
          </w:p>
        </w:tc>
        <w:tc>
          <w:tcPr>
            <w:tcW w:type="dxa" w:w="6048"/>
          </w:tcPr>
          <w:p>
            <w:pPr>
              <w:spacing w:after="20"/>
            </w:pPr>
            <w:r>
              <w:rPr>
                <w:color w:val="1C3A36"/>
                <w:sz w:val="14"/>
              </w:rPr>
              <w:t>Terminal debt weight, above today's 5.5% because the current weight reflects an unusually high equity market value against a small and stable borrowing book</w:t>
            </w:r>
          </w:p>
        </w:tc>
      </w:tr>
    </w:tbl>
    <w:p>
      <w:pPr>
        <w:spacing w:after="40"/>
      </w:pPr>
    </w:p>
    <w:p>
      <w:pPr>
        <w:spacing w:after="200" w:before="0"/>
      </w:pPr>
      <w:r>
        <w:rPr>
          <w:b w:val="0"/>
          <w:i/>
          <w:color w:val="6E7B77"/>
          <w:sz w:val="17"/>
        </w:rPr>
        <w:t>Table 4 — every market-layer input, in alphabetical order.</w:t>
      </w:r>
    </w:p>
    <w:p>
      <w:pPr>
        <w:spacing w:after="80" w:before="200"/>
      </w:pPr>
      <w:r>
        <w:rPr>
          <w:b/>
          <w:i w:val="0"/>
          <w:color w:val="1C3A36"/>
          <w:sz w:val="24"/>
        </w:rPr>
        <w:t>Company layer — 204 inputs</w:t>
      </w:r>
    </w:p>
    <w:p>
      <w:pPr>
        <w:spacing w:after="80" w:before="0"/>
      </w:pPr>
      <w:r>
        <w:rPr>
          <w:b w:val="0"/>
          <w:i/>
          <w:color w:val="6E7B77"/>
          <w:sz w:val="18"/>
        </w:rPr>
        <w:t>The company's own issued documents. Every historical figure in the model sits in this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amort fy23</w:t>
            </w:r>
          </w:p>
        </w:tc>
        <w:tc>
          <w:tcPr>
            <w:tcW w:type="dxa" w:w="1440"/>
          </w:tcPr>
          <w:p>
            <w:pPr>
              <w:spacing w:after="20"/>
            </w:pPr>
            <w:r>
              <w:rPr>
                <w:color w:val="1C3A36"/>
                <w:sz w:val="14"/>
              </w:rPr>
              <w:t>43.046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amort fy24</w:t>
            </w:r>
          </w:p>
        </w:tc>
        <w:tc>
          <w:tcPr>
            <w:tcW w:type="dxa" w:w="1440"/>
          </w:tcPr>
          <w:p>
            <w:pPr>
              <w:spacing w:after="20"/>
            </w:pPr>
            <w:r>
              <w:rPr>
                <w:color w:val="1C3A36"/>
                <w:sz w:val="14"/>
              </w:rPr>
              <w:t>31.952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amort fy25</w:t>
            </w:r>
          </w:p>
        </w:tc>
        <w:tc>
          <w:tcPr>
            <w:tcW w:type="dxa" w:w="1440"/>
          </w:tcPr>
          <w:p>
            <w:pPr>
              <w:spacing w:after="20"/>
            </w:pPr>
            <w:r>
              <w:rPr>
                <w:color w:val="1C3A36"/>
                <w:sz w:val="14"/>
              </w:rPr>
              <w:t>30.724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borr fy23</w:t>
            </w:r>
          </w:p>
        </w:tc>
        <w:tc>
          <w:tcPr>
            <w:tcW w:type="dxa" w:w="1440"/>
          </w:tcPr>
          <w:p>
            <w:pPr>
              <w:spacing w:after="20"/>
            </w:pPr>
            <w:r>
              <w:rPr>
                <w:color w:val="1C3A36"/>
                <w:sz w:val="14"/>
              </w:rPr>
              <w:t>5,492.280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borrowings: term loan non-current 5,492.280, no short term borrowing</w:t>
            </w:r>
          </w:p>
        </w:tc>
      </w:tr>
      <w:tr>
        <w:trPr>
          <w:cantSplit/>
        </w:trPr>
        <w:tc>
          <w:tcPr>
            <w:tcW w:type="dxa" w:w="1656"/>
          </w:tcPr>
          <w:p>
            <w:pPr>
              <w:spacing w:after="20"/>
            </w:pPr>
            <w:r>
              <w:rPr>
                <w:color w:val="1C3A36"/>
                <w:sz w:val="14"/>
              </w:rPr>
              <w:t>borr fy24</w:t>
            </w:r>
          </w:p>
        </w:tc>
        <w:tc>
          <w:tcPr>
            <w:tcW w:type="dxa" w:w="1440"/>
          </w:tcPr>
          <w:p>
            <w:pPr>
              <w:spacing w:after="20"/>
            </w:pPr>
            <w:r>
              <w:rPr>
                <w:color w:val="1C3A36"/>
                <w:sz w:val="14"/>
              </w:rPr>
              <w:t>5,590.644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borrowings: term loan non-current 5,494.859 plus short term borrowings 95.785</w:t>
            </w:r>
          </w:p>
        </w:tc>
      </w:tr>
      <w:tr>
        <w:trPr>
          <w:cantSplit/>
        </w:trPr>
        <w:tc>
          <w:tcPr>
            <w:tcW w:type="dxa" w:w="1656"/>
          </w:tcPr>
          <w:p>
            <w:pPr>
              <w:spacing w:after="20"/>
            </w:pPr>
            <w:r>
              <w:rPr>
                <w:color w:val="1C3A36"/>
                <w:sz w:val="14"/>
              </w:rPr>
              <w:t>borr fy25</w:t>
            </w:r>
          </w:p>
        </w:tc>
        <w:tc>
          <w:tcPr>
            <w:tcW w:type="dxa" w:w="1440"/>
          </w:tcPr>
          <w:p>
            <w:pPr>
              <w:spacing w:after="20"/>
            </w:pPr>
            <w:r>
              <w:rPr>
                <w:color w:val="1C3A36"/>
                <w:sz w:val="14"/>
              </w:rPr>
              <w:t>5,545.975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term loan non-current 5,499.591 plus short term borrowings 46.384</w:t>
            </w:r>
          </w:p>
        </w:tc>
      </w:tr>
      <w:tr>
        <w:trPr>
          <w:cantSplit/>
        </w:trPr>
        <w:tc>
          <w:tcPr>
            <w:tcW w:type="dxa" w:w="1656"/>
          </w:tcPr>
          <w:p>
            <w:pPr>
              <w:spacing w:after="20"/>
            </w:pPr>
            <w:r>
              <w:rPr>
                <w:color w:val="1C3A36"/>
                <w:sz w:val="14"/>
              </w:rPr>
              <w:t>capex adv fy23</w:t>
            </w:r>
          </w:p>
        </w:tc>
        <w:tc>
          <w:tcPr>
            <w:tcW w:type="dxa" w:w="1440"/>
          </w:tcPr>
          <w:p>
            <w:pPr>
              <w:spacing w:after="20"/>
            </w:pPr>
            <w:r>
              <w:rPr>
                <w:color w:val="1C3A36"/>
                <w:sz w:val="14"/>
              </w:rPr>
              <w:t>31.951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 FY2023 comparative</w:t>
            </w:r>
          </w:p>
        </w:tc>
      </w:tr>
      <w:tr>
        <w:trPr>
          <w:cantSplit/>
        </w:trPr>
        <w:tc>
          <w:tcPr>
            <w:tcW w:type="dxa" w:w="1656"/>
          </w:tcPr>
          <w:p>
            <w:pPr>
              <w:spacing w:after="20"/>
            </w:pPr>
            <w:r>
              <w:rPr>
                <w:color w:val="1C3A36"/>
                <w:sz w:val="14"/>
              </w:rPr>
              <w:t>capex adv fy24</w:t>
            </w:r>
          </w:p>
        </w:tc>
        <w:tc>
          <w:tcPr>
            <w:tcW w:type="dxa" w:w="1440"/>
          </w:tcPr>
          <w:p>
            <w:pPr>
              <w:spacing w:after="20"/>
            </w:pPr>
            <w:r>
              <w:rPr>
                <w:color w:val="1C3A36"/>
                <w:sz w:val="14"/>
              </w:rPr>
              <w:t>62.403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adv fy25</w:t>
            </w:r>
          </w:p>
        </w:tc>
        <w:tc>
          <w:tcPr>
            <w:tcW w:type="dxa" w:w="1440"/>
          </w:tcPr>
          <w:p>
            <w:pPr>
              <w:spacing w:after="20"/>
            </w:pPr>
            <w:r>
              <w:rPr>
                <w:color w:val="1C3A36"/>
                <w:sz w:val="14"/>
              </w:rPr>
              <w:t>26.647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fwd</w:t>
            </w:r>
          </w:p>
        </w:tc>
        <w:tc>
          <w:tcPr>
            <w:tcW w:type="dxa" w:w="1440"/>
          </w:tcPr>
          <w:p>
            <w:pPr>
              <w:spacing w:after="20"/>
            </w:pPr>
            <w:r>
              <w:rPr>
                <w:color w:val="1C3A36"/>
                <w:sz w:val="14"/>
              </w:rPr>
              <w:t>1,010, 1,060, 1,100, 1,140, 1,180</w:t>
            </w:r>
          </w:p>
        </w:tc>
        <w:tc>
          <w:tcPr>
            <w:tcW w:type="dxa" w:w="936"/>
          </w:tcPr>
          <w:p>
            <w:pPr>
              <w:spacing w:after="20"/>
            </w:pPr>
            <w:r>
              <w:rPr>
                <w:color w:val="1C3A36"/>
                <w:sz w:val="14"/>
              </w:rPr>
              <w:t>5 Aug 2026</w:t>
            </w:r>
          </w:p>
        </w:tc>
        <w:tc>
          <w:tcPr>
            <w:tcW w:type="dxa" w:w="6048"/>
          </w:tcPr>
          <w:p>
            <w:pPr>
              <w:spacing w:after="20"/>
            </w:pPr>
            <w:r>
              <w:rPr>
                <w:color w:val="1C3A36"/>
                <w:sz w:val="14"/>
              </w:rPr>
              <w:t>Capital expenditure. FY2026 takes the midpoint of the company's own reaffirmed guidance of US$250-300 million, which is AED 0.9-1.1 billion; FY2025 spent AED 1,051 million on an accrual basis. Later years grow with the network target of 1,150 stations by 2028 from about 1,000 at the end of 2025. Saudi expansion is capital-light because those stations are dealer-owned and company-operated</w:t>
            </w:r>
          </w:p>
        </w:tc>
      </w:tr>
      <w:tr>
        <w:trPr>
          <w:cantSplit/>
        </w:trPr>
        <w:tc>
          <w:tcPr>
            <w:tcW w:type="dxa" w:w="1656"/>
          </w:tcPr>
          <w:p>
            <w:pPr>
              <w:spacing w:after="20"/>
            </w:pPr>
            <w:r>
              <w:rPr>
                <w:color w:val="1C3A36"/>
                <w:sz w:val="14"/>
              </w:rPr>
              <w:t>capex ppe fy23</w:t>
            </w:r>
          </w:p>
        </w:tc>
        <w:tc>
          <w:tcPr>
            <w:tcW w:type="dxa" w:w="1440"/>
          </w:tcPr>
          <w:p>
            <w:pPr>
              <w:spacing w:after="20"/>
            </w:pPr>
            <w:r>
              <w:rPr>
                <w:color w:val="1C3A36"/>
                <w:sz w:val="14"/>
              </w:rPr>
              <w:t>1,000.290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 FY2023 comparative</w:t>
            </w:r>
          </w:p>
        </w:tc>
      </w:tr>
      <w:tr>
        <w:trPr>
          <w:cantSplit/>
        </w:trPr>
        <w:tc>
          <w:tcPr>
            <w:tcW w:type="dxa" w:w="1656"/>
          </w:tcPr>
          <w:p>
            <w:pPr>
              <w:spacing w:after="20"/>
            </w:pPr>
            <w:r>
              <w:rPr>
                <w:color w:val="1C3A36"/>
                <w:sz w:val="14"/>
              </w:rPr>
              <w:t>capex ppe fy24</w:t>
            </w:r>
          </w:p>
        </w:tc>
        <w:tc>
          <w:tcPr>
            <w:tcW w:type="dxa" w:w="1440"/>
          </w:tcPr>
          <w:p>
            <w:pPr>
              <w:spacing w:after="20"/>
            </w:pPr>
            <w:r>
              <w:rPr>
                <w:color w:val="1C3A36"/>
                <w:sz w:val="14"/>
              </w:rPr>
              <w:t>1,116.830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capex ppe fy25</w:t>
            </w:r>
          </w:p>
        </w:tc>
        <w:tc>
          <w:tcPr>
            <w:tcW w:type="dxa" w:w="1440"/>
          </w:tcPr>
          <w:p>
            <w:pPr>
              <w:spacing w:after="20"/>
            </w:pPr>
            <w:r>
              <w:rPr>
                <w:color w:val="1C3A36"/>
                <w:sz w:val="14"/>
              </w:rPr>
              <w:t>1,180.747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cash fy23</w:t>
            </w:r>
          </w:p>
        </w:tc>
        <w:tc>
          <w:tcPr>
            <w:tcW w:type="dxa" w:w="1440"/>
          </w:tcPr>
          <w:p>
            <w:pPr>
              <w:spacing w:after="20"/>
            </w:pPr>
            <w:r>
              <w:rPr>
                <w:color w:val="1C3A36"/>
                <w:sz w:val="14"/>
              </w:rPr>
              <w:t>2,993.937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fy24</w:t>
            </w:r>
          </w:p>
        </w:tc>
        <w:tc>
          <w:tcPr>
            <w:tcW w:type="dxa" w:w="1440"/>
          </w:tcPr>
          <w:p>
            <w:pPr>
              <w:spacing w:after="20"/>
            </w:pPr>
            <w:r>
              <w:rPr>
                <w:color w:val="1C3A36"/>
                <w:sz w:val="14"/>
              </w:rPr>
              <w:t>2,734.038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fy25</w:t>
            </w:r>
          </w:p>
        </w:tc>
        <w:tc>
          <w:tcPr>
            <w:tcW w:type="dxa" w:w="1440"/>
          </w:tcPr>
          <w:p>
            <w:pPr>
              <w:spacing w:after="20"/>
            </w:pPr>
            <w:r>
              <w:rPr>
                <w:color w:val="1C3A36"/>
                <w:sz w:val="14"/>
              </w:rPr>
              <w:t>2,360.854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credit margin</w:t>
            </w:r>
          </w:p>
        </w:tc>
        <w:tc>
          <w:tcPr>
            <w:tcW w:type="dxa" w:w="1440"/>
          </w:tcPr>
          <w:p>
            <w:pPr>
              <w:spacing w:after="20"/>
            </w:pPr>
            <w:r>
              <w:rPr>
                <w:color w:val="1C3A36"/>
                <w:sz w:val="14"/>
              </w:rPr>
              <w:t>0.600%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the term loan refinanced in October 2022 carries EIBOR plus a margin of 0.60% on the dirham portion and the Secured Overnight Financing Rate plus 0.85% on the US dollar portion</w:t>
            </w:r>
          </w:p>
        </w:tc>
      </w:tr>
      <w:tr>
        <w:trPr>
          <w:cantSplit/>
        </w:trPr>
        <w:tc>
          <w:tcPr>
            <w:tcW w:type="dxa" w:w="1656"/>
          </w:tcPr>
          <w:p>
            <w:pPr>
              <w:spacing w:after="20"/>
            </w:pPr>
            <w:r>
              <w:rPr>
                <w:color w:val="1C3A36"/>
                <w:sz w:val="14"/>
              </w:rPr>
              <w:t>credit margin usd</w:t>
            </w:r>
          </w:p>
        </w:tc>
        <w:tc>
          <w:tcPr>
            <w:tcW w:type="dxa" w:w="1440"/>
          </w:tcPr>
          <w:p>
            <w:pPr>
              <w:spacing w:after="20"/>
            </w:pPr>
            <w:r>
              <w:rPr>
                <w:color w:val="1C3A36"/>
                <w:sz w:val="14"/>
              </w:rPr>
              <w:t>0.850%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US dollar facility margin</w:t>
            </w:r>
          </w:p>
        </w:tc>
      </w:tr>
      <w:tr>
        <w:trPr>
          <w:cantSplit/>
        </w:trPr>
        <w:tc>
          <w:tcPr>
            <w:tcW w:type="dxa" w:w="1656"/>
          </w:tcPr>
          <w:p>
            <w:pPr>
              <w:spacing w:after="20"/>
            </w:pPr>
            <w:r>
              <w:rPr>
                <w:color w:val="1C3A36"/>
                <w:sz w:val="14"/>
              </w:rPr>
              <w:t>cstores h126</w:t>
            </w:r>
          </w:p>
        </w:tc>
        <w:tc>
          <w:tcPr>
            <w:tcW w:type="dxa" w:w="1440"/>
          </w:tcPr>
          <w:p>
            <w:pPr>
              <w:spacing w:after="20"/>
            </w:pPr>
            <w:r>
              <w:rPr>
                <w:color w:val="1C3A36"/>
                <w:sz w:val="14"/>
              </w:rPr>
              <w:t>541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convenience stores network: 387 UAE, 15 Saudi Arabia, 139 Egypt</w:t>
            </w:r>
          </w:p>
        </w:tc>
      </w:tr>
      <w:tr>
        <w:trPr>
          <w:cantSplit/>
        </w:trPr>
        <w:tc>
          <w:tcPr>
            <w:tcW w:type="dxa" w:w="1656"/>
          </w:tcPr>
          <w:p>
            <w:pPr>
              <w:spacing w:after="20"/>
            </w:pPr>
            <w:r>
              <w:rPr>
                <w:color w:val="1C3A36"/>
                <w:sz w:val="14"/>
              </w:rPr>
              <w:t>da exp fy23</w:t>
            </w:r>
          </w:p>
        </w:tc>
        <w:tc>
          <w:tcPr>
            <w:tcW w:type="dxa" w:w="1440"/>
          </w:tcPr>
          <w:p>
            <w:pPr>
              <w:spacing w:after="20"/>
            </w:pPr>
            <w:r>
              <w:rPr>
                <w:color w:val="1C3A36"/>
                <w:sz w:val="14"/>
              </w:rPr>
              <w:t>2,916.538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fy24</w:t>
            </w:r>
          </w:p>
        </w:tc>
        <w:tc>
          <w:tcPr>
            <w:tcW w:type="dxa" w:w="1440"/>
          </w:tcPr>
          <w:p>
            <w:pPr>
              <w:spacing w:after="20"/>
            </w:pPr>
            <w:r>
              <w:rPr>
                <w:color w:val="1C3A36"/>
                <w:sz w:val="14"/>
              </w:rPr>
              <w:t>3,194.942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fy25</w:t>
            </w:r>
          </w:p>
        </w:tc>
        <w:tc>
          <w:tcPr>
            <w:tcW w:type="dxa" w:w="1440"/>
          </w:tcPr>
          <w:p>
            <w:pPr>
              <w:spacing w:after="20"/>
            </w:pPr>
            <w:r>
              <w:rPr>
                <w:color w:val="1C3A36"/>
                <w:sz w:val="14"/>
              </w:rPr>
              <w:t>3,323.546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daexp h126</w:t>
            </w:r>
          </w:p>
        </w:tc>
        <w:tc>
          <w:tcPr>
            <w:tcW w:type="dxa" w:w="1440"/>
          </w:tcPr>
          <w:p>
            <w:pPr>
              <w:spacing w:after="20"/>
            </w:pPr>
            <w:r>
              <w:rPr>
                <w:color w:val="1C3A36"/>
                <w:sz w:val="14"/>
              </w:rPr>
              <w:t>1,646.280</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six months</w:t>
            </w:r>
          </w:p>
        </w:tc>
      </w:tr>
      <w:tr>
        <w:trPr>
          <w:cantSplit/>
        </w:trPr>
        <w:tc>
          <w:tcPr>
            <w:tcW w:type="dxa" w:w="1656"/>
          </w:tcPr>
          <w:p>
            <w:pPr>
              <w:spacing w:after="20"/>
            </w:pPr>
            <w:r>
              <w:rPr>
                <w:color w:val="1C3A36"/>
                <w:sz w:val="14"/>
              </w:rPr>
              <w:t>dc fy23</w:t>
            </w:r>
          </w:p>
        </w:tc>
        <w:tc>
          <w:tcPr>
            <w:tcW w:type="dxa" w:w="1440"/>
          </w:tcPr>
          <w:p>
            <w:pPr>
              <w:spacing w:after="20"/>
            </w:pPr>
            <w:r>
              <w:rPr>
                <w:color w:val="1C3A36"/>
                <w:sz w:val="14"/>
              </w:rPr>
              <w:t>28,792.893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fy24</w:t>
            </w:r>
          </w:p>
        </w:tc>
        <w:tc>
          <w:tcPr>
            <w:tcW w:type="dxa" w:w="1440"/>
          </w:tcPr>
          <w:p>
            <w:pPr>
              <w:spacing w:after="20"/>
            </w:pPr>
            <w:r>
              <w:rPr>
                <w:color w:val="1C3A36"/>
                <w:sz w:val="14"/>
              </w:rPr>
              <w:t>29,237.684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fy25</w:t>
            </w:r>
          </w:p>
        </w:tc>
        <w:tc>
          <w:tcPr>
            <w:tcW w:type="dxa" w:w="1440"/>
          </w:tcPr>
          <w:p>
            <w:pPr>
              <w:spacing w:after="20"/>
            </w:pPr>
            <w:r>
              <w:rPr>
                <w:color w:val="1C3A36"/>
                <w:sz w:val="14"/>
              </w:rPr>
              <w:t>28,950.827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direct costs</w:t>
            </w:r>
          </w:p>
        </w:tc>
      </w:tr>
      <w:tr>
        <w:trPr>
          <w:cantSplit/>
        </w:trPr>
        <w:tc>
          <w:tcPr>
            <w:tcW w:type="dxa" w:w="1656"/>
          </w:tcPr>
          <w:p>
            <w:pPr>
              <w:spacing w:after="20"/>
            </w:pPr>
            <w:r>
              <w:rPr>
                <w:color w:val="1C3A36"/>
                <w:sz w:val="14"/>
              </w:rPr>
              <w:t>dep ppe fy23</w:t>
            </w:r>
          </w:p>
        </w:tc>
        <w:tc>
          <w:tcPr>
            <w:tcW w:type="dxa" w:w="1440"/>
          </w:tcPr>
          <w:p>
            <w:pPr>
              <w:spacing w:after="20"/>
            </w:pPr>
            <w:r>
              <w:rPr>
                <w:color w:val="1C3A36"/>
                <w:sz w:val="14"/>
              </w:rPr>
              <w:t>507.107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ppe fy24</w:t>
            </w:r>
          </w:p>
        </w:tc>
        <w:tc>
          <w:tcPr>
            <w:tcW w:type="dxa" w:w="1440"/>
          </w:tcPr>
          <w:p>
            <w:pPr>
              <w:spacing w:after="20"/>
            </w:pPr>
            <w:r>
              <w:rPr>
                <w:color w:val="1C3A36"/>
                <w:sz w:val="14"/>
              </w:rPr>
              <w:t>602.186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ppe fy25</w:t>
            </w:r>
          </w:p>
        </w:tc>
        <w:tc>
          <w:tcPr>
            <w:tcW w:type="dxa" w:w="1440"/>
          </w:tcPr>
          <w:p>
            <w:pPr>
              <w:spacing w:after="20"/>
            </w:pPr>
            <w:r>
              <w:rPr>
                <w:color w:val="1C3A36"/>
                <w:sz w:val="14"/>
              </w:rPr>
              <w:t>594.222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fy23</w:t>
            </w:r>
          </w:p>
        </w:tc>
        <w:tc>
          <w:tcPr>
            <w:tcW w:type="dxa" w:w="1440"/>
          </w:tcPr>
          <w:p>
            <w:pPr>
              <w:spacing w:after="20"/>
            </w:pPr>
            <w:r>
              <w:rPr>
                <w:color w:val="1C3A36"/>
                <w:sz w:val="14"/>
              </w:rPr>
              <w:t>146.412</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rou fy24</w:t>
            </w:r>
          </w:p>
        </w:tc>
        <w:tc>
          <w:tcPr>
            <w:tcW w:type="dxa" w:w="1440"/>
          </w:tcPr>
          <w:p>
            <w:pPr>
              <w:spacing w:after="20"/>
            </w:pPr>
            <w:r>
              <w:rPr>
                <w:color w:val="1C3A36"/>
                <w:sz w:val="14"/>
              </w:rPr>
              <w:t>151.669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fy25</w:t>
            </w:r>
          </w:p>
        </w:tc>
        <w:tc>
          <w:tcPr>
            <w:tcW w:type="dxa" w:w="1440"/>
          </w:tcPr>
          <w:p>
            <w:pPr>
              <w:spacing w:after="20"/>
            </w:pPr>
            <w:r>
              <w:rPr>
                <w:color w:val="1C3A36"/>
                <w:sz w:val="14"/>
              </w:rPr>
              <w:t>151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dfrp fy23</w:t>
            </w:r>
          </w:p>
        </w:tc>
        <w:tc>
          <w:tcPr>
            <w:tcW w:type="dxa" w:w="1440"/>
          </w:tcPr>
          <w:p>
            <w:pPr>
              <w:spacing w:after="20"/>
            </w:pPr>
            <w:r>
              <w:rPr>
                <w:color w:val="1C3A36"/>
                <w:sz w:val="14"/>
              </w:rPr>
              <w:t>805.558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fy24</w:t>
            </w:r>
          </w:p>
        </w:tc>
        <w:tc>
          <w:tcPr>
            <w:tcW w:type="dxa" w:w="1440"/>
          </w:tcPr>
          <w:p>
            <w:pPr>
              <w:spacing w:after="20"/>
            </w:pPr>
            <w:r>
              <w:rPr>
                <w:color w:val="1C3A36"/>
                <w:sz w:val="14"/>
              </w:rPr>
              <w:t>750.723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fy25</w:t>
            </w:r>
          </w:p>
        </w:tc>
        <w:tc>
          <w:tcPr>
            <w:tcW w:type="dxa" w:w="1440"/>
          </w:tcPr>
          <w:p>
            <w:pPr>
              <w:spacing w:after="20"/>
            </w:pPr>
            <w:r>
              <w:rPr>
                <w:color w:val="1C3A36"/>
                <w:sz w:val="14"/>
              </w:rPr>
              <w:t>758.468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divpaid fy23</w:t>
            </w:r>
          </w:p>
        </w:tc>
        <w:tc>
          <w:tcPr>
            <w:tcW w:type="dxa" w:w="1440"/>
          </w:tcPr>
          <w:p>
            <w:pPr>
              <w:spacing w:after="20"/>
            </w:pPr>
            <w:r>
              <w:rPr>
                <w:color w:val="1C3A36"/>
                <w:sz w:val="14"/>
              </w:rPr>
              <w:t>2,622.890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 FY2023 comparative</w:t>
            </w:r>
          </w:p>
        </w:tc>
      </w:tr>
      <w:tr>
        <w:trPr>
          <w:cantSplit/>
        </w:trPr>
        <w:tc>
          <w:tcPr>
            <w:tcW w:type="dxa" w:w="1656"/>
          </w:tcPr>
          <w:p>
            <w:pPr>
              <w:spacing w:after="20"/>
            </w:pPr>
            <w:r>
              <w:rPr>
                <w:color w:val="1C3A36"/>
                <w:sz w:val="14"/>
              </w:rPr>
              <w:t>divpaid fy24</w:t>
            </w:r>
          </w:p>
        </w:tc>
        <w:tc>
          <w:tcPr>
            <w:tcW w:type="dxa" w:w="1440"/>
          </w:tcPr>
          <w:p>
            <w:pPr>
              <w:spacing w:after="20"/>
            </w:pPr>
            <w:r>
              <w:rPr>
                <w:color w:val="1C3A36"/>
                <w:sz w:val="14"/>
              </w:rPr>
              <w:t>2,613.700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divpaid fy25</w:t>
            </w:r>
          </w:p>
        </w:tc>
        <w:tc>
          <w:tcPr>
            <w:tcW w:type="dxa" w:w="1440"/>
          </w:tcPr>
          <w:p>
            <w:pPr>
              <w:spacing w:after="20"/>
            </w:pPr>
            <w:r>
              <w:rPr>
                <w:color w:val="1C3A36"/>
                <w:sz w:val="14"/>
              </w:rPr>
              <w:t>2,599.146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dna fwd</w:t>
            </w:r>
          </w:p>
        </w:tc>
        <w:tc>
          <w:tcPr>
            <w:tcW w:type="dxa" w:w="1440"/>
          </w:tcPr>
          <w:p>
            <w:pPr>
              <w:spacing w:after="20"/>
            </w:pPr>
            <w:r>
              <w:rPr>
                <w:color w:val="1C3A36"/>
                <w:sz w:val="14"/>
              </w:rPr>
              <w:t>800, 830, 862, 894, 926</w:t>
            </w:r>
          </w:p>
        </w:tc>
        <w:tc>
          <w:tcPr>
            <w:tcW w:type="dxa" w:w="936"/>
          </w:tcPr>
          <w:p>
            <w:pPr>
              <w:spacing w:after="20"/>
            </w:pPr>
            <w:r>
              <w:rPr>
                <w:color w:val="1C3A36"/>
                <w:sz w:val="14"/>
              </w:rPr>
              <w:t>5 Aug 2026</w:t>
            </w:r>
          </w:p>
        </w:tc>
        <w:tc>
          <w:tcPr>
            <w:tcW w:type="dxa" w:w="6048"/>
          </w:tcPr>
          <w:p>
            <w:pPr>
              <w:spacing w:after="20"/>
            </w:pPr>
            <w:r>
              <w:rPr>
                <w:color w:val="1C3A36"/>
                <w:sz w:val="14"/>
              </w:rPr>
              <w:t>Depreciation and amortisation, grown on the asset base as capital spending exceeds the current charge; the first half of 2026 charge of AED 369.7 million annualises to AED 739 million before the year's additions</w:t>
            </w:r>
          </w:p>
        </w:tc>
      </w:tr>
      <w:tr>
        <w:trPr>
          <w:cantSplit/>
        </w:trPr>
        <w:tc>
          <w:tcPr>
            <w:tcW w:type="dxa" w:w="1656"/>
          </w:tcPr>
          <w:p>
            <w:pPr>
              <w:spacing w:after="20"/>
            </w:pPr>
            <w:r>
              <w:rPr>
                <w:color w:val="1C3A36"/>
                <w:sz w:val="14"/>
              </w:rPr>
              <w:t>dna h126</w:t>
            </w:r>
          </w:p>
        </w:tc>
        <w:tc>
          <w:tcPr>
            <w:tcW w:type="dxa" w:w="1440"/>
          </w:tcPr>
          <w:p>
            <w:pPr>
              <w:spacing w:after="20"/>
            </w:pPr>
            <w:r>
              <w:rPr>
                <w:color w:val="1C3A36"/>
                <w:sz w:val="14"/>
              </w:rPr>
              <w:t>369.702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note: depreciation and amortisation, six months</w:t>
            </w:r>
          </w:p>
        </w:tc>
      </w:tr>
      <w:tr>
        <w:trPr>
          <w:cantSplit/>
        </w:trPr>
        <w:tc>
          <w:tcPr>
            <w:tcW w:type="dxa" w:w="1656"/>
          </w:tcPr>
          <w:p>
            <w:pPr>
              <w:spacing w:after="20"/>
            </w:pPr>
            <w:r>
              <w:rPr>
                <w:color w:val="1C3A36"/>
                <w:sz w:val="14"/>
              </w:rPr>
              <w:t>dps</w:t>
            </w:r>
          </w:p>
        </w:tc>
        <w:tc>
          <w:tcPr>
            <w:tcW w:type="dxa" w:w="1440"/>
          </w:tcPr>
          <w:p>
            <w:pPr>
              <w:spacing w:after="20"/>
            </w:pPr>
            <w:r>
              <w:rPr>
                <w:color w:val="1C3A36"/>
                <w:sz w:val="14"/>
              </w:rPr>
              <w:t>0.2057</w:t>
            </w:r>
          </w:p>
        </w:tc>
        <w:tc>
          <w:tcPr>
            <w:tcW w:type="dxa" w:w="936"/>
          </w:tcPr>
          <w:p>
            <w:pPr>
              <w:spacing w:after="20"/>
            </w:pPr>
            <w:r>
              <w:rPr>
                <w:color w:val="1C3A36"/>
                <w:sz w:val="14"/>
              </w:rPr>
              <w:t>31 Dec 2025</w:t>
            </w:r>
          </w:p>
        </w:tc>
        <w:tc>
          <w:tcPr>
            <w:tcW w:type="dxa" w:w="6048"/>
          </w:tcPr>
          <w:p>
            <w:pPr>
              <w:spacing w:after="20"/>
            </w:pPr>
            <w:r>
              <w:rPr>
                <w:color w:val="1C3A36"/>
                <w:sz w:val="14"/>
              </w:rPr>
              <w:t>Dividend per share. FY2025 dividends paid of AED 2,599.146 million over 12,500 million shares is AED 0.2079; the company's stated policy sets a fixed annual dividend of 20.57 fils per share</w:t>
            </w:r>
          </w:p>
        </w:tc>
      </w:tr>
      <w:tr>
        <w:trPr>
          <w:cantSplit/>
        </w:trPr>
        <w:tc>
          <w:tcPr>
            <w:tcW w:type="dxa" w:w="1656"/>
          </w:tcPr>
          <w:p>
            <w:pPr>
              <w:spacing w:after="20"/>
            </w:pPr>
            <w:r>
              <w:rPr>
                <w:color w:val="1C3A36"/>
                <w:sz w:val="14"/>
              </w:rPr>
              <w:t>dtrp fy23</w:t>
            </w:r>
          </w:p>
        </w:tc>
        <w:tc>
          <w:tcPr>
            <w:tcW w:type="dxa" w:w="1440"/>
          </w:tcPr>
          <w:p>
            <w:pPr>
              <w:spacing w:after="20"/>
            </w:pPr>
            <w:r>
              <w:rPr>
                <w:color w:val="1C3A36"/>
                <w:sz w:val="14"/>
              </w:rPr>
              <w:t>4,827.631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fy24</w:t>
            </w:r>
          </w:p>
        </w:tc>
        <w:tc>
          <w:tcPr>
            <w:tcW w:type="dxa" w:w="1440"/>
          </w:tcPr>
          <w:p>
            <w:pPr>
              <w:spacing w:after="20"/>
            </w:pPr>
            <w:r>
              <w:rPr>
                <w:color w:val="1C3A36"/>
                <w:sz w:val="14"/>
              </w:rPr>
              <w:t>4,439.345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fy25</w:t>
            </w:r>
          </w:p>
        </w:tc>
        <w:tc>
          <w:tcPr>
            <w:tcW w:type="dxa" w:w="1440"/>
          </w:tcPr>
          <w:p>
            <w:pPr>
              <w:spacing w:after="20"/>
            </w:pPr>
            <w:r>
              <w:rPr>
                <w:color w:val="1C3A36"/>
                <w:sz w:val="14"/>
              </w:rPr>
              <w:t>3,646.512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ebitda und fy24</w:t>
            </w:r>
          </w:p>
        </w:tc>
        <w:tc>
          <w:tcPr>
            <w:tcW w:type="dxa" w:w="1440"/>
          </w:tcPr>
          <w:p>
            <w:pPr>
              <w:spacing w:after="20"/>
            </w:pPr>
            <w:r>
              <w:rPr>
                <w:color w:val="1C3A36"/>
                <w:sz w:val="14"/>
              </w:rPr>
              <w:t>3,633</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underlying EBITDA, defined by the company as EBITDA excluding inventory movements and one-off items</w:t>
            </w:r>
          </w:p>
        </w:tc>
      </w:tr>
      <w:tr>
        <w:trPr>
          <w:cantSplit/>
        </w:trPr>
        <w:tc>
          <w:tcPr>
            <w:tcW w:type="dxa" w:w="1656"/>
          </w:tcPr>
          <w:p>
            <w:pPr>
              <w:spacing w:after="20"/>
            </w:pPr>
            <w:r>
              <w:rPr>
                <w:color w:val="1C3A36"/>
                <w:sz w:val="14"/>
              </w:rPr>
              <w:t>ebitda und fy25</w:t>
            </w:r>
          </w:p>
        </w:tc>
        <w:tc>
          <w:tcPr>
            <w:tcW w:type="dxa" w:w="1440"/>
          </w:tcPr>
          <w:p>
            <w:pPr>
              <w:spacing w:after="20"/>
            </w:pPr>
            <w:r>
              <w:rPr>
                <w:color w:val="1C3A36"/>
                <w:sz w:val="14"/>
              </w:rPr>
              <w:t>4,001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underlying EBITDA</w:t>
            </w:r>
          </w:p>
        </w:tc>
      </w:tr>
      <w:tr>
        <w:trPr>
          <w:cantSplit/>
        </w:trPr>
        <w:tc>
          <w:tcPr>
            <w:tcW w:type="dxa" w:w="1656"/>
          </w:tcPr>
          <w:p>
            <w:pPr>
              <w:spacing w:after="20"/>
            </w:pPr>
            <w:r>
              <w:rPr>
                <w:color w:val="1C3A36"/>
                <w:sz w:val="14"/>
              </w:rPr>
              <w:t>eps fy23</w:t>
            </w:r>
          </w:p>
        </w:tc>
        <w:tc>
          <w:tcPr>
            <w:tcW w:type="dxa" w:w="1440"/>
          </w:tcPr>
          <w:p>
            <w:pPr>
              <w:spacing w:after="20"/>
            </w:pPr>
            <w:r>
              <w:rPr>
                <w:color w:val="1C3A36"/>
                <w:sz w:val="14"/>
              </w:rPr>
              <w:t>0.2080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fy24</w:t>
            </w:r>
          </w:p>
        </w:tc>
        <w:tc>
          <w:tcPr>
            <w:tcW w:type="dxa" w:w="1440"/>
          </w:tcPr>
          <w:p>
            <w:pPr>
              <w:spacing w:after="20"/>
            </w:pPr>
            <w:r>
              <w:rPr>
                <w:color w:val="1C3A36"/>
                <w:sz w:val="14"/>
              </w:rPr>
              <w:t>0.1940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fy25</w:t>
            </w:r>
          </w:p>
        </w:tc>
        <w:tc>
          <w:tcPr>
            <w:tcW w:type="dxa" w:w="1440"/>
          </w:tcPr>
          <w:p>
            <w:pPr>
              <w:spacing w:after="20"/>
            </w:pPr>
            <w:r>
              <w:rPr>
                <w:color w:val="1C3A36"/>
                <w:sz w:val="14"/>
              </w:rPr>
              <w:t>0.2240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eqp fy23</w:t>
            </w:r>
          </w:p>
        </w:tc>
        <w:tc>
          <w:tcPr>
            <w:tcW w:type="dxa" w:w="1440"/>
          </w:tcPr>
          <w:p>
            <w:pPr>
              <w:spacing w:after="20"/>
            </w:pPr>
            <w:r>
              <w:rPr>
                <w:color w:val="1C3A36"/>
                <w:sz w:val="14"/>
              </w:rPr>
              <w:t>3,472.066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fy24</w:t>
            </w:r>
          </w:p>
        </w:tc>
        <w:tc>
          <w:tcPr>
            <w:tcW w:type="dxa" w:w="1440"/>
          </w:tcPr>
          <w:p>
            <w:pPr>
              <w:spacing w:after="20"/>
            </w:pPr>
            <w:r>
              <w:rPr>
                <w:color w:val="1C3A36"/>
                <w:sz w:val="14"/>
              </w:rPr>
              <w:t>2,991.839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fy25</w:t>
            </w:r>
          </w:p>
        </w:tc>
        <w:tc>
          <w:tcPr>
            <w:tcW w:type="dxa" w:w="1440"/>
          </w:tcPr>
          <w:p>
            <w:pPr>
              <w:spacing w:after="20"/>
            </w:pPr>
            <w:r>
              <w:rPr>
                <w:color w:val="1C3A36"/>
                <w:sz w:val="14"/>
              </w:rPr>
              <w:t>3,230.423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evpoints h126</w:t>
            </w:r>
          </w:p>
        </w:tc>
        <w:tc>
          <w:tcPr>
            <w:tcW w:type="dxa" w:w="1440"/>
          </w:tcPr>
          <w:p>
            <w:pPr>
              <w:spacing w:after="20"/>
            </w:pPr>
            <w:r>
              <w:rPr>
                <w:color w:val="1C3A36"/>
                <w:sz w:val="14"/>
              </w:rPr>
              <w:t>406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electric-vehicle fast and super-fast charging points in the UAE</w:t>
            </w:r>
          </w:p>
        </w:tc>
      </w:tr>
      <w:tr>
        <w:trPr>
          <w:cantSplit/>
        </w:trPr>
        <w:tc>
          <w:tcPr>
            <w:tcW w:type="dxa" w:w="1656"/>
          </w:tcPr>
          <w:p>
            <w:pPr>
              <w:spacing w:after="20"/>
            </w:pPr>
            <w:r>
              <w:rPr>
                <w:color w:val="1C3A36"/>
                <w:sz w:val="14"/>
              </w:rPr>
              <w:t>fin fy23</w:t>
            </w:r>
          </w:p>
        </w:tc>
        <w:tc>
          <w:tcPr>
            <w:tcW w:type="dxa" w:w="1440"/>
          </w:tcPr>
          <w:p>
            <w:pPr>
              <w:spacing w:after="20"/>
            </w:pPr>
            <w:r>
              <w:rPr>
                <w:color w:val="1C3A36"/>
                <w:sz w:val="14"/>
              </w:rPr>
              <w:t>432.757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fy24</w:t>
            </w:r>
          </w:p>
        </w:tc>
        <w:tc>
          <w:tcPr>
            <w:tcW w:type="dxa" w:w="1440"/>
          </w:tcPr>
          <w:p>
            <w:pPr>
              <w:spacing w:after="20"/>
            </w:pPr>
            <w:r>
              <w:rPr>
                <w:color w:val="1C3A36"/>
                <w:sz w:val="14"/>
              </w:rPr>
              <w:t>457.111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fy25</w:t>
            </w:r>
          </w:p>
        </w:tc>
        <w:tc>
          <w:tcPr>
            <w:tcW w:type="dxa" w:w="1440"/>
          </w:tcPr>
          <w:p>
            <w:pPr>
              <w:spacing w:after="20"/>
            </w:pPr>
            <w:r>
              <w:rPr>
                <w:color w:val="1C3A36"/>
                <w:sz w:val="14"/>
              </w:rPr>
              <w:t>402.945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finance costs</w:t>
            </w:r>
          </w:p>
        </w:tc>
      </w:tr>
      <w:tr>
        <w:trPr>
          <w:cantSplit/>
        </w:trPr>
        <w:tc>
          <w:tcPr>
            <w:tcW w:type="dxa" w:w="1656"/>
          </w:tcPr>
          <w:p>
            <w:pPr>
              <w:spacing w:after="20"/>
            </w:pPr>
            <w:r>
              <w:rPr>
                <w:color w:val="1C3A36"/>
                <w:sz w:val="14"/>
              </w:rPr>
              <w:t>fueltxn h125</w:t>
            </w:r>
          </w:p>
        </w:tc>
        <w:tc>
          <w:tcPr>
            <w:tcW w:type="dxa" w:w="1440"/>
          </w:tcPr>
          <w:p>
            <w:pPr>
              <w:spacing w:after="20"/>
            </w:pPr>
            <w:r>
              <w:rPr>
                <w:color w:val="1C3A36"/>
                <w:sz w:val="14"/>
              </w:rPr>
              <w:t>96.200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transactions, UAE, prior-period comparative</w:t>
            </w:r>
          </w:p>
        </w:tc>
      </w:tr>
      <w:tr>
        <w:trPr>
          <w:cantSplit/>
        </w:trPr>
        <w:tc>
          <w:tcPr>
            <w:tcW w:type="dxa" w:w="1656"/>
          </w:tcPr>
          <w:p>
            <w:pPr>
              <w:spacing w:after="20"/>
            </w:pPr>
            <w:r>
              <w:rPr>
                <w:color w:val="1C3A36"/>
                <w:sz w:val="14"/>
              </w:rPr>
              <w:t>fueltxn h126</w:t>
            </w:r>
          </w:p>
        </w:tc>
        <w:tc>
          <w:tcPr>
            <w:tcW w:type="dxa" w:w="1440"/>
          </w:tcPr>
          <w:p>
            <w:pPr>
              <w:spacing w:after="20"/>
            </w:pPr>
            <w:r>
              <w:rPr>
                <w:color w:val="1C3A36"/>
                <w:sz w:val="14"/>
              </w:rPr>
              <w:t>100.900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transactions, UAE, millions, six months</w:t>
            </w:r>
          </w:p>
        </w:tc>
      </w:tr>
      <w:tr>
        <w:trPr>
          <w:cantSplit/>
        </w:trPr>
        <w:tc>
          <w:tcPr>
            <w:tcW w:type="dxa" w:w="1656"/>
          </w:tcPr>
          <w:p>
            <w:pPr>
              <w:spacing w:after="20"/>
            </w:pPr>
            <w:r>
              <w:rPr>
                <w:color w:val="1C3A36"/>
                <w:sz w:val="14"/>
              </w:rPr>
              <w:t>gm nonfuel</w:t>
            </w:r>
          </w:p>
        </w:tc>
        <w:tc>
          <w:tcPr>
            <w:tcW w:type="dxa" w:w="1440"/>
          </w:tcPr>
          <w:p>
            <w:pPr>
              <w:spacing w:after="20"/>
            </w:pPr>
            <w:r>
              <w:rPr>
                <w:color w:val="1C3A36"/>
                <w:sz w:val="14"/>
              </w:rPr>
              <w:t>56.00%, 56.00%, 56.00%, 56.00%, 56.00%</w:t>
            </w:r>
          </w:p>
        </w:tc>
        <w:tc>
          <w:tcPr>
            <w:tcW w:type="dxa" w:w="936"/>
          </w:tcPr>
          <w:p>
            <w:pPr>
              <w:spacing w:after="20"/>
            </w:pPr>
            <w:r>
              <w:rPr>
                <w:color w:val="1C3A36"/>
                <w:sz w:val="14"/>
              </w:rPr>
              <w:t>30 Jun 2026</w:t>
            </w:r>
          </w:p>
        </w:tc>
        <w:tc>
          <w:tcPr>
            <w:tcW w:type="dxa" w:w="6048"/>
          </w:tcPr>
          <w:p>
            <w:pPr>
              <w:spacing w:after="20"/>
            </w:pPr>
            <w:r>
              <w:rPr>
                <w:color w:val="1C3A36"/>
                <w:sz w:val="14"/>
              </w:rPr>
              <w:t>Non-fuel retail gross margin, held at the level realised in the first half of 2026 (AED 522 million of gross profit on AED 927 million of revenue, 56.3%) and the 55.2% of FY2025</w:t>
            </w:r>
          </w:p>
        </w:tc>
      </w:tr>
      <w:tr>
        <w:trPr>
          <w:cantSplit/>
        </w:trPr>
        <w:tc>
          <w:tcPr>
            <w:tcW w:type="dxa" w:w="1656"/>
          </w:tcPr>
          <w:p>
            <w:pPr>
              <w:spacing w:after="20"/>
            </w:pPr>
            <w:r>
              <w:rPr>
                <w:color w:val="1C3A36"/>
                <w:sz w:val="14"/>
              </w:rPr>
              <w:t>gp comm fy25</w:t>
            </w:r>
          </w:p>
        </w:tc>
        <w:tc>
          <w:tcPr>
            <w:tcW w:type="dxa" w:w="1440"/>
          </w:tcPr>
          <w:p>
            <w:pPr>
              <w:spacing w:after="20"/>
            </w:pPr>
            <w:r>
              <w:rPr>
                <w:color w:val="1C3A36"/>
                <w:sz w:val="14"/>
              </w:rPr>
              <w:t>1,729</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gross profit</w:t>
            </w:r>
          </w:p>
        </w:tc>
      </w:tr>
      <w:tr>
        <w:trPr>
          <w:cantSplit/>
        </w:trPr>
        <w:tc>
          <w:tcPr>
            <w:tcW w:type="dxa" w:w="1656"/>
          </w:tcPr>
          <w:p>
            <w:pPr>
              <w:spacing w:after="20"/>
            </w:pPr>
            <w:r>
              <w:rPr>
                <w:color w:val="1C3A36"/>
                <w:sz w:val="14"/>
              </w:rPr>
              <w:t>gp comm h125</w:t>
            </w:r>
          </w:p>
        </w:tc>
        <w:tc>
          <w:tcPr>
            <w:tcW w:type="dxa" w:w="1440"/>
          </w:tcPr>
          <w:p>
            <w:pPr>
              <w:spacing w:after="20"/>
            </w:pPr>
            <w:r>
              <w:rPr>
                <w:color w:val="1C3A36"/>
                <w:sz w:val="14"/>
              </w:rPr>
              <w:t>841</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commercial gross profit of AED 1,268 million was stated to be 50.8% above the prior period, which places the prior period at AED 841 million</w:t>
            </w:r>
          </w:p>
        </w:tc>
      </w:tr>
      <w:tr>
        <w:trPr>
          <w:cantSplit/>
        </w:trPr>
        <w:tc>
          <w:tcPr>
            <w:tcW w:type="dxa" w:w="1656"/>
          </w:tcPr>
          <w:p>
            <w:pPr>
              <w:spacing w:after="20"/>
            </w:pPr>
            <w:r>
              <w:rPr>
                <w:color w:val="1C3A36"/>
                <w:sz w:val="14"/>
              </w:rPr>
              <w:t>gp comm h126</w:t>
            </w:r>
          </w:p>
        </w:tc>
        <w:tc>
          <w:tcPr>
            <w:tcW w:type="dxa" w:w="1440"/>
          </w:tcPr>
          <w:p>
            <w:pPr>
              <w:spacing w:after="20"/>
            </w:pPr>
            <w:r>
              <w:rPr>
                <w:color w:val="1C3A36"/>
                <w:sz w:val="14"/>
              </w:rPr>
              <w:t>1,268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gross profit, six months</w:t>
            </w:r>
          </w:p>
        </w:tc>
      </w:tr>
      <w:tr>
        <w:trPr>
          <w:cantSplit/>
        </w:trPr>
        <w:tc>
          <w:tcPr>
            <w:tcW w:type="dxa" w:w="1656"/>
          </w:tcPr>
          <w:p>
            <w:pPr>
              <w:spacing w:after="20"/>
            </w:pPr>
            <w:r>
              <w:rPr>
                <w:color w:val="1C3A36"/>
                <w:sz w:val="14"/>
              </w:rPr>
              <w:t>gp comm per l g</w:t>
            </w:r>
          </w:p>
        </w:tc>
        <w:tc>
          <w:tcPr>
            <w:tcW w:type="dxa" w:w="1440"/>
          </w:tcPr>
          <w:p>
            <w:pPr>
              <w:spacing w:after="20"/>
            </w:pPr>
            <w:r>
              <w:rPr>
                <w:color w:val="1C3A36"/>
                <w:sz w:val="14"/>
              </w:rPr>
              <w:t>17.00%,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r>
      <w:tr>
        <w:trPr>
          <w:cantSplit/>
        </w:trPr>
        <w:tc>
          <w:tcPr>
            <w:tcW w:type="dxa" w:w="1656"/>
          </w:tcPr>
          <w:p>
            <w:pPr>
              <w:spacing w:after="20"/>
            </w:pPr>
            <w:r>
              <w:rPr>
                <w:color w:val="1C3A36"/>
                <w:sz w:val="14"/>
              </w:rPr>
              <w:t>gp fy23</w:t>
            </w:r>
          </w:p>
        </w:tc>
        <w:tc>
          <w:tcPr>
            <w:tcW w:type="dxa" w:w="1440"/>
          </w:tcPr>
          <w:p>
            <w:pPr>
              <w:spacing w:after="20"/>
            </w:pPr>
            <w:r>
              <w:rPr>
                <w:color w:val="1C3A36"/>
                <w:sz w:val="14"/>
              </w:rPr>
              <w:t>5,836.285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fy24</w:t>
            </w:r>
          </w:p>
        </w:tc>
        <w:tc>
          <w:tcPr>
            <w:tcW w:type="dxa" w:w="1440"/>
          </w:tcPr>
          <w:p>
            <w:pPr>
              <w:spacing w:after="20"/>
            </w:pPr>
            <w:r>
              <w:rPr>
                <w:color w:val="1C3A36"/>
                <w:sz w:val="14"/>
              </w:rPr>
              <w:t>6,216.032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fy25</w:t>
            </w:r>
          </w:p>
        </w:tc>
        <w:tc>
          <w:tcPr>
            <w:tcW w:type="dxa" w:w="1440"/>
          </w:tcPr>
          <w:p>
            <w:pPr>
              <w:spacing w:after="20"/>
            </w:pPr>
            <w:r>
              <w:rPr>
                <w:color w:val="1C3A36"/>
                <w:sz w:val="14"/>
              </w:rPr>
              <w:t>6,945.790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h126</w:t>
            </w:r>
          </w:p>
        </w:tc>
        <w:tc>
          <w:tcPr>
            <w:tcW w:type="dxa" w:w="1440"/>
          </w:tcPr>
          <w:p>
            <w:pPr>
              <w:spacing w:after="20"/>
            </w:pPr>
            <w:r>
              <w:rPr>
                <w:color w:val="1C3A36"/>
                <w:sz w:val="14"/>
              </w:rPr>
              <w:t>4,252.102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gross profit, six months ended 30 June 2026</w:t>
            </w:r>
          </w:p>
        </w:tc>
      </w:tr>
      <w:tr>
        <w:trPr>
          <w:cantSplit/>
        </w:trPr>
        <w:tc>
          <w:tcPr>
            <w:tcW w:type="dxa" w:w="1656"/>
          </w:tcPr>
          <w:p>
            <w:pPr>
              <w:spacing w:after="20"/>
            </w:pPr>
            <w:r>
              <w:rPr>
                <w:color w:val="1C3A36"/>
                <w:sz w:val="14"/>
              </w:rPr>
              <w:t>gp nonfuel fy25</w:t>
            </w:r>
          </w:p>
        </w:tc>
        <w:tc>
          <w:tcPr>
            <w:tcW w:type="dxa" w:w="1440"/>
          </w:tcPr>
          <w:p>
            <w:pPr>
              <w:spacing w:after="20"/>
            </w:pPr>
            <w:r>
              <w:rPr>
                <w:color w:val="1C3A36"/>
                <w:sz w:val="14"/>
              </w:rPr>
              <w:t>984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non-fuel retail gross profit</w:t>
            </w:r>
          </w:p>
        </w:tc>
      </w:tr>
      <w:tr>
        <w:trPr>
          <w:cantSplit/>
        </w:trPr>
        <w:tc>
          <w:tcPr>
            <w:tcW w:type="dxa" w:w="1656"/>
          </w:tcPr>
          <w:p>
            <w:pPr>
              <w:spacing w:after="20"/>
            </w:pPr>
            <w:r>
              <w:rPr>
                <w:color w:val="1C3A36"/>
                <w:sz w:val="14"/>
              </w:rPr>
              <w:t>gp nonfuel h125</w:t>
            </w:r>
          </w:p>
        </w:tc>
        <w:tc>
          <w:tcPr>
            <w:tcW w:type="dxa" w:w="1440"/>
          </w:tcPr>
          <w:p>
            <w:pPr>
              <w:spacing w:after="20"/>
            </w:pPr>
            <w:r>
              <w:rPr>
                <w:color w:val="1C3A36"/>
                <w:sz w:val="14"/>
              </w:rPr>
              <w:t>465</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non-fuel retail gross profit of AED 522 million was stated to be 12.3% above the prior period, which places the prior period at AED 465 million</w:t>
            </w:r>
          </w:p>
        </w:tc>
      </w:tr>
      <w:tr>
        <w:trPr>
          <w:cantSplit/>
        </w:trPr>
        <w:tc>
          <w:tcPr>
            <w:tcW w:type="dxa" w:w="1656"/>
          </w:tcPr>
          <w:p>
            <w:pPr>
              <w:spacing w:after="20"/>
            </w:pPr>
            <w:r>
              <w:rPr>
                <w:color w:val="1C3A36"/>
                <w:sz w:val="14"/>
              </w:rPr>
              <w:t>gp nonfuel h126</w:t>
            </w:r>
          </w:p>
        </w:tc>
        <w:tc>
          <w:tcPr>
            <w:tcW w:type="dxa" w:w="1440"/>
          </w:tcPr>
          <w:p>
            <w:pPr>
              <w:spacing w:after="20"/>
            </w:pPr>
            <w:r>
              <w:rPr>
                <w:color w:val="1C3A36"/>
                <w:sz w:val="14"/>
              </w:rPr>
              <w:t>522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non-fuel retail gross profit, six months</w:t>
            </w:r>
          </w:p>
        </w:tc>
      </w:tr>
      <w:tr>
        <w:trPr>
          <w:cantSplit/>
        </w:trPr>
        <w:tc>
          <w:tcPr>
            <w:tcW w:type="dxa" w:w="1656"/>
          </w:tcPr>
          <w:p>
            <w:pPr>
              <w:spacing w:after="20"/>
            </w:pPr>
            <w:r>
              <w:rPr>
                <w:color w:val="1C3A36"/>
                <w:sz w:val="14"/>
              </w:rPr>
              <w:t>gp retfuel fy25</w:t>
            </w:r>
          </w:p>
        </w:tc>
        <w:tc>
          <w:tcPr>
            <w:tcW w:type="dxa" w:w="1440"/>
          </w:tcPr>
          <w:p>
            <w:pPr>
              <w:spacing w:after="20"/>
            </w:pPr>
            <w:r>
              <w:rPr>
                <w:color w:val="1C3A36"/>
                <w:sz w:val="14"/>
              </w:rPr>
              <w:t>4,233</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gross profit</w:t>
            </w:r>
          </w:p>
        </w:tc>
      </w:tr>
      <w:tr>
        <w:trPr>
          <w:cantSplit/>
        </w:trPr>
        <w:tc>
          <w:tcPr>
            <w:tcW w:type="dxa" w:w="1656"/>
          </w:tcPr>
          <w:p>
            <w:pPr>
              <w:spacing w:after="20"/>
            </w:pPr>
            <w:r>
              <w:rPr>
                <w:color w:val="1C3A36"/>
                <w:sz w:val="14"/>
              </w:rPr>
              <w:t>gp retfuel h125</w:t>
            </w:r>
          </w:p>
        </w:tc>
        <w:tc>
          <w:tcPr>
            <w:tcW w:type="dxa" w:w="1440"/>
          </w:tcPr>
          <w:p>
            <w:pPr>
              <w:spacing w:after="20"/>
            </w:pPr>
            <w:r>
              <w:rPr>
                <w:color w:val="1C3A36"/>
                <w:sz w:val="14"/>
              </w:rPr>
              <w:t>1,993</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fuel retail gross profit of AED 2,462 million in the first half of 2026 was stated to be 23.5% above the prior period, which places the prior period at AED 1,993 million. The company does not print the prior-period segment figure itself</w:t>
            </w:r>
          </w:p>
        </w:tc>
      </w:tr>
      <w:tr>
        <w:trPr>
          <w:cantSplit/>
        </w:trPr>
        <w:tc>
          <w:tcPr>
            <w:tcW w:type="dxa" w:w="1656"/>
          </w:tcPr>
          <w:p>
            <w:pPr>
              <w:spacing w:after="20"/>
            </w:pPr>
            <w:r>
              <w:rPr>
                <w:color w:val="1C3A36"/>
                <w:sz w:val="14"/>
              </w:rPr>
              <w:t>gp retfuel h126</w:t>
            </w:r>
          </w:p>
        </w:tc>
        <w:tc>
          <w:tcPr>
            <w:tcW w:type="dxa" w:w="1440"/>
          </w:tcPr>
          <w:p>
            <w:pPr>
              <w:spacing w:after="20"/>
            </w:pPr>
            <w:r>
              <w:rPr>
                <w:color w:val="1C3A36"/>
                <w:sz w:val="14"/>
              </w:rPr>
              <w:t>2,462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gross profit, six months</w:t>
            </w:r>
          </w:p>
        </w:tc>
      </w:tr>
      <w:tr>
        <w:trPr>
          <w:cantSplit/>
        </w:trPr>
        <w:tc>
          <w:tcPr>
            <w:tcW w:type="dxa" w:w="1656"/>
          </w:tcPr>
          <w:p>
            <w:pPr>
              <w:spacing w:after="20"/>
            </w:pPr>
            <w:r>
              <w:rPr>
                <w:color w:val="1C3A36"/>
                <w:sz w:val="14"/>
              </w:rPr>
              <w:t>gwi fy23</w:t>
            </w:r>
          </w:p>
        </w:tc>
        <w:tc>
          <w:tcPr>
            <w:tcW w:type="dxa" w:w="1440"/>
          </w:tcPr>
          <w:p>
            <w:pPr>
              <w:spacing w:after="20"/>
            </w:pPr>
            <w:r>
              <w:rPr>
                <w:color w:val="1C3A36"/>
                <w:sz w:val="14"/>
              </w:rPr>
              <w:t>1,053.811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fy24</w:t>
            </w:r>
          </w:p>
        </w:tc>
        <w:tc>
          <w:tcPr>
            <w:tcW w:type="dxa" w:w="1440"/>
          </w:tcPr>
          <w:p>
            <w:pPr>
              <w:spacing w:after="20"/>
            </w:pPr>
            <w:r>
              <w:rPr>
                <w:color w:val="1C3A36"/>
                <w:sz w:val="14"/>
              </w:rPr>
              <w:t>599.307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fy25</w:t>
            </w:r>
          </w:p>
        </w:tc>
        <w:tc>
          <w:tcPr>
            <w:tcW w:type="dxa" w:w="1440"/>
          </w:tcPr>
          <w:p>
            <w:pPr>
              <w:spacing w:after="20"/>
            </w:pPr>
            <w:r>
              <w:rPr>
                <w:color w:val="1C3A36"/>
                <w:sz w:val="14"/>
              </w:rPr>
              <w:t>621.853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imp fy23</w:t>
            </w:r>
          </w:p>
        </w:tc>
        <w:tc>
          <w:tcPr>
            <w:tcW w:type="dxa" w:w="1440"/>
          </w:tcPr>
          <w:p>
            <w:pPr>
              <w:spacing w:after="20"/>
            </w:pPr>
            <w:r>
              <w:rPr>
                <w:color w:val="1C3A36"/>
                <w:sz w:val="14"/>
              </w:rPr>
              <w:t>82.143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fy24</w:t>
            </w:r>
          </w:p>
        </w:tc>
        <w:tc>
          <w:tcPr>
            <w:tcW w:type="dxa" w:w="1440"/>
          </w:tcPr>
          <w:p>
            <w:pPr>
              <w:spacing w:after="20"/>
            </w:pPr>
            <w:r>
              <w:rPr>
                <w:color w:val="1C3A36"/>
                <w:sz w:val="14"/>
              </w:rPr>
              <w:t>90.254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fy25</w:t>
            </w:r>
          </w:p>
        </w:tc>
        <w:tc>
          <w:tcPr>
            <w:tcW w:type="dxa" w:w="1440"/>
          </w:tcPr>
          <w:p>
            <w:pPr>
              <w:spacing w:after="20"/>
            </w:pPr>
            <w:r>
              <w:rPr>
                <w:color w:val="1C3A36"/>
                <w:sz w:val="14"/>
              </w:rPr>
              <w:t>284.305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h126</w:t>
            </w:r>
          </w:p>
        </w:tc>
        <w:tc>
          <w:tcPr>
            <w:tcW w:type="dxa" w:w="1440"/>
          </w:tcPr>
          <w:p>
            <w:pPr>
              <w:spacing w:after="20"/>
            </w:pPr>
            <w:r>
              <w:rPr>
                <w:color w:val="1C3A36"/>
                <w:sz w:val="14"/>
              </w:rPr>
              <w:t>179.885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impairment losses and other operating expenses, six months</w:t>
            </w:r>
          </w:p>
        </w:tc>
      </w:tr>
      <w:tr>
        <w:trPr>
          <w:cantSplit/>
        </w:trPr>
        <w:tc>
          <w:tcPr>
            <w:tcW w:type="dxa" w:w="1656"/>
          </w:tcPr>
          <w:p>
            <w:pPr>
              <w:spacing w:after="20"/>
            </w:pPr>
            <w:r>
              <w:rPr>
                <w:color w:val="1C3A36"/>
                <w:sz w:val="14"/>
              </w:rPr>
              <w:t>impair norm</w:t>
            </w:r>
          </w:p>
        </w:tc>
        <w:tc>
          <w:tcPr>
            <w:tcW w:type="dxa" w:w="1440"/>
          </w:tcPr>
          <w:p>
            <w:pPr>
              <w:spacing w:after="20"/>
            </w:pPr>
            <w:r>
              <w:rPr>
                <w:color w:val="1C3A36"/>
                <w:sz w:val="14"/>
              </w:rPr>
              <w:t>360, 220, 225, 230, 235</w:t>
            </w:r>
          </w:p>
        </w:tc>
        <w:tc>
          <w:tcPr>
            <w:tcW w:type="dxa" w:w="936"/>
          </w:tcPr>
          <w:p>
            <w:pPr>
              <w:spacing w:after="20"/>
            </w:pPr>
            <w:r>
              <w:rPr>
                <w:color w:val="1C3A36"/>
                <w:sz w:val="14"/>
              </w:rPr>
              <w:t>5 Aug 2026</w:t>
            </w:r>
          </w:p>
        </w:tc>
        <w:tc>
          <w:tcPr>
            <w:tcW w:type="dxa" w:w="6048"/>
          </w:tcPr>
          <w:p>
            <w:pPr>
              <w:spacing w:after="20"/>
            </w:pPr>
            <w:r>
              <w:rPr>
                <w:color w:val="1C3A36"/>
                <w:sz w:val="14"/>
              </w:rPr>
              <w:t>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r>
      <w:tr>
        <w:trPr>
          <w:cantSplit/>
        </w:trPr>
        <w:tc>
          <w:tcPr>
            <w:tcW w:type="dxa" w:w="1656"/>
          </w:tcPr>
          <w:p>
            <w:pPr>
              <w:spacing w:after="20"/>
            </w:pPr>
            <w:r>
              <w:rPr>
                <w:color w:val="1C3A36"/>
                <w:sz w:val="14"/>
              </w:rPr>
              <w:t>intinc fy23</w:t>
            </w:r>
          </w:p>
        </w:tc>
        <w:tc>
          <w:tcPr>
            <w:tcW w:type="dxa" w:w="1440"/>
          </w:tcPr>
          <w:p>
            <w:pPr>
              <w:spacing w:after="20"/>
            </w:pPr>
            <w:r>
              <w:rPr>
                <w:color w:val="1C3A36"/>
                <w:sz w:val="14"/>
              </w:rPr>
              <w:t>98.834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fy24</w:t>
            </w:r>
          </w:p>
        </w:tc>
        <w:tc>
          <w:tcPr>
            <w:tcW w:type="dxa" w:w="1440"/>
          </w:tcPr>
          <w:p>
            <w:pPr>
              <w:spacing w:after="20"/>
            </w:pPr>
            <w:r>
              <w:rPr>
                <w:color w:val="1C3A36"/>
                <w:sz w:val="14"/>
              </w:rPr>
              <w:t>143.893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fy25</w:t>
            </w:r>
          </w:p>
        </w:tc>
        <w:tc>
          <w:tcPr>
            <w:tcW w:type="dxa" w:w="1440"/>
          </w:tcPr>
          <w:p>
            <w:pPr>
              <w:spacing w:after="20"/>
            </w:pPr>
            <w:r>
              <w:rPr>
                <w:color w:val="1C3A36"/>
                <w:sz w:val="14"/>
              </w:rPr>
              <w:t>71.274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inv fy23</w:t>
            </w:r>
          </w:p>
        </w:tc>
        <w:tc>
          <w:tcPr>
            <w:tcW w:type="dxa" w:w="1440"/>
          </w:tcPr>
          <w:p>
            <w:pPr>
              <w:spacing w:after="20"/>
            </w:pPr>
            <w:r>
              <w:rPr>
                <w:color w:val="1C3A36"/>
                <w:sz w:val="14"/>
              </w:rPr>
              <w:t>1,294.423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fy24</w:t>
            </w:r>
          </w:p>
        </w:tc>
        <w:tc>
          <w:tcPr>
            <w:tcW w:type="dxa" w:w="1440"/>
          </w:tcPr>
          <w:p>
            <w:pPr>
              <w:spacing w:after="20"/>
            </w:pPr>
            <w:r>
              <w:rPr>
                <w:color w:val="1C3A36"/>
                <w:sz w:val="14"/>
              </w:rPr>
              <w:t>1,619.887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fy25</w:t>
            </w:r>
          </w:p>
        </w:tc>
        <w:tc>
          <w:tcPr>
            <w:tcW w:type="dxa" w:w="1440"/>
          </w:tcPr>
          <w:p>
            <w:pPr>
              <w:spacing w:after="20"/>
            </w:pPr>
            <w:r>
              <w:rPr>
                <w:color w:val="1C3A36"/>
                <w:sz w:val="14"/>
              </w:rPr>
              <w:t>1,574.254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inventories</w:t>
            </w:r>
          </w:p>
        </w:tc>
      </w:tr>
      <w:tr>
        <w:trPr>
          <w:cantSplit/>
        </w:trPr>
        <w:tc>
          <w:tcPr>
            <w:tcW w:type="dxa" w:w="1656"/>
          </w:tcPr>
          <w:p>
            <w:pPr>
              <w:spacing w:after="20"/>
            </w:pPr>
            <w:r>
              <w:rPr>
                <w:color w:val="1C3A36"/>
                <w:sz w:val="14"/>
              </w:rPr>
              <w:t>invgain comm fy25</w:t>
            </w:r>
          </w:p>
        </w:tc>
        <w:tc>
          <w:tcPr>
            <w:tcW w:type="dxa" w:w="1440"/>
          </w:tcPr>
          <w:p>
            <w:pPr>
              <w:spacing w:after="20"/>
            </w:pPr>
            <w:r>
              <w:rPr>
                <w:color w:val="1C3A36"/>
                <w:sz w:val="14"/>
              </w:rPr>
              <w:t>14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segment inventory gains</w:t>
            </w:r>
          </w:p>
        </w:tc>
      </w:tr>
      <w:tr>
        <w:trPr>
          <w:cantSplit/>
        </w:trPr>
        <w:tc>
          <w:tcPr>
            <w:tcW w:type="dxa" w:w="1656"/>
          </w:tcPr>
          <w:p>
            <w:pPr>
              <w:spacing w:after="20"/>
            </w:pPr>
            <w:r>
              <w:rPr>
                <w:color w:val="1C3A36"/>
                <w:sz w:val="14"/>
              </w:rPr>
              <w:t>invgain comm h125</w:t>
            </w:r>
          </w:p>
        </w:tc>
        <w:tc>
          <w:tcPr>
            <w:tcW w:type="dxa" w:w="1440"/>
          </w:tcPr>
          <w:p>
            <w:pPr>
              <w:spacing w:after="20"/>
            </w:pPr>
            <w:r>
              <w:rPr>
                <w:color w:val="1C3A36"/>
                <w:sz w:val="14"/>
              </w:rPr>
              <w:t>-1</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commercial segment inventory losses of AED 1 million, prior-period comparative</w:t>
            </w:r>
          </w:p>
        </w:tc>
      </w:tr>
      <w:tr>
        <w:trPr>
          <w:cantSplit/>
        </w:trPr>
        <w:tc>
          <w:tcPr>
            <w:tcW w:type="dxa" w:w="1656"/>
          </w:tcPr>
          <w:p>
            <w:pPr>
              <w:spacing w:after="20"/>
            </w:pPr>
            <w:r>
              <w:rPr>
                <w:color w:val="1C3A36"/>
                <w:sz w:val="14"/>
              </w:rPr>
              <w:t>invgain comm h126</w:t>
            </w:r>
          </w:p>
        </w:tc>
        <w:tc>
          <w:tcPr>
            <w:tcW w:type="dxa" w:w="1440"/>
          </w:tcPr>
          <w:p>
            <w:pPr>
              <w:spacing w:after="20"/>
            </w:pPr>
            <w:r>
              <w:rPr>
                <w:color w:val="1C3A36"/>
                <w:sz w:val="14"/>
              </w:rPr>
              <w:t>233</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segment inventory gains, six months</w:t>
            </w:r>
          </w:p>
        </w:tc>
      </w:tr>
      <w:tr>
        <w:trPr>
          <w:cantSplit/>
        </w:trPr>
        <w:tc>
          <w:tcPr>
            <w:tcW w:type="dxa" w:w="1656"/>
          </w:tcPr>
          <w:p>
            <w:pPr>
              <w:spacing w:after="20"/>
            </w:pPr>
            <w:r>
              <w:rPr>
                <w:color w:val="1C3A36"/>
                <w:sz w:val="14"/>
              </w:rPr>
              <w:t>invgain fy24</w:t>
            </w:r>
          </w:p>
        </w:tc>
        <w:tc>
          <w:tcPr>
            <w:tcW w:type="dxa" w:w="1440"/>
          </w:tcPr>
          <w:p>
            <w:pPr>
              <w:spacing w:after="20"/>
            </w:pPr>
            <w:r>
              <w:rPr>
                <w:color w:val="1C3A36"/>
                <w:sz w:val="14"/>
              </w:rPr>
              <w:t>254</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inventory gains of AED 254 million in 2024</w:t>
            </w:r>
          </w:p>
        </w:tc>
      </w:tr>
      <w:tr>
        <w:trPr>
          <w:cantSplit/>
        </w:trPr>
        <w:tc>
          <w:tcPr>
            <w:tcW w:type="dxa" w:w="1656"/>
          </w:tcPr>
          <w:p>
            <w:pPr>
              <w:spacing w:after="20"/>
            </w:pPr>
            <w:r>
              <w:rPr>
                <w:color w:val="1C3A36"/>
                <w:sz w:val="14"/>
              </w:rPr>
              <w:t>invgain fy25</w:t>
            </w:r>
          </w:p>
        </w:tc>
        <w:tc>
          <w:tcPr>
            <w:tcW w:type="dxa" w:w="1440"/>
          </w:tcPr>
          <w:p>
            <w:pPr>
              <w:spacing w:after="20"/>
            </w:pPr>
            <w:r>
              <w:rPr>
                <w:color w:val="1C3A36"/>
                <w:sz w:val="14"/>
              </w:rPr>
              <w:t>335</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inventory gains of AED 335 million in 2025</w:t>
            </w:r>
          </w:p>
        </w:tc>
      </w:tr>
      <w:tr>
        <w:trPr>
          <w:cantSplit/>
        </w:trPr>
        <w:tc>
          <w:tcPr>
            <w:tcW w:type="dxa" w:w="1656"/>
          </w:tcPr>
          <w:p>
            <w:pPr>
              <w:spacing w:after="20"/>
            </w:pPr>
            <w:r>
              <w:rPr>
                <w:color w:val="1C3A36"/>
                <w:sz w:val="14"/>
              </w:rPr>
              <w:t>invgain h125</w:t>
            </w:r>
          </w:p>
        </w:tc>
        <w:tc>
          <w:tcPr>
            <w:tcW w:type="dxa" w:w="1440"/>
          </w:tcPr>
          <w:p>
            <w:pPr>
              <w:spacing w:after="20"/>
            </w:pPr>
            <w:r>
              <w:rPr>
                <w:color w:val="1C3A36"/>
                <w:sz w:val="14"/>
              </w:rPr>
              <w:t>147</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inventory gains of AED 147 million in H1 2025</w:t>
            </w:r>
          </w:p>
        </w:tc>
      </w:tr>
      <w:tr>
        <w:trPr>
          <w:cantSplit/>
        </w:trPr>
        <w:tc>
          <w:tcPr>
            <w:tcW w:type="dxa" w:w="1656"/>
          </w:tcPr>
          <w:p>
            <w:pPr>
              <w:spacing w:after="20"/>
            </w:pPr>
            <w:r>
              <w:rPr>
                <w:color w:val="1C3A36"/>
                <w:sz w:val="14"/>
              </w:rPr>
              <w:t>invgain h126</w:t>
            </w:r>
          </w:p>
        </w:tc>
        <w:tc>
          <w:tcPr>
            <w:tcW w:type="dxa" w:w="1440"/>
          </w:tcPr>
          <w:p>
            <w:pPr>
              <w:spacing w:after="20"/>
            </w:pPr>
            <w:r>
              <w:rPr>
                <w:color w:val="1C3A36"/>
                <w:sz w:val="14"/>
              </w:rPr>
              <w:t>762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inventory gains of AED 762 million in H1 2026</w:t>
            </w:r>
          </w:p>
        </w:tc>
      </w:tr>
      <w:tr>
        <w:trPr>
          <w:cantSplit/>
        </w:trPr>
        <w:tc>
          <w:tcPr>
            <w:tcW w:type="dxa" w:w="1656"/>
          </w:tcPr>
          <w:p>
            <w:pPr>
              <w:spacing w:after="20"/>
            </w:pPr>
            <w:r>
              <w:rPr>
                <w:color w:val="1C3A36"/>
                <w:sz w:val="14"/>
              </w:rPr>
              <w:t>invgain retfuel fy25</w:t>
            </w:r>
          </w:p>
        </w:tc>
        <w:tc>
          <w:tcPr>
            <w:tcW w:type="dxa" w:w="1440"/>
          </w:tcPr>
          <w:p>
            <w:pPr>
              <w:spacing w:after="20"/>
            </w:pPr>
            <w:r>
              <w:rPr>
                <w:color w:val="1C3A36"/>
                <w:sz w:val="14"/>
              </w:rPr>
              <w:t>321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inventory gains</w:t>
            </w:r>
          </w:p>
        </w:tc>
      </w:tr>
      <w:tr>
        <w:trPr>
          <w:cantSplit/>
        </w:trPr>
        <w:tc>
          <w:tcPr>
            <w:tcW w:type="dxa" w:w="1656"/>
          </w:tcPr>
          <w:p>
            <w:pPr>
              <w:spacing w:after="20"/>
            </w:pPr>
            <w:r>
              <w:rPr>
                <w:color w:val="1C3A36"/>
                <w:sz w:val="14"/>
              </w:rPr>
              <w:t>invgain retfuel h125</w:t>
            </w:r>
          </w:p>
        </w:tc>
        <w:tc>
          <w:tcPr>
            <w:tcW w:type="dxa" w:w="1440"/>
          </w:tcPr>
          <w:p>
            <w:pPr>
              <w:spacing w:after="20"/>
            </w:pPr>
            <w:r>
              <w:rPr>
                <w:color w:val="1C3A36"/>
                <w:sz w:val="14"/>
              </w:rPr>
              <w:t>148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fuel retail inventory gains, prior-period comparative</w:t>
            </w:r>
          </w:p>
        </w:tc>
      </w:tr>
      <w:tr>
        <w:trPr>
          <w:cantSplit/>
        </w:trPr>
        <w:tc>
          <w:tcPr>
            <w:tcW w:type="dxa" w:w="1656"/>
          </w:tcPr>
          <w:p>
            <w:pPr>
              <w:spacing w:after="20"/>
            </w:pPr>
            <w:r>
              <w:rPr>
                <w:color w:val="1C3A36"/>
                <w:sz w:val="14"/>
              </w:rPr>
              <w:t>invgain retfuel h126</w:t>
            </w:r>
          </w:p>
        </w:tc>
        <w:tc>
          <w:tcPr>
            <w:tcW w:type="dxa" w:w="1440"/>
          </w:tcPr>
          <w:p>
            <w:pPr>
              <w:spacing w:after="20"/>
            </w:pPr>
            <w:r>
              <w:rPr>
                <w:color w:val="1C3A36"/>
                <w:sz w:val="14"/>
              </w:rPr>
              <w:t>528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inventory gains, six months</w:t>
            </w:r>
          </w:p>
        </w:tc>
      </w:tr>
      <w:tr>
        <w:trPr>
          <w:cantSplit/>
        </w:trPr>
        <w:tc>
          <w:tcPr>
            <w:tcW w:type="dxa" w:w="1656"/>
          </w:tcPr>
          <w:p>
            <w:pPr>
              <w:spacing w:after="20"/>
            </w:pPr>
            <w:r>
              <w:rPr>
                <w:color w:val="1C3A36"/>
                <w:sz w:val="14"/>
              </w:rPr>
              <w:t>invmove A</w:t>
            </w:r>
          </w:p>
        </w:tc>
        <w:tc>
          <w:tcPr>
            <w:tcW w:type="dxa" w:w="1440"/>
          </w:tcPr>
          <w:p>
            <w:pPr>
              <w:spacing w:after="20"/>
            </w:pPr>
            <w:r>
              <w:rPr>
                <w:color w:val="1C3A36"/>
                <w:sz w:val="14"/>
              </w:rPr>
              <w:t>762, 0, 0, 0, 0</w:t>
            </w:r>
          </w:p>
        </w:tc>
        <w:tc>
          <w:tcPr>
            <w:tcW w:type="dxa" w:w="936"/>
          </w:tcPr>
          <w:p>
            <w:pPr>
              <w:spacing w:after="20"/>
            </w:pPr>
            <w:r>
              <w:rPr>
                <w:color w:val="1C3A36"/>
                <w:sz w:val="14"/>
              </w:rPr>
              <w:t>5 Aug 2026</w:t>
            </w:r>
          </w:p>
        </w:tc>
        <w:tc>
          <w:tcPr>
            <w:tcW w:type="dxa" w:w="6048"/>
          </w:tcPr>
          <w:p>
            <w:pPr>
              <w:spacing w:after="20"/>
            </w:pPr>
            <w:r>
              <w:rPr>
                <w:color w:val="1C3A36"/>
                <w:sz w:val="14"/>
              </w:rPr>
              <w:t>Inventory movements, NORMALISED frame. FY2026 carries only the AED 762 million already realised in the first half; nothing is assumed for the second half and nothing thereafter, on the view that a timing difference on a pass-through cost nets to zero through a full price cycle</w:t>
            </w:r>
          </w:p>
        </w:tc>
      </w:tr>
      <w:tr>
        <w:trPr>
          <w:cantSplit/>
        </w:trPr>
        <w:tc>
          <w:tcPr>
            <w:tcW w:type="dxa" w:w="1656"/>
          </w:tcPr>
          <w:p>
            <w:pPr>
              <w:spacing w:after="20"/>
            </w:pPr>
            <w:r>
              <w:rPr>
                <w:color w:val="1C3A36"/>
                <w:sz w:val="14"/>
              </w:rPr>
              <w:t>invmove B</w:t>
            </w:r>
          </w:p>
        </w:tc>
        <w:tc>
          <w:tcPr>
            <w:tcW w:type="dxa" w:w="1440"/>
          </w:tcPr>
          <w:p>
            <w:pPr>
              <w:spacing w:after="20"/>
            </w:pPr>
            <w:r>
              <w:rPr>
                <w:color w:val="1C3A36"/>
                <w:sz w:val="14"/>
              </w:rPr>
              <w:t>950, 295, 295, 295, 295</w:t>
            </w:r>
          </w:p>
        </w:tc>
        <w:tc>
          <w:tcPr>
            <w:tcW w:type="dxa" w:w="936"/>
          </w:tcPr>
          <w:p>
            <w:pPr>
              <w:spacing w:after="20"/>
            </w:pPr>
            <w:r>
              <w:rPr>
                <w:color w:val="1C3A36"/>
                <w:sz w:val="14"/>
              </w:rPr>
              <w:t>5 Aug 2026</w:t>
            </w:r>
          </w:p>
        </w:tc>
        <w:tc>
          <w:tcPr>
            <w:tcW w:type="dxa" w:w="6048"/>
          </w:tcPr>
          <w:p>
            <w:pPr>
              <w:spacing w:after="20"/>
            </w:pPr>
            <w:r>
              <w:rPr>
                <w:color w:val="1C3A36"/>
                <w:sz w:val="14"/>
              </w:rPr>
              <w:t>Inventory movements, THROUGH-CYCLE frame. FY2026 carries the realised first half plus a second half at the FY2025 second-half rate of AED 188 million; later years carry the FY2024-FY2025 average of AED 295 million, on the view that a company holding physical stock in a market with a persistent upward price drift earns a small positive contribution on average</w:t>
            </w:r>
          </w:p>
        </w:tc>
      </w:tr>
      <w:tr>
        <w:trPr>
          <w:cantSplit/>
        </w:trPr>
        <w:tc>
          <w:tcPr>
            <w:tcW w:type="dxa" w:w="1656"/>
          </w:tcPr>
          <w:p>
            <w:pPr>
              <w:spacing w:after="20"/>
            </w:pPr>
            <w:r>
              <w:rPr>
                <w:color w:val="1C3A36"/>
                <w:sz w:val="14"/>
              </w:rPr>
              <w:t>lease fy23</w:t>
            </w:r>
          </w:p>
        </w:tc>
        <w:tc>
          <w:tcPr>
            <w:tcW w:type="dxa" w:w="1440"/>
          </w:tcPr>
          <w:p>
            <w:pPr>
              <w:spacing w:after="20"/>
            </w:pPr>
            <w:r>
              <w:rPr>
                <w:color w:val="1C3A36"/>
                <w:sz w:val="14"/>
              </w:rPr>
              <w:t>1,747.264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lease liabilities: non-current 1,564.251 plus current 183.013</w:t>
            </w:r>
          </w:p>
        </w:tc>
      </w:tr>
      <w:tr>
        <w:trPr>
          <w:cantSplit/>
        </w:trPr>
        <w:tc>
          <w:tcPr>
            <w:tcW w:type="dxa" w:w="1656"/>
          </w:tcPr>
          <w:p>
            <w:pPr>
              <w:spacing w:after="20"/>
            </w:pPr>
            <w:r>
              <w:rPr>
                <w:color w:val="1C3A36"/>
                <w:sz w:val="14"/>
              </w:rPr>
              <w:t>lease fy24</w:t>
            </w:r>
          </w:p>
        </w:tc>
        <w:tc>
          <w:tcPr>
            <w:tcW w:type="dxa" w:w="1440"/>
          </w:tcPr>
          <w:p>
            <w:pPr>
              <w:spacing w:after="20"/>
            </w:pPr>
            <w:r>
              <w:rPr>
                <w:color w:val="1C3A36"/>
                <w:sz w:val="14"/>
              </w:rPr>
              <w:t>1,722.622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lease liabilities: non-current 1,540.894 plus current 181.728</w:t>
            </w:r>
          </w:p>
        </w:tc>
      </w:tr>
      <w:tr>
        <w:trPr>
          <w:cantSplit/>
        </w:trPr>
        <w:tc>
          <w:tcPr>
            <w:tcW w:type="dxa" w:w="1656"/>
          </w:tcPr>
          <w:p>
            <w:pPr>
              <w:spacing w:after="20"/>
            </w:pPr>
            <w:r>
              <w:rPr>
                <w:color w:val="1C3A36"/>
                <w:sz w:val="14"/>
              </w:rPr>
              <w:t>lease fy25</w:t>
            </w:r>
          </w:p>
        </w:tc>
        <w:tc>
          <w:tcPr>
            <w:tcW w:type="dxa" w:w="1440"/>
          </w:tcPr>
          <w:p>
            <w:pPr>
              <w:spacing w:after="20"/>
            </w:pPr>
            <w:r>
              <w:rPr>
                <w:color w:val="1C3A36"/>
                <w:sz w:val="14"/>
              </w:rPr>
              <w:t>1,446.327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lease liabilities note: non-current 1,289.459 plus current 156.868</w:t>
            </w:r>
          </w:p>
        </w:tc>
      </w:tr>
      <w:tr>
        <w:trPr>
          <w:cantSplit/>
        </w:trPr>
        <w:tc>
          <w:tcPr>
            <w:tcW w:type="dxa" w:w="1656"/>
          </w:tcPr>
          <w:p>
            <w:pPr>
              <w:spacing w:after="20"/>
            </w:pPr>
            <w:r>
              <w:rPr>
                <w:color w:val="1C3A36"/>
                <w:sz w:val="14"/>
              </w:rPr>
              <w:t>leasepay fy25</w:t>
            </w:r>
          </w:p>
        </w:tc>
        <w:tc>
          <w:tcPr>
            <w:tcW w:type="dxa" w:w="1440"/>
          </w:tcPr>
          <w:p>
            <w:pPr>
              <w:spacing w:after="20"/>
            </w:pPr>
            <w:r>
              <w:rPr>
                <w:color w:val="1C3A36"/>
                <w:sz w:val="14"/>
              </w:rPr>
              <w:t>201.454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 of lease liabilities</w:t>
            </w:r>
          </w:p>
        </w:tc>
      </w:tr>
      <w:tr>
        <w:trPr>
          <w:cantSplit/>
        </w:trPr>
        <w:tc>
          <w:tcPr>
            <w:tcW w:type="dxa" w:w="1656"/>
          </w:tcPr>
          <w:p>
            <w:pPr>
              <w:spacing w:after="20"/>
            </w:pPr>
            <w:r>
              <w:rPr>
                <w:color w:val="1C3A36"/>
                <w:sz w:val="14"/>
              </w:rPr>
              <w:t>nci fy23</w:t>
            </w:r>
          </w:p>
        </w:tc>
        <w:tc>
          <w:tcPr>
            <w:tcW w:type="dxa" w:w="1440"/>
          </w:tcPr>
          <w:p>
            <w:pPr>
              <w:spacing w:after="20"/>
            </w:pPr>
            <w:r>
              <w:rPr>
                <w:color w:val="1C3A36"/>
                <w:sz w:val="14"/>
              </w:rPr>
              <w:t>29.068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fy24</w:t>
            </w:r>
          </w:p>
        </w:tc>
        <w:tc>
          <w:tcPr>
            <w:tcW w:type="dxa" w:w="1440"/>
          </w:tcPr>
          <w:p>
            <w:pPr>
              <w:spacing w:after="20"/>
            </w:pPr>
            <w:r>
              <w:rPr>
                <w:color w:val="1C3A36"/>
                <w:sz w:val="14"/>
              </w:rPr>
              <w:t>52.008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fy25</w:t>
            </w:r>
          </w:p>
        </w:tc>
        <w:tc>
          <w:tcPr>
            <w:tcW w:type="dxa" w:w="1440"/>
          </w:tcPr>
          <w:p>
            <w:pPr>
              <w:spacing w:after="20"/>
            </w:pPr>
            <w:r>
              <w:rPr>
                <w:color w:val="1C3A36"/>
                <w:sz w:val="14"/>
              </w:rPr>
              <w:t>57.042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nciq fy23</w:t>
            </w:r>
          </w:p>
        </w:tc>
        <w:tc>
          <w:tcPr>
            <w:tcW w:type="dxa" w:w="1440"/>
          </w:tcPr>
          <w:p>
            <w:pPr>
              <w:spacing w:after="20"/>
            </w:pPr>
            <w:r>
              <w:rPr>
                <w:color w:val="1C3A36"/>
                <w:sz w:val="14"/>
              </w:rPr>
              <w:t>323.767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fy24</w:t>
            </w:r>
          </w:p>
        </w:tc>
        <w:tc>
          <w:tcPr>
            <w:tcW w:type="dxa" w:w="1440"/>
          </w:tcPr>
          <w:p>
            <w:pPr>
              <w:spacing w:after="20"/>
            </w:pPr>
            <w:r>
              <w:rPr>
                <w:color w:val="1C3A36"/>
                <w:sz w:val="14"/>
              </w:rPr>
              <w:t>189.437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fy25</w:t>
            </w:r>
          </w:p>
        </w:tc>
        <w:tc>
          <w:tcPr>
            <w:tcW w:type="dxa" w:w="1440"/>
          </w:tcPr>
          <w:p>
            <w:pPr>
              <w:spacing w:after="20"/>
            </w:pPr>
            <w:r>
              <w:rPr>
                <w:color w:val="1C3A36"/>
                <w:sz w:val="14"/>
              </w:rPr>
              <w:t>230.374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nonfueltxn h125</w:t>
            </w:r>
          </w:p>
        </w:tc>
        <w:tc>
          <w:tcPr>
            <w:tcW w:type="dxa" w:w="1440"/>
          </w:tcPr>
          <w:p>
            <w:pPr>
              <w:spacing w:after="20"/>
            </w:pPr>
            <w:r>
              <w:rPr>
                <w:color w:val="1C3A36"/>
                <w:sz w:val="14"/>
              </w:rPr>
              <w:t>26</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non-fuel transactions, UAE, prior-period comparative</w:t>
            </w:r>
          </w:p>
        </w:tc>
      </w:tr>
      <w:tr>
        <w:trPr>
          <w:cantSplit/>
        </w:trPr>
        <w:tc>
          <w:tcPr>
            <w:tcW w:type="dxa" w:w="1656"/>
          </w:tcPr>
          <w:p>
            <w:pPr>
              <w:spacing w:after="20"/>
            </w:pPr>
            <w:r>
              <w:rPr>
                <w:color w:val="1C3A36"/>
                <w:sz w:val="14"/>
              </w:rPr>
              <w:t>nonfueltxn h126</w:t>
            </w:r>
          </w:p>
        </w:tc>
        <w:tc>
          <w:tcPr>
            <w:tcW w:type="dxa" w:w="1440"/>
          </w:tcPr>
          <w:p>
            <w:pPr>
              <w:spacing w:after="20"/>
            </w:pPr>
            <w:r>
              <w:rPr>
                <w:color w:val="1C3A36"/>
                <w:sz w:val="14"/>
              </w:rPr>
              <w:t>26.400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non-fuel transactions, UAE, millions, six months</w:t>
            </w:r>
          </w:p>
        </w:tc>
      </w:tr>
      <w:tr>
        <w:trPr>
          <w:cantSplit/>
        </w:trPr>
        <w:tc>
          <w:tcPr>
            <w:tcW w:type="dxa" w:w="1656"/>
          </w:tcPr>
          <w:p>
            <w:pPr>
              <w:spacing w:after="20"/>
            </w:pPr>
            <w:r>
              <w:rPr>
                <w:color w:val="1C3A36"/>
                <w:sz w:val="14"/>
              </w:rPr>
              <w:t>np fy22</w:t>
            </w:r>
          </w:p>
        </w:tc>
        <w:tc>
          <w:tcPr>
            <w:tcW w:type="dxa" w:w="1440"/>
          </w:tcPr>
          <w:p>
            <w:pPr>
              <w:spacing w:after="20"/>
            </w:pPr>
            <w:r>
              <w:rPr>
                <w:color w:val="1C3A36"/>
                <w:sz w:val="14"/>
              </w:rPr>
              <w:t>2,748.508</w:t>
            </w:r>
          </w:p>
        </w:tc>
        <w:tc>
          <w:tcPr>
            <w:tcW w:type="dxa" w:w="936"/>
          </w:tcPr>
          <w:p>
            <w:pPr>
              <w:spacing w:after="20"/>
            </w:pPr>
            <w:r>
              <w:rPr>
                <w:color w:val="1C3A36"/>
                <w:sz w:val="14"/>
              </w:rPr>
              <w:t>31 Dec 2022</w:t>
            </w:r>
          </w:p>
        </w:tc>
        <w:tc>
          <w:tcPr>
            <w:tcW w:type="dxa" w:w="6048"/>
          </w:tcPr>
          <w:p>
            <w:pPr>
              <w:spacing w:after="20"/>
            </w:pPr>
            <w:r>
              <w:rPr>
                <w:color w:val="1C3A36"/>
                <w:sz w:val="14"/>
              </w:rPr>
              <w:t>FY2023 audited filing, FY2022 comparative column: profit for the year</w:t>
            </w:r>
          </w:p>
        </w:tc>
      </w:tr>
      <w:tr>
        <w:trPr>
          <w:cantSplit/>
        </w:trPr>
        <w:tc>
          <w:tcPr>
            <w:tcW w:type="dxa" w:w="1656"/>
          </w:tcPr>
          <w:p>
            <w:pPr>
              <w:spacing w:after="20"/>
            </w:pPr>
            <w:r>
              <w:rPr>
                <w:color w:val="1C3A36"/>
                <w:sz w:val="14"/>
              </w:rPr>
              <w:t>np fy23</w:t>
            </w:r>
          </w:p>
        </w:tc>
        <w:tc>
          <w:tcPr>
            <w:tcW w:type="dxa" w:w="1440"/>
          </w:tcPr>
          <w:p>
            <w:pPr>
              <w:spacing w:after="20"/>
            </w:pPr>
            <w:r>
              <w:rPr>
                <w:color w:val="1C3A36"/>
                <w:sz w:val="14"/>
              </w:rPr>
              <w:t>2,630.489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fy24</w:t>
            </w:r>
          </w:p>
        </w:tc>
        <w:tc>
          <w:tcPr>
            <w:tcW w:type="dxa" w:w="1440"/>
          </w:tcPr>
          <w:p>
            <w:pPr>
              <w:spacing w:after="20"/>
            </w:pPr>
            <w:r>
              <w:rPr>
                <w:color w:val="1C3A36"/>
                <w:sz w:val="14"/>
              </w:rPr>
              <w:t>2,472.283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fy25</w:t>
            </w:r>
          </w:p>
        </w:tc>
        <w:tc>
          <w:tcPr>
            <w:tcW w:type="dxa" w:w="1440"/>
          </w:tcPr>
          <w:p>
            <w:pPr>
              <w:spacing w:after="20"/>
            </w:pPr>
            <w:r>
              <w:rPr>
                <w:color w:val="1C3A36"/>
                <w:sz w:val="14"/>
              </w:rPr>
              <w:t>2,851.042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h126</w:t>
            </w:r>
          </w:p>
        </w:tc>
        <w:tc>
          <w:tcPr>
            <w:tcW w:type="dxa" w:w="1440"/>
          </w:tcPr>
          <w:p>
            <w:pPr>
              <w:spacing w:after="20"/>
            </w:pPr>
            <w:r>
              <w:rPr>
                <w:color w:val="1C3A36"/>
                <w:sz w:val="14"/>
              </w:rPr>
              <w:t>2,127.694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profit for the period, six months ended 30 June 2026</w:t>
            </w:r>
          </w:p>
        </w:tc>
      </w:tr>
      <w:tr>
        <w:trPr>
          <w:cantSplit/>
        </w:trPr>
        <w:tc>
          <w:tcPr>
            <w:tcW w:type="dxa" w:w="1656"/>
          </w:tcPr>
          <w:p>
            <w:pPr>
              <w:spacing w:after="20"/>
            </w:pPr>
            <w:r>
              <w:rPr>
                <w:color w:val="1C3A36"/>
                <w:sz w:val="14"/>
              </w:rPr>
              <w:t>ocf fy23</w:t>
            </w:r>
          </w:p>
        </w:tc>
        <w:tc>
          <w:tcPr>
            <w:tcW w:type="dxa" w:w="1440"/>
          </w:tcPr>
          <w:p>
            <w:pPr>
              <w:spacing w:after="20"/>
            </w:pPr>
            <w:r>
              <w:rPr>
                <w:color w:val="1C3A36"/>
                <w:sz w:val="14"/>
              </w:rPr>
              <w:t>5,051.268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FY2023 comparative</w:t>
            </w:r>
          </w:p>
        </w:tc>
      </w:tr>
      <w:tr>
        <w:trPr>
          <w:cantSplit/>
        </w:trPr>
        <w:tc>
          <w:tcPr>
            <w:tcW w:type="dxa" w:w="1656"/>
          </w:tcPr>
          <w:p>
            <w:pPr>
              <w:spacing w:after="20"/>
            </w:pPr>
            <w:r>
              <w:rPr>
                <w:color w:val="1C3A36"/>
                <w:sz w:val="14"/>
              </w:rPr>
              <w:t>ocf fy24</w:t>
            </w:r>
          </w:p>
        </w:tc>
        <w:tc>
          <w:tcPr>
            <w:tcW w:type="dxa" w:w="1440"/>
          </w:tcPr>
          <w:p>
            <w:pPr>
              <w:spacing w:after="20"/>
            </w:pPr>
            <w:r>
              <w:rPr>
                <w:color w:val="1C3A36"/>
                <w:sz w:val="14"/>
              </w:rPr>
              <w:t>3,931.453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ocf fy25</w:t>
            </w:r>
          </w:p>
        </w:tc>
        <w:tc>
          <w:tcPr>
            <w:tcW w:type="dxa" w:w="1440"/>
          </w:tcPr>
          <w:p>
            <w:pPr>
              <w:spacing w:after="20"/>
            </w:pPr>
            <w:r>
              <w:rPr>
                <w:color w:val="1C3A36"/>
                <w:sz w:val="14"/>
              </w:rPr>
              <w:t>3,922.041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oi fy23</w:t>
            </w:r>
          </w:p>
        </w:tc>
        <w:tc>
          <w:tcPr>
            <w:tcW w:type="dxa" w:w="1440"/>
          </w:tcPr>
          <w:p>
            <w:pPr>
              <w:spacing w:after="20"/>
            </w:pPr>
            <w:r>
              <w:rPr>
                <w:color w:val="1C3A36"/>
                <w:sz w:val="14"/>
              </w:rPr>
              <w:t>145.645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fy24</w:t>
            </w:r>
          </w:p>
        </w:tc>
        <w:tc>
          <w:tcPr>
            <w:tcW w:type="dxa" w:w="1440"/>
          </w:tcPr>
          <w:p>
            <w:pPr>
              <w:spacing w:after="20"/>
            </w:pPr>
            <w:r>
              <w:rPr>
                <w:color w:val="1C3A36"/>
                <w:sz w:val="14"/>
              </w:rPr>
              <w:t>138.059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fy25</w:t>
            </w:r>
          </w:p>
        </w:tc>
        <w:tc>
          <w:tcPr>
            <w:tcW w:type="dxa" w:w="1440"/>
          </w:tcPr>
          <w:p>
            <w:pPr>
              <w:spacing w:after="20"/>
            </w:pPr>
            <w:r>
              <w:rPr>
                <w:color w:val="1C3A36"/>
                <w:sz w:val="14"/>
              </w:rPr>
              <w:t>167.665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h126</w:t>
            </w:r>
          </w:p>
        </w:tc>
        <w:tc>
          <w:tcPr>
            <w:tcW w:type="dxa" w:w="1440"/>
          </w:tcPr>
          <w:p>
            <w:pPr>
              <w:spacing w:after="20"/>
            </w:pPr>
            <w:r>
              <w:rPr>
                <w:color w:val="1C3A36"/>
                <w:sz w:val="14"/>
              </w:rPr>
              <w:t>90.705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other income, six months</w:t>
            </w:r>
          </w:p>
        </w:tc>
      </w:tr>
      <w:tr>
        <w:trPr>
          <w:cantSplit/>
        </w:trPr>
        <w:tc>
          <w:tcPr>
            <w:tcW w:type="dxa" w:w="1656"/>
          </w:tcPr>
          <w:p>
            <w:pPr>
              <w:spacing w:after="20"/>
            </w:pPr>
            <w:r>
              <w:rPr>
                <w:color w:val="1C3A36"/>
                <w:sz w:val="14"/>
              </w:rPr>
              <w:t>onca fy23</w:t>
            </w:r>
          </w:p>
        </w:tc>
        <w:tc>
          <w:tcPr>
            <w:tcW w:type="dxa" w:w="1440"/>
          </w:tcPr>
          <w:p>
            <w:pPr>
              <w:spacing w:after="20"/>
            </w:pPr>
            <w:r>
              <w:rPr>
                <w:color w:val="1C3A36"/>
                <w:sz w:val="14"/>
              </w:rPr>
              <w:t>56.183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advances to contractors 38.466 plus deferred tax asset 2.166 plus other non-current assets 15.551</w:t>
            </w:r>
          </w:p>
        </w:tc>
      </w:tr>
      <w:tr>
        <w:trPr>
          <w:cantSplit/>
        </w:trPr>
        <w:tc>
          <w:tcPr>
            <w:tcW w:type="dxa" w:w="1656"/>
          </w:tcPr>
          <w:p>
            <w:pPr>
              <w:spacing w:after="20"/>
            </w:pPr>
            <w:r>
              <w:rPr>
                <w:color w:val="1C3A36"/>
                <w:sz w:val="14"/>
              </w:rPr>
              <w:t>onca fy24</w:t>
            </w:r>
          </w:p>
        </w:tc>
        <w:tc>
          <w:tcPr>
            <w:tcW w:type="dxa" w:w="1440"/>
          </w:tcPr>
          <w:p>
            <w:pPr>
              <w:spacing w:after="20"/>
            </w:pPr>
            <w:r>
              <w:rPr>
                <w:color w:val="1C3A36"/>
                <w:sz w:val="14"/>
              </w:rPr>
              <w:t>62.103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advances to contractors 47.656 plus other non-current assets 14.447</w:t>
            </w:r>
          </w:p>
        </w:tc>
      </w:tr>
      <w:tr>
        <w:trPr>
          <w:cantSplit/>
        </w:trPr>
        <w:tc>
          <w:tcPr>
            <w:tcW w:type="dxa" w:w="1656"/>
          </w:tcPr>
          <w:p>
            <w:pPr>
              <w:spacing w:after="20"/>
            </w:pPr>
            <w:r>
              <w:rPr>
                <w:color w:val="1C3A36"/>
                <w:sz w:val="14"/>
              </w:rPr>
              <w:t>onca fy25</w:t>
            </w:r>
          </w:p>
        </w:tc>
        <w:tc>
          <w:tcPr>
            <w:tcW w:type="dxa" w:w="1440"/>
          </w:tcPr>
          <w:p>
            <w:pPr>
              <w:spacing w:after="20"/>
            </w:pPr>
            <w:r>
              <w:rPr>
                <w:color w:val="1C3A36"/>
                <w:sz w:val="14"/>
              </w:rPr>
              <w:t>49.420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advances to contractors 36.596 plus other non-current assets 12.824</w:t>
            </w:r>
          </w:p>
        </w:tc>
      </w:tr>
      <w:tr>
        <w:trPr>
          <w:cantSplit/>
        </w:trPr>
        <w:tc>
          <w:tcPr>
            <w:tcW w:type="dxa" w:w="1656"/>
          </w:tcPr>
          <w:p>
            <w:pPr>
              <w:spacing w:after="20"/>
            </w:pPr>
            <w:r>
              <w:rPr>
                <w:color w:val="1C3A36"/>
                <w:sz w:val="14"/>
              </w:rPr>
              <w:t>oncl fy25</w:t>
            </w:r>
          </w:p>
        </w:tc>
        <w:tc>
          <w:tcPr>
            <w:tcW w:type="dxa" w:w="1440"/>
          </w:tcPr>
          <w:p>
            <w:pPr>
              <w:spacing w:after="20"/>
            </w:pPr>
            <w:r>
              <w:rPr>
                <w:color w:val="1C3A36"/>
                <w:sz w:val="14"/>
              </w:rPr>
              <w:t>6.528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non-current liabilities</w:t>
            </w:r>
          </w:p>
        </w:tc>
      </w:tr>
      <w:tr>
        <w:trPr>
          <w:cantSplit/>
        </w:trPr>
        <w:tc>
          <w:tcPr>
            <w:tcW w:type="dxa" w:w="1656"/>
          </w:tcPr>
          <w:p>
            <w:pPr>
              <w:spacing w:after="20"/>
            </w:pPr>
            <w:r>
              <w:rPr>
                <w:color w:val="1C3A36"/>
                <w:sz w:val="14"/>
              </w:rPr>
              <w:t>op fy23</w:t>
            </w:r>
          </w:p>
        </w:tc>
        <w:tc>
          <w:tcPr>
            <w:tcW w:type="dxa" w:w="1440"/>
          </w:tcPr>
          <w:p>
            <w:pPr>
              <w:spacing w:after="20"/>
            </w:pPr>
            <w:r>
              <w:rPr>
                <w:color w:val="1C3A36"/>
                <w:sz w:val="14"/>
              </w:rPr>
              <w:t>2,983.249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fy24</w:t>
            </w:r>
          </w:p>
        </w:tc>
        <w:tc>
          <w:tcPr>
            <w:tcW w:type="dxa" w:w="1440"/>
          </w:tcPr>
          <w:p>
            <w:pPr>
              <w:spacing w:after="20"/>
            </w:pPr>
            <w:r>
              <w:rPr>
                <w:color w:val="1C3A36"/>
                <w:sz w:val="14"/>
              </w:rPr>
              <w:t>3,068.895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fy25</w:t>
            </w:r>
          </w:p>
        </w:tc>
        <w:tc>
          <w:tcPr>
            <w:tcW w:type="dxa" w:w="1440"/>
          </w:tcPr>
          <w:p>
            <w:pPr>
              <w:spacing w:after="20"/>
            </w:pPr>
            <w:r>
              <w:rPr>
                <w:color w:val="1C3A36"/>
                <w:sz w:val="14"/>
              </w:rPr>
              <w:t>3,505.604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h126</w:t>
            </w:r>
          </w:p>
        </w:tc>
        <w:tc>
          <w:tcPr>
            <w:tcW w:type="dxa" w:w="1440"/>
          </w:tcPr>
          <w:p>
            <w:pPr>
              <w:spacing w:after="20"/>
            </w:pPr>
            <w:r>
              <w:rPr>
                <w:color w:val="1C3A36"/>
                <w:sz w:val="14"/>
              </w:rPr>
              <w:t>2,516.642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operating profit, six months ended 30 June 2026</w:t>
            </w:r>
          </w:p>
        </w:tc>
      </w:tr>
      <w:tr>
        <w:trPr>
          <w:cantSplit/>
        </w:trPr>
        <w:tc>
          <w:tcPr>
            <w:tcW w:type="dxa" w:w="1656"/>
          </w:tcPr>
          <w:p>
            <w:pPr>
              <w:spacing w:after="20"/>
            </w:pPr>
            <w:r>
              <w:rPr>
                <w:color w:val="1C3A36"/>
                <w:sz w:val="14"/>
              </w:rPr>
              <w:t>payout</w:t>
            </w:r>
          </w:p>
        </w:tc>
        <w:tc>
          <w:tcPr>
            <w:tcW w:type="dxa" w:w="1440"/>
          </w:tcPr>
          <w:p>
            <w:pPr>
              <w:spacing w:after="20"/>
            </w:pPr>
            <w:r>
              <w:rPr>
                <w:color w:val="1C3A36"/>
                <w:sz w:val="14"/>
              </w:rPr>
              <w:t>92.00%</w:t>
            </w:r>
          </w:p>
        </w:tc>
        <w:tc>
          <w:tcPr>
            <w:tcW w:type="dxa" w:w="936"/>
          </w:tcPr>
          <w:p>
            <w:pPr>
              <w:spacing w:after="20"/>
            </w:pPr>
            <w:r>
              <w:rPr>
                <w:color w:val="1C3A36"/>
                <w:sz w:val="14"/>
              </w:rPr>
              <w:t>31 Dec 2025</w:t>
            </w:r>
          </w:p>
        </w:tc>
        <w:tc>
          <w:tcPr>
            <w:tcW w:type="dxa" w:w="6048"/>
          </w:tcPr>
          <w:p>
            <w:pPr>
              <w:spacing w:after="20"/>
            </w:pPr>
            <w:r>
              <w:rPr>
                <w:color w:val="1C3A36"/>
                <w:sz w:val="14"/>
              </w:rPr>
              <w:t>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r>
      <w:tr>
        <w:trPr>
          <w:cantSplit/>
        </w:trPr>
        <w:tc>
          <w:tcPr>
            <w:tcW w:type="dxa" w:w="1656"/>
          </w:tcPr>
          <w:p>
            <w:pPr>
              <w:spacing w:after="20"/>
            </w:pPr>
            <w:r>
              <w:rPr>
                <w:color w:val="1C3A36"/>
                <w:sz w:val="14"/>
              </w:rPr>
              <w:t>pbt fy23</w:t>
            </w:r>
          </w:p>
        </w:tc>
        <w:tc>
          <w:tcPr>
            <w:tcW w:type="dxa" w:w="1440"/>
          </w:tcPr>
          <w:p>
            <w:pPr>
              <w:spacing w:after="20"/>
            </w:pPr>
            <w:r>
              <w:rPr>
                <w:color w:val="1C3A36"/>
                <w:sz w:val="14"/>
              </w:rPr>
              <w:t>2,649.326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fy24</w:t>
            </w:r>
          </w:p>
        </w:tc>
        <w:tc>
          <w:tcPr>
            <w:tcW w:type="dxa" w:w="1440"/>
          </w:tcPr>
          <w:p>
            <w:pPr>
              <w:spacing w:after="20"/>
            </w:pPr>
            <w:r>
              <w:rPr>
                <w:color w:val="1C3A36"/>
                <w:sz w:val="14"/>
              </w:rPr>
              <w:t>2,755.677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fy25</w:t>
            </w:r>
          </w:p>
        </w:tc>
        <w:tc>
          <w:tcPr>
            <w:tcW w:type="dxa" w:w="1440"/>
          </w:tcPr>
          <w:p>
            <w:pPr>
              <w:spacing w:after="20"/>
            </w:pPr>
            <w:r>
              <w:rPr>
                <w:color w:val="1C3A36"/>
                <w:sz w:val="14"/>
              </w:rPr>
              <w:t>3,173.933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ppe fy23</w:t>
            </w:r>
          </w:p>
        </w:tc>
        <w:tc>
          <w:tcPr>
            <w:tcW w:type="dxa" w:w="1440"/>
          </w:tcPr>
          <w:p>
            <w:pPr>
              <w:spacing w:after="20"/>
            </w:pPr>
            <w:r>
              <w:rPr>
                <w:color w:val="1C3A36"/>
                <w:sz w:val="14"/>
              </w:rPr>
              <w:t>7,189.661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fy24</w:t>
            </w:r>
          </w:p>
        </w:tc>
        <w:tc>
          <w:tcPr>
            <w:tcW w:type="dxa" w:w="1440"/>
          </w:tcPr>
          <w:p>
            <w:pPr>
              <w:spacing w:after="20"/>
            </w:pPr>
            <w:r>
              <w:rPr>
                <w:color w:val="1C3A36"/>
                <w:sz w:val="14"/>
              </w:rPr>
              <w:t>7,552.178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fy25</w:t>
            </w:r>
          </w:p>
        </w:tc>
        <w:tc>
          <w:tcPr>
            <w:tcW w:type="dxa" w:w="1440"/>
          </w:tcPr>
          <w:p>
            <w:pPr>
              <w:spacing w:after="20"/>
            </w:pPr>
            <w:r>
              <w:rPr>
                <w:color w:val="1C3A36"/>
                <w:sz w:val="14"/>
              </w:rPr>
              <w:t>8,032.197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provs fy25</w:t>
            </w:r>
          </w:p>
        </w:tc>
        <w:tc>
          <w:tcPr>
            <w:tcW w:type="dxa" w:w="1440"/>
          </w:tcPr>
          <w:p>
            <w:pPr>
              <w:spacing w:after="20"/>
            </w:pPr>
            <w:r>
              <w:rPr>
                <w:color w:val="1C3A36"/>
                <w:sz w:val="14"/>
              </w:rPr>
              <w:t>453.592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provision for decommissioning 167.399 plus provision for employees' end of service benefit 207.103 plus deferred tax liability 79.090</w:t>
            </w:r>
          </w:p>
        </w:tc>
      </w:tr>
      <w:tr>
        <w:trPr>
          <w:cantSplit/>
        </w:trPr>
        <w:tc>
          <w:tcPr>
            <w:tcW w:type="dxa" w:w="1656"/>
          </w:tcPr>
          <w:p>
            <w:pPr>
              <w:spacing w:after="20"/>
            </w:pPr>
            <w:r>
              <w:rPr>
                <w:color w:val="1C3A36"/>
                <w:sz w:val="14"/>
              </w:rPr>
              <w:t>rev avi fy24</w:t>
            </w:r>
          </w:p>
        </w:tc>
        <w:tc>
          <w:tcPr>
            <w:tcW w:type="dxa" w:w="1440"/>
          </w:tcPr>
          <w:p>
            <w:pPr>
              <w:spacing w:after="20"/>
            </w:pPr>
            <w:r>
              <w:rPr>
                <w:color w:val="1C3A36"/>
                <w:sz w:val="14"/>
              </w:rPr>
              <w:t>1,570.214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aviation</w:t>
            </w:r>
          </w:p>
        </w:tc>
      </w:tr>
      <w:tr>
        <w:trPr>
          <w:cantSplit/>
        </w:trPr>
        <w:tc>
          <w:tcPr>
            <w:tcW w:type="dxa" w:w="1656"/>
          </w:tcPr>
          <w:p>
            <w:pPr>
              <w:spacing w:after="20"/>
            </w:pPr>
            <w:r>
              <w:rPr>
                <w:color w:val="1C3A36"/>
                <w:sz w:val="14"/>
              </w:rPr>
              <w:t>rev avi fy25</w:t>
            </w:r>
          </w:p>
        </w:tc>
        <w:tc>
          <w:tcPr>
            <w:tcW w:type="dxa" w:w="1440"/>
          </w:tcPr>
          <w:p>
            <w:pPr>
              <w:spacing w:after="20"/>
            </w:pPr>
            <w:r>
              <w:rPr>
                <w:color w:val="1C3A36"/>
                <w:sz w:val="14"/>
              </w:rPr>
              <w:t>1,744.201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aviation</w:t>
            </w:r>
          </w:p>
        </w:tc>
      </w:tr>
      <w:tr>
        <w:trPr>
          <w:cantSplit/>
        </w:trPr>
        <w:tc>
          <w:tcPr>
            <w:tcW w:type="dxa" w:w="1656"/>
          </w:tcPr>
          <w:p>
            <w:pPr>
              <w:spacing w:after="20"/>
            </w:pPr>
            <w:r>
              <w:rPr>
                <w:color w:val="1C3A36"/>
                <w:sz w:val="14"/>
              </w:rPr>
              <w:t>rev avi h125</w:t>
            </w:r>
          </w:p>
        </w:tc>
        <w:tc>
          <w:tcPr>
            <w:tcW w:type="dxa" w:w="1440"/>
          </w:tcPr>
          <w:p>
            <w:pPr>
              <w:spacing w:after="20"/>
            </w:pPr>
            <w:r>
              <w:rPr>
                <w:color w:val="1C3A36"/>
                <w:sz w:val="14"/>
              </w:rPr>
              <w:t>815.393</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aviation</w:t>
            </w:r>
          </w:p>
        </w:tc>
      </w:tr>
      <w:tr>
        <w:trPr>
          <w:cantSplit/>
        </w:trPr>
        <w:tc>
          <w:tcPr>
            <w:tcW w:type="dxa" w:w="1656"/>
          </w:tcPr>
          <w:p>
            <w:pPr>
              <w:spacing w:after="20"/>
            </w:pPr>
            <w:r>
              <w:rPr>
                <w:color w:val="1C3A36"/>
                <w:sz w:val="14"/>
              </w:rPr>
              <w:t>rev avi h126</w:t>
            </w:r>
          </w:p>
        </w:tc>
        <w:tc>
          <w:tcPr>
            <w:tcW w:type="dxa" w:w="1440"/>
          </w:tcPr>
          <w:p>
            <w:pPr>
              <w:spacing w:after="20"/>
            </w:pPr>
            <w:r>
              <w:rPr>
                <w:color w:val="1C3A36"/>
                <w:sz w:val="14"/>
              </w:rPr>
              <w:t>1,655.242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aviation, six months</w:t>
            </w:r>
          </w:p>
        </w:tc>
      </w:tr>
      <w:tr>
        <w:trPr>
          <w:cantSplit/>
        </w:trPr>
        <w:tc>
          <w:tcPr>
            <w:tcW w:type="dxa" w:w="1656"/>
          </w:tcPr>
          <w:p>
            <w:pPr>
              <w:spacing w:after="20"/>
            </w:pPr>
            <w:r>
              <w:rPr>
                <w:color w:val="1C3A36"/>
                <w:sz w:val="14"/>
              </w:rPr>
              <w:t>rev corp fy24</w:t>
            </w:r>
          </w:p>
        </w:tc>
        <w:tc>
          <w:tcPr>
            <w:tcW w:type="dxa" w:w="1440"/>
          </w:tcPr>
          <w:p>
            <w:pPr>
              <w:spacing w:after="20"/>
            </w:pPr>
            <w:r>
              <w:rPr>
                <w:color w:val="1C3A36"/>
                <w:sz w:val="14"/>
              </w:rPr>
              <w:t>10,084.840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corporate</w:t>
            </w:r>
          </w:p>
        </w:tc>
      </w:tr>
      <w:tr>
        <w:trPr>
          <w:cantSplit/>
        </w:trPr>
        <w:tc>
          <w:tcPr>
            <w:tcW w:type="dxa" w:w="1656"/>
          </w:tcPr>
          <w:p>
            <w:pPr>
              <w:spacing w:after="20"/>
            </w:pPr>
            <w:r>
              <w:rPr>
                <w:color w:val="1C3A36"/>
                <w:sz w:val="14"/>
              </w:rPr>
              <w:t>rev corp fy25</w:t>
            </w:r>
          </w:p>
        </w:tc>
        <w:tc>
          <w:tcPr>
            <w:tcW w:type="dxa" w:w="1440"/>
          </w:tcPr>
          <w:p>
            <w:pPr>
              <w:spacing w:after="20"/>
            </w:pPr>
            <w:r>
              <w:rPr>
                <w:color w:val="1C3A36"/>
                <w:sz w:val="14"/>
              </w:rPr>
              <w:t>9,571.682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corporate</w:t>
            </w:r>
          </w:p>
        </w:tc>
      </w:tr>
      <w:tr>
        <w:trPr>
          <w:cantSplit/>
        </w:trPr>
        <w:tc>
          <w:tcPr>
            <w:tcW w:type="dxa" w:w="1656"/>
          </w:tcPr>
          <w:p>
            <w:pPr>
              <w:spacing w:after="20"/>
            </w:pPr>
            <w:r>
              <w:rPr>
                <w:color w:val="1C3A36"/>
                <w:sz w:val="14"/>
              </w:rPr>
              <w:t>rev corp h125</w:t>
            </w:r>
          </w:p>
        </w:tc>
        <w:tc>
          <w:tcPr>
            <w:tcW w:type="dxa" w:w="1440"/>
          </w:tcPr>
          <w:p>
            <w:pPr>
              <w:spacing w:after="20"/>
            </w:pPr>
            <w:r>
              <w:rPr>
                <w:color w:val="1C3A36"/>
                <w:sz w:val="14"/>
              </w:rPr>
              <w:t>4,685.586</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corporate</w:t>
            </w:r>
          </w:p>
        </w:tc>
      </w:tr>
      <w:tr>
        <w:trPr>
          <w:cantSplit/>
        </w:trPr>
        <w:tc>
          <w:tcPr>
            <w:tcW w:type="dxa" w:w="1656"/>
          </w:tcPr>
          <w:p>
            <w:pPr>
              <w:spacing w:after="20"/>
            </w:pPr>
            <w:r>
              <w:rPr>
                <w:color w:val="1C3A36"/>
                <w:sz w:val="14"/>
              </w:rPr>
              <w:t>rev corp h126</w:t>
            </w:r>
          </w:p>
        </w:tc>
        <w:tc>
          <w:tcPr>
            <w:tcW w:type="dxa" w:w="1440"/>
          </w:tcPr>
          <w:p>
            <w:pPr>
              <w:spacing w:after="20"/>
            </w:pPr>
            <w:r>
              <w:rPr>
                <w:color w:val="1C3A36"/>
                <w:sz w:val="14"/>
              </w:rPr>
              <w:t>6,282.376</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corporate, six months</w:t>
            </w:r>
          </w:p>
        </w:tc>
      </w:tr>
      <w:tr>
        <w:trPr>
          <w:cantSplit/>
        </w:trPr>
        <w:tc>
          <w:tcPr>
            <w:tcW w:type="dxa" w:w="1656"/>
          </w:tcPr>
          <w:p>
            <w:pPr>
              <w:spacing w:after="20"/>
            </w:pPr>
            <w:r>
              <w:rPr>
                <w:color w:val="1C3A36"/>
                <w:sz w:val="14"/>
              </w:rPr>
              <w:t>rev fy22</w:t>
            </w:r>
          </w:p>
        </w:tc>
        <w:tc>
          <w:tcPr>
            <w:tcW w:type="dxa" w:w="1440"/>
          </w:tcPr>
          <w:p>
            <w:pPr>
              <w:spacing w:after="20"/>
            </w:pPr>
            <w:r>
              <w:rPr>
                <w:color w:val="1C3A36"/>
                <w:sz w:val="14"/>
              </w:rPr>
              <w:t>32,111.061</w:t>
            </w:r>
          </w:p>
        </w:tc>
        <w:tc>
          <w:tcPr>
            <w:tcW w:type="dxa" w:w="936"/>
          </w:tcPr>
          <w:p>
            <w:pPr>
              <w:spacing w:after="20"/>
            </w:pPr>
            <w:r>
              <w:rPr>
                <w:color w:val="1C3A36"/>
                <w:sz w:val="14"/>
              </w:rPr>
              <w:t>31 Dec 2022</w:t>
            </w:r>
          </w:p>
        </w:tc>
        <w:tc>
          <w:tcPr>
            <w:tcW w:type="dxa" w:w="6048"/>
          </w:tcPr>
          <w:p>
            <w:pPr>
              <w:spacing w:after="20"/>
            </w:pPr>
            <w:r>
              <w:rPr>
                <w:color w:val="1C3A36"/>
                <w:sz w:val="14"/>
              </w:rPr>
              <w:t>Abu Dhabi National Oil Company for Distribution PJSC, audited consolidated financial statements for the year ended 31 December 2023, FY2022 comparative column</w:t>
            </w:r>
          </w:p>
        </w:tc>
      </w:tr>
      <w:tr>
        <w:trPr>
          <w:cantSplit/>
        </w:trPr>
        <w:tc>
          <w:tcPr>
            <w:tcW w:type="dxa" w:w="1656"/>
          </w:tcPr>
          <w:p>
            <w:pPr>
              <w:spacing w:after="20"/>
            </w:pPr>
            <w:r>
              <w:rPr>
                <w:color w:val="1C3A36"/>
                <w:sz w:val="14"/>
              </w:rPr>
              <w:t>rev fy23</w:t>
            </w:r>
          </w:p>
        </w:tc>
        <w:tc>
          <w:tcPr>
            <w:tcW w:type="dxa" w:w="1440"/>
          </w:tcPr>
          <w:p>
            <w:pPr>
              <w:spacing w:after="20"/>
            </w:pPr>
            <w:r>
              <w:rPr>
                <w:color w:val="1C3A36"/>
                <w:sz w:val="14"/>
              </w:rPr>
              <w:t>34,629.178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w:t>
            </w:r>
          </w:p>
        </w:tc>
      </w:tr>
      <w:tr>
        <w:trPr>
          <w:cantSplit/>
        </w:trPr>
        <w:tc>
          <w:tcPr>
            <w:tcW w:type="dxa" w:w="1656"/>
          </w:tcPr>
          <w:p>
            <w:pPr>
              <w:spacing w:after="20"/>
            </w:pPr>
            <w:r>
              <w:rPr>
                <w:color w:val="1C3A36"/>
                <w:sz w:val="14"/>
              </w:rPr>
              <w:t>rev fy24</w:t>
            </w:r>
          </w:p>
        </w:tc>
        <w:tc>
          <w:tcPr>
            <w:tcW w:type="dxa" w:w="1440"/>
          </w:tcPr>
          <w:p>
            <w:pPr>
              <w:spacing w:after="20"/>
            </w:pPr>
            <w:r>
              <w:rPr>
                <w:color w:val="1C3A36"/>
                <w:sz w:val="14"/>
              </w:rPr>
              <w:t>35,453.716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rev fy25</w:t>
            </w:r>
          </w:p>
        </w:tc>
        <w:tc>
          <w:tcPr>
            <w:tcW w:type="dxa" w:w="1440"/>
          </w:tcPr>
          <w:p>
            <w:pPr>
              <w:spacing w:after="20"/>
            </w:pPr>
            <w:r>
              <w:rPr>
                <w:color w:val="1C3A36"/>
                <w:sz w:val="14"/>
              </w:rPr>
              <w:t>35,896.617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rev h126</w:t>
            </w:r>
          </w:p>
        </w:tc>
        <w:tc>
          <w:tcPr>
            <w:tcW w:type="dxa" w:w="1440"/>
          </w:tcPr>
          <w:p>
            <w:pPr>
              <w:spacing w:after="20"/>
            </w:pPr>
            <w:r>
              <w:rPr>
                <w:color w:val="1C3A36"/>
                <w:sz w:val="14"/>
              </w:rPr>
              <w:t>22,035.004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six months ended 30 June 2026</w:t>
            </w:r>
          </w:p>
        </w:tc>
      </w:tr>
      <w:tr>
        <w:trPr>
          <w:cantSplit/>
        </w:trPr>
        <w:tc>
          <w:tcPr>
            <w:tcW w:type="dxa" w:w="1656"/>
          </w:tcPr>
          <w:p>
            <w:pPr>
              <w:spacing w:after="20"/>
            </w:pPr>
            <w:r>
              <w:rPr>
                <w:color w:val="1C3A36"/>
                <w:sz w:val="14"/>
              </w:rPr>
              <w:t>rev nonfuel fy24</w:t>
            </w:r>
          </w:p>
        </w:tc>
        <w:tc>
          <w:tcPr>
            <w:tcW w:type="dxa" w:w="1440"/>
          </w:tcPr>
          <w:p>
            <w:pPr>
              <w:spacing w:after="20"/>
            </w:pPr>
            <w:r>
              <w:rPr>
                <w:color w:val="1C3A36"/>
                <w:sz w:val="14"/>
              </w:rPr>
              <w:t>1,575.410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non-fuel</w:t>
            </w:r>
          </w:p>
        </w:tc>
      </w:tr>
      <w:tr>
        <w:trPr>
          <w:cantSplit/>
        </w:trPr>
        <w:tc>
          <w:tcPr>
            <w:tcW w:type="dxa" w:w="1656"/>
          </w:tcPr>
          <w:p>
            <w:pPr>
              <w:spacing w:after="20"/>
            </w:pPr>
            <w:r>
              <w:rPr>
                <w:color w:val="1C3A36"/>
                <w:sz w:val="14"/>
              </w:rPr>
              <w:t>rev nonfuel fy25</w:t>
            </w:r>
          </w:p>
        </w:tc>
        <w:tc>
          <w:tcPr>
            <w:tcW w:type="dxa" w:w="1440"/>
          </w:tcPr>
          <w:p>
            <w:pPr>
              <w:spacing w:after="20"/>
            </w:pPr>
            <w:r>
              <w:rPr>
                <w:color w:val="1C3A36"/>
                <w:sz w:val="14"/>
              </w:rPr>
              <w:t>1,783.747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non-fuel</w:t>
            </w:r>
          </w:p>
        </w:tc>
      </w:tr>
      <w:tr>
        <w:trPr>
          <w:cantSplit/>
        </w:trPr>
        <w:tc>
          <w:tcPr>
            <w:tcW w:type="dxa" w:w="1656"/>
          </w:tcPr>
          <w:p>
            <w:pPr>
              <w:spacing w:after="20"/>
            </w:pPr>
            <w:r>
              <w:rPr>
                <w:color w:val="1C3A36"/>
                <w:sz w:val="14"/>
              </w:rPr>
              <w:t>rev nonfuel g</w:t>
            </w:r>
          </w:p>
        </w:tc>
        <w:tc>
          <w:tcPr>
            <w:tcW w:type="dxa" w:w="1440"/>
          </w:tcPr>
          <w:p>
            <w:pPr>
              <w:spacing w:after="20"/>
            </w:pPr>
            <w:r>
              <w:rPr>
                <w:color w:val="1C3A36"/>
                <w:sz w:val="14"/>
              </w:rPr>
              <w:t>10.00%, 10.00%, 9.00%, 8.00%, 8.00%</w:t>
            </w:r>
          </w:p>
        </w:tc>
        <w:tc>
          <w:tcPr>
            <w:tcW w:type="dxa" w:w="936"/>
          </w:tcPr>
          <w:p>
            <w:pPr>
              <w:spacing w:after="20"/>
            </w:pPr>
            <w:r>
              <w:rPr>
                <w:color w:val="1C3A36"/>
                <w:sz w:val="14"/>
              </w:rPr>
              <w:t>5 Aug 2026</w:t>
            </w:r>
          </w:p>
        </w:tc>
        <w:tc>
          <w:tcPr>
            <w:tcW w:type="dxa" w:w="6048"/>
          </w:tcPr>
          <w:p>
            <w:pPr>
              <w:spacing w:after="20"/>
            </w:pPr>
            <w:r>
              <w:rPr>
                <w:color w:val="1C3A36"/>
                <w:sz w:val="14"/>
              </w:rPr>
              <w:t>Non-fuel retail revenue growth, driven by transactions and store format rather than by fuel. The company's own medium-term target is to double non-fuel transactions between 2023 and 2030, which is 10.4% a year compounded; the forecast takes that rate for two years and then fades it. Supporting evidence: 16 new properties opened in the first half of 2026 against 8 a year earlier, a partnership announced with Americana Restaurants for up to 200 quick-service restaurants, and 30 large-format sites planned by 2030 of which seven are open</w:t>
            </w:r>
          </w:p>
        </w:tc>
      </w:tr>
      <w:tr>
        <w:trPr>
          <w:cantSplit/>
        </w:trPr>
        <w:tc>
          <w:tcPr>
            <w:tcW w:type="dxa" w:w="1656"/>
          </w:tcPr>
          <w:p>
            <w:pPr>
              <w:spacing w:after="20"/>
            </w:pPr>
            <w:r>
              <w:rPr>
                <w:color w:val="1C3A36"/>
                <w:sz w:val="14"/>
              </w:rPr>
              <w:t>rev nonfuel h125</w:t>
            </w:r>
          </w:p>
        </w:tc>
        <w:tc>
          <w:tcPr>
            <w:tcW w:type="dxa" w:w="1440"/>
          </w:tcPr>
          <w:p>
            <w:pPr>
              <w:spacing w:after="20"/>
            </w:pPr>
            <w:r>
              <w:rPr>
                <w:color w:val="1C3A36"/>
                <w:sz w:val="14"/>
              </w:rPr>
              <w:t>838.658</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non-fuel</w:t>
            </w:r>
          </w:p>
        </w:tc>
      </w:tr>
      <w:tr>
        <w:trPr>
          <w:cantSplit/>
        </w:trPr>
        <w:tc>
          <w:tcPr>
            <w:tcW w:type="dxa" w:w="1656"/>
          </w:tcPr>
          <w:p>
            <w:pPr>
              <w:spacing w:after="20"/>
            </w:pPr>
            <w:r>
              <w:rPr>
                <w:color w:val="1C3A36"/>
                <w:sz w:val="14"/>
              </w:rPr>
              <w:t>rev nonfuel h126</w:t>
            </w:r>
          </w:p>
        </w:tc>
        <w:tc>
          <w:tcPr>
            <w:tcW w:type="dxa" w:w="1440"/>
          </w:tcPr>
          <w:p>
            <w:pPr>
              <w:spacing w:after="20"/>
            </w:pPr>
            <w:r>
              <w:rPr>
                <w:color w:val="1C3A36"/>
                <w:sz w:val="14"/>
              </w:rPr>
              <w:t>927.421</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non-fuel, six months</w:t>
            </w:r>
          </w:p>
        </w:tc>
      </w:tr>
      <w:tr>
        <w:trPr>
          <w:cantSplit/>
        </w:trPr>
        <w:tc>
          <w:tcPr>
            <w:tcW w:type="dxa" w:w="1656"/>
          </w:tcPr>
          <w:p>
            <w:pPr>
              <w:spacing w:after="20"/>
            </w:pPr>
            <w:r>
              <w:rPr>
                <w:color w:val="1C3A36"/>
                <w:sz w:val="14"/>
              </w:rPr>
              <w:t>rev q126</w:t>
            </w:r>
          </w:p>
        </w:tc>
        <w:tc>
          <w:tcPr>
            <w:tcW w:type="dxa" w:w="1440"/>
          </w:tcPr>
          <w:p>
            <w:pPr>
              <w:spacing w:after="20"/>
            </w:pPr>
            <w:r>
              <w:rPr>
                <w:color w:val="1C3A36"/>
                <w:sz w:val="14"/>
              </w:rPr>
              <w:t>8,833.596</w:t>
            </w:r>
          </w:p>
        </w:tc>
        <w:tc>
          <w:tcPr>
            <w:tcW w:type="dxa" w:w="936"/>
          </w:tcPr>
          <w:p>
            <w:pPr>
              <w:spacing w:after="20"/>
            </w:pPr>
            <w:r>
              <w:rPr>
                <w:color w:val="1C3A36"/>
                <w:sz w:val="14"/>
              </w:rPr>
              <w:t>31 Mar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for the six months 22,035.004 less the three months ended 30 June 13,201.408</w:t>
            </w:r>
          </w:p>
        </w:tc>
      </w:tr>
      <w:tr>
        <w:trPr>
          <w:cantSplit/>
        </w:trPr>
        <w:tc>
          <w:tcPr>
            <w:tcW w:type="dxa" w:w="1656"/>
          </w:tcPr>
          <w:p>
            <w:pPr>
              <w:spacing w:after="20"/>
            </w:pPr>
            <w:r>
              <w:rPr>
                <w:color w:val="1C3A36"/>
                <w:sz w:val="14"/>
              </w:rPr>
              <w:t>rev retfuel fy24</w:t>
            </w:r>
          </w:p>
        </w:tc>
        <w:tc>
          <w:tcPr>
            <w:tcW w:type="dxa" w:w="1440"/>
          </w:tcPr>
          <w:p>
            <w:pPr>
              <w:spacing w:after="20"/>
            </w:pPr>
            <w:r>
              <w:rPr>
                <w:color w:val="1C3A36"/>
                <w:sz w:val="14"/>
              </w:rPr>
              <w:t>22,223.252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fuel</w:t>
            </w:r>
          </w:p>
        </w:tc>
      </w:tr>
      <w:tr>
        <w:trPr>
          <w:cantSplit/>
        </w:trPr>
        <w:tc>
          <w:tcPr>
            <w:tcW w:type="dxa" w:w="1656"/>
          </w:tcPr>
          <w:p>
            <w:pPr>
              <w:spacing w:after="20"/>
            </w:pPr>
            <w:r>
              <w:rPr>
                <w:color w:val="1C3A36"/>
                <w:sz w:val="14"/>
              </w:rPr>
              <w:t>rev retfuel fy25</w:t>
            </w:r>
          </w:p>
        </w:tc>
        <w:tc>
          <w:tcPr>
            <w:tcW w:type="dxa" w:w="1440"/>
          </w:tcPr>
          <w:p>
            <w:pPr>
              <w:spacing w:after="20"/>
            </w:pPr>
            <w:r>
              <w:rPr>
                <w:color w:val="1C3A36"/>
                <w:sz w:val="14"/>
              </w:rPr>
              <w:t>22,796.987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fuel</w:t>
            </w:r>
          </w:p>
        </w:tc>
      </w:tr>
      <w:tr>
        <w:trPr>
          <w:cantSplit/>
        </w:trPr>
        <w:tc>
          <w:tcPr>
            <w:tcW w:type="dxa" w:w="1656"/>
          </w:tcPr>
          <w:p>
            <w:pPr>
              <w:spacing w:after="20"/>
            </w:pPr>
            <w:r>
              <w:rPr>
                <w:color w:val="1C3A36"/>
                <w:sz w:val="14"/>
              </w:rPr>
              <w:t>rev retfuel h125</w:t>
            </w:r>
          </w:p>
        </w:tc>
        <w:tc>
          <w:tcPr>
            <w:tcW w:type="dxa" w:w="1440"/>
          </w:tcPr>
          <w:p>
            <w:pPr>
              <w:spacing w:after="20"/>
            </w:pPr>
            <w:r>
              <w:rPr>
                <w:color w:val="1C3A36"/>
                <w:sz w:val="14"/>
              </w:rPr>
              <w:t>10,771.947</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fuel</w:t>
            </w:r>
          </w:p>
        </w:tc>
      </w:tr>
      <w:tr>
        <w:trPr>
          <w:cantSplit/>
        </w:trPr>
        <w:tc>
          <w:tcPr>
            <w:tcW w:type="dxa" w:w="1656"/>
          </w:tcPr>
          <w:p>
            <w:pPr>
              <w:spacing w:after="20"/>
            </w:pPr>
            <w:r>
              <w:rPr>
                <w:color w:val="1C3A36"/>
                <w:sz w:val="14"/>
              </w:rPr>
              <w:t>rev retfuel h126</w:t>
            </w:r>
          </w:p>
        </w:tc>
        <w:tc>
          <w:tcPr>
            <w:tcW w:type="dxa" w:w="1440"/>
          </w:tcPr>
          <w:p>
            <w:pPr>
              <w:spacing w:after="20"/>
            </w:pPr>
            <w:r>
              <w:rPr>
                <w:color w:val="1C3A36"/>
                <w:sz w:val="14"/>
              </w:rPr>
              <w:t>13,169.965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fuel, six months</w:t>
            </w:r>
          </w:p>
        </w:tc>
      </w:tr>
      <w:tr>
        <w:trPr>
          <w:cantSplit/>
        </w:trPr>
        <w:tc>
          <w:tcPr>
            <w:tcW w:type="dxa" w:w="1656"/>
          </w:tcPr>
          <w:p>
            <w:pPr>
              <w:spacing w:after="20"/>
            </w:pPr>
            <w:r>
              <w:rPr>
                <w:color w:val="1C3A36"/>
                <w:sz w:val="14"/>
              </w:rPr>
              <w:t>roic terminal</w:t>
            </w:r>
          </w:p>
        </w:tc>
        <w:tc>
          <w:tcPr>
            <w:tcW w:type="dxa" w:w="1440"/>
          </w:tcPr>
          <w:p>
            <w:pPr>
              <w:spacing w:after="20"/>
            </w:pPr>
            <w:r>
              <w:rPr>
                <w:color w:val="1C3A36"/>
                <w:sz w:val="14"/>
              </w:rPr>
              <w:t>25.00%</w:t>
            </w:r>
          </w:p>
        </w:tc>
        <w:tc>
          <w:tcPr>
            <w:tcW w:type="dxa" w:w="936"/>
          </w:tcPr>
          <w:p>
            <w:pPr>
              <w:spacing w:after="20"/>
            </w:pPr>
            <w:r>
              <w:rPr>
                <w:color w:val="1C3A36"/>
                <w:sz w:val="14"/>
              </w:rPr>
              <w:t>5 Aug 2026</w:t>
            </w:r>
          </w:p>
        </w:tc>
        <w:tc>
          <w:tcPr>
            <w:tcW w:type="dxa" w:w="6048"/>
          </w:tcPr>
          <w:p>
            <w:pPr>
              <w:spacing w:after="20"/>
            </w:pPr>
            <w:r>
              <w:rPr>
                <w:color w:val="1C3A36"/>
                <w:sz w:val="14"/>
              </w:rPr>
              <w:t>Terminal return on invested capital. The company earned a 32.7% return on capital employed in FY2025 and 40.1% in the first half of 2026 on its own measure; the terminal figure fades that toward a level a mature, more capital-intensive network would sustain</w:t>
            </w:r>
          </w:p>
        </w:tc>
      </w:tr>
      <w:tr>
        <w:trPr>
          <w:cantSplit/>
        </w:trPr>
        <w:tc>
          <w:tcPr>
            <w:tcW w:type="dxa" w:w="1656"/>
          </w:tcPr>
          <w:p>
            <w:pPr>
              <w:spacing w:after="20"/>
            </w:pPr>
            <w:r>
              <w:rPr>
                <w:color w:val="1C3A36"/>
                <w:sz w:val="14"/>
              </w:rPr>
              <w:t>rou fy23</w:t>
            </w:r>
          </w:p>
        </w:tc>
        <w:tc>
          <w:tcPr>
            <w:tcW w:type="dxa" w:w="1440"/>
          </w:tcPr>
          <w:p>
            <w:pPr>
              <w:spacing w:after="20"/>
            </w:pPr>
            <w:r>
              <w:rPr>
                <w:color w:val="1C3A36"/>
                <w:sz w:val="14"/>
              </w:rPr>
              <w:t>1,778.418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fy24</w:t>
            </w:r>
          </w:p>
        </w:tc>
        <w:tc>
          <w:tcPr>
            <w:tcW w:type="dxa" w:w="1440"/>
          </w:tcPr>
          <w:p>
            <w:pPr>
              <w:spacing w:after="20"/>
            </w:pPr>
            <w:r>
              <w:rPr>
                <w:color w:val="1C3A36"/>
                <w:sz w:val="14"/>
              </w:rPr>
              <w:t>1,726.351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fy25</w:t>
            </w:r>
          </w:p>
        </w:tc>
        <w:tc>
          <w:tcPr>
            <w:tcW w:type="dxa" w:w="1440"/>
          </w:tcPr>
          <w:p>
            <w:pPr>
              <w:spacing w:after="20"/>
            </w:pPr>
            <w:r>
              <w:rPr>
                <w:color w:val="1C3A36"/>
                <w:sz w:val="14"/>
              </w:rPr>
              <w:t>1,445.804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shares mn</w:t>
            </w:r>
          </w:p>
        </w:tc>
        <w:tc>
          <w:tcPr>
            <w:tcW w:type="dxa" w:w="1440"/>
          </w:tcPr>
          <w:p>
            <w:pPr>
              <w:spacing w:after="20"/>
            </w:pPr>
            <w:r>
              <w:rPr>
                <w:color w:val="1C3A36"/>
                <w:sz w:val="14"/>
              </w:rPr>
              <w:t>12,500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share capital note: AED 1,000,000 thousand of issued capital in shares of AED 0.08 each</w:t>
            </w:r>
          </w:p>
        </w:tc>
      </w:tr>
      <w:tr>
        <w:trPr>
          <w:cantSplit/>
        </w:trPr>
        <w:tc>
          <w:tcPr>
            <w:tcW w:type="dxa" w:w="1656"/>
          </w:tcPr>
          <w:p>
            <w:pPr>
              <w:spacing w:after="20"/>
            </w:pPr>
            <w:r>
              <w:rPr>
                <w:color w:val="1C3A36"/>
                <w:sz w:val="14"/>
              </w:rPr>
              <w:t>stations egy h126</w:t>
            </w:r>
          </w:p>
        </w:tc>
        <w:tc>
          <w:tcPr>
            <w:tcW w:type="dxa" w:w="1440"/>
          </w:tcPr>
          <w:p>
            <w:pPr>
              <w:spacing w:after="20"/>
            </w:pPr>
            <w:r>
              <w:rPr>
                <w:color w:val="1C3A36"/>
                <w:sz w:val="14"/>
              </w:rPr>
              <w:t>245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Egypt</w:t>
            </w:r>
          </w:p>
        </w:tc>
      </w:tr>
      <w:tr>
        <w:trPr>
          <w:cantSplit/>
        </w:trPr>
        <w:tc>
          <w:tcPr>
            <w:tcW w:type="dxa" w:w="1656"/>
          </w:tcPr>
          <w:p>
            <w:pPr>
              <w:spacing w:after="20"/>
            </w:pPr>
            <w:r>
              <w:rPr>
                <w:color w:val="1C3A36"/>
                <w:sz w:val="14"/>
              </w:rPr>
              <w:t>stations fy25</w:t>
            </w:r>
          </w:p>
        </w:tc>
        <w:tc>
          <w:tcPr>
            <w:tcW w:type="dxa" w:w="1440"/>
          </w:tcPr>
          <w:p>
            <w:pPr>
              <w:spacing w:after="20"/>
            </w:pPr>
            <w:r>
              <w:rPr>
                <w:color w:val="1C3A36"/>
                <w:sz w:val="14"/>
              </w:rPr>
              <w:t>1,010</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total stations network: 567 UAE, 199 Saudi Arabia, 244 Egypt</w:t>
            </w:r>
          </w:p>
        </w:tc>
      </w:tr>
      <w:tr>
        <w:trPr>
          <w:cantSplit/>
        </w:trPr>
        <w:tc>
          <w:tcPr>
            <w:tcW w:type="dxa" w:w="1656"/>
          </w:tcPr>
          <w:p>
            <w:pPr>
              <w:spacing w:after="20"/>
            </w:pPr>
            <w:r>
              <w:rPr>
                <w:color w:val="1C3A36"/>
                <w:sz w:val="14"/>
              </w:rPr>
              <w:t>stations h125</w:t>
            </w:r>
          </w:p>
        </w:tc>
        <w:tc>
          <w:tcPr>
            <w:tcW w:type="dxa" w:w="1440"/>
          </w:tcPr>
          <w:p>
            <w:pPr>
              <w:spacing w:after="20"/>
            </w:pPr>
            <w:r>
              <w:rPr>
                <w:color w:val="1C3A36"/>
                <w:sz w:val="14"/>
              </w:rPr>
              <w:t>939</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total service stations, prior-period comparative</w:t>
            </w:r>
          </w:p>
        </w:tc>
      </w:tr>
      <w:tr>
        <w:trPr>
          <w:cantSplit/>
        </w:trPr>
        <w:tc>
          <w:tcPr>
            <w:tcW w:type="dxa" w:w="1656"/>
          </w:tcPr>
          <w:p>
            <w:pPr>
              <w:spacing w:after="20"/>
            </w:pPr>
            <w:r>
              <w:rPr>
                <w:color w:val="1C3A36"/>
                <w:sz w:val="14"/>
              </w:rPr>
              <w:t>stations h126</w:t>
            </w:r>
          </w:p>
        </w:tc>
        <w:tc>
          <w:tcPr>
            <w:tcW w:type="dxa" w:w="1440"/>
          </w:tcPr>
          <w:p>
            <w:pPr>
              <w:spacing w:after="20"/>
            </w:pPr>
            <w:r>
              <w:rPr>
                <w:color w:val="1C3A36"/>
                <w:sz w:val="14"/>
              </w:rPr>
              <w:t>1,045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stations network: 569 UAE, 231 Saudi Arabia, 245 Egypt</w:t>
            </w:r>
          </w:p>
        </w:tc>
      </w:tr>
      <w:tr>
        <w:trPr>
          <w:cantSplit/>
        </w:trPr>
        <w:tc>
          <w:tcPr>
            <w:tcW w:type="dxa" w:w="1656"/>
          </w:tcPr>
          <w:p>
            <w:pPr>
              <w:spacing w:after="20"/>
            </w:pPr>
            <w:r>
              <w:rPr>
                <w:color w:val="1C3A36"/>
                <w:sz w:val="14"/>
              </w:rPr>
              <w:t>stations ksa h126</w:t>
            </w:r>
          </w:p>
        </w:tc>
        <w:tc>
          <w:tcPr>
            <w:tcW w:type="dxa" w:w="1440"/>
          </w:tcPr>
          <w:p>
            <w:pPr>
              <w:spacing w:after="20"/>
            </w:pPr>
            <w:r>
              <w:rPr>
                <w:color w:val="1C3A36"/>
                <w:sz w:val="14"/>
              </w:rPr>
              <w:t>231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Saudi Arabia</w:t>
            </w:r>
          </w:p>
        </w:tc>
      </w:tr>
      <w:tr>
        <w:trPr>
          <w:cantSplit/>
        </w:trPr>
        <w:tc>
          <w:tcPr>
            <w:tcW w:type="dxa" w:w="1656"/>
          </w:tcPr>
          <w:p>
            <w:pPr>
              <w:spacing w:after="20"/>
            </w:pPr>
            <w:r>
              <w:rPr>
                <w:color w:val="1C3A36"/>
                <w:sz w:val="14"/>
              </w:rPr>
              <w:t>stations uae h126</w:t>
            </w:r>
          </w:p>
        </w:tc>
        <w:tc>
          <w:tcPr>
            <w:tcW w:type="dxa" w:w="1440"/>
          </w:tcPr>
          <w:p>
            <w:pPr>
              <w:spacing w:after="20"/>
            </w:pPr>
            <w:r>
              <w:rPr>
                <w:color w:val="1C3A36"/>
                <w:sz w:val="14"/>
              </w:rPr>
              <w:t>569</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UAE</w:t>
            </w:r>
          </w:p>
        </w:tc>
      </w:tr>
      <w:tr>
        <w:trPr>
          <w:cantSplit/>
        </w:trPr>
        <w:tc>
          <w:tcPr>
            <w:tcW w:type="dxa" w:w="1656"/>
          </w:tcPr>
          <w:p>
            <w:pPr>
              <w:spacing w:after="20"/>
            </w:pPr>
            <w:r>
              <w:rPr>
                <w:color w:val="1C3A36"/>
                <w:sz w:val="14"/>
              </w:rPr>
              <w:t>ta fy23</w:t>
            </w:r>
          </w:p>
        </w:tc>
        <w:tc>
          <w:tcPr>
            <w:tcW w:type="dxa" w:w="1440"/>
          </w:tcPr>
          <w:p>
            <w:pPr>
              <w:spacing w:after="20"/>
            </w:pPr>
            <w:r>
              <w:rPr>
                <w:color w:val="1C3A36"/>
                <w:sz w:val="14"/>
              </w:rPr>
              <w:t>18,891.629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fy24</w:t>
            </w:r>
          </w:p>
        </w:tc>
        <w:tc>
          <w:tcPr>
            <w:tcW w:type="dxa" w:w="1440"/>
          </w:tcPr>
          <w:p>
            <w:pPr>
              <w:spacing w:after="20"/>
            </w:pPr>
            <w:r>
              <w:rPr>
                <w:color w:val="1C3A36"/>
                <w:sz w:val="14"/>
              </w:rPr>
              <w:t>18,180.794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fy25</w:t>
            </w:r>
          </w:p>
        </w:tc>
        <w:tc>
          <w:tcPr>
            <w:tcW w:type="dxa" w:w="1440"/>
          </w:tcPr>
          <w:p>
            <w:pPr>
              <w:spacing w:after="20"/>
            </w:pPr>
            <w:r>
              <w:rPr>
                <w:color w:val="1C3A36"/>
                <w:sz w:val="14"/>
              </w:rPr>
              <w:t>17,675.365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assets</w:t>
            </w:r>
          </w:p>
        </w:tc>
      </w:tr>
      <w:tr>
        <w:trPr>
          <w:cantSplit/>
        </w:trPr>
        <w:tc>
          <w:tcPr>
            <w:tcW w:type="dxa" w:w="1656"/>
          </w:tcPr>
          <w:p>
            <w:pPr>
              <w:spacing w:after="20"/>
            </w:pPr>
            <w:r>
              <w:rPr>
                <w:color w:val="1C3A36"/>
                <w:sz w:val="14"/>
              </w:rPr>
              <w:t>tax effective</w:t>
            </w:r>
          </w:p>
        </w:tc>
        <w:tc>
          <w:tcPr>
            <w:tcW w:type="dxa" w:w="1440"/>
          </w:tcPr>
          <w:p>
            <w:pPr>
              <w:spacing w:after="20"/>
            </w:pPr>
            <w:r>
              <w:rPr>
                <w:color w:val="1C3A36"/>
                <w:sz w:val="14"/>
              </w:rPr>
              <w:t>10.17%</w:t>
            </w:r>
          </w:p>
        </w:tc>
        <w:tc>
          <w:tcPr>
            <w:tcW w:type="dxa" w:w="936"/>
          </w:tcPr>
          <w:p>
            <w:pPr>
              <w:spacing w:after="20"/>
            </w:pPr>
            <w:r>
              <w:rPr>
                <w:color w:val="1C3A36"/>
                <w:sz w:val="14"/>
              </w:rPr>
              <w:t>31 Dec 2025</w:t>
            </w:r>
          </w:p>
        </w:tc>
        <w:tc>
          <w:tcPr>
            <w:tcW w:type="dxa" w:w="6048"/>
          </w:tcPr>
          <w:p>
            <w:pPr>
              <w:spacing w:after="20"/>
            </w:pPr>
            <w:r>
              <w:rPr>
                <w:color w:val="1C3A36"/>
                <w:sz w:val="14"/>
              </w:rPr>
              <w:t>Computed from the audited filings: income tax expense of AED 322.891 million over profit before tax of AED 3,173.933 million in FY2025, above the 9% federal rate because the Egyptian subsidiary is taxed at a higher rate</w:t>
            </w:r>
          </w:p>
        </w:tc>
      </w:tr>
      <w:tr>
        <w:trPr>
          <w:cantSplit/>
        </w:trPr>
        <w:tc>
          <w:tcPr>
            <w:tcW w:type="dxa" w:w="1656"/>
          </w:tcPr>
          <w:p>
            <w:pPr>
              <w:spacing w:after="20"/>
            </w:pPr>
            <w:r>
              <w:rPr>
                <w:color w:val="1C3A36"/>
                <w:sz w:val="14"/>
              </w:rPr>
              <w:t>tax fy23</w:t>
            </w:r>
          </w:p>
        </w:tc>
        <w:tc>
          <w:tcPr>
            <w:tcW w:type="dxa" w:w="1440"/>
          </w:tcPr>
          <w:p>
            <w:pPr>
              <w:spacing w:after="20"/>
            </w:pPr>
            <w:r>
              <w:rPr>
                <w:color w:val="1C3A36"/>
                <w:sz w:val="14"/>
              </w:rPr>
              <w:t>18.837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fy24</w:t>
            </w:r>
          </w:p>
        </w:tc>
        <w:tc>
          <w:tcPr>
            <w:tcW w:type="dxa" w:w="1440"/>
          </w:tcPr>
          <w:p>
            <w:pPr>
              <w:spacing w:after="20"/>
            </w:pPr>
            <w:r>
              <w:rPr>
                <w:color w:val="1C3A36"/>
                <w:sz w:val="14"/>
              </w:rPr>
              <w:t>283.394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fy25</w:t>
            </w:r>
          </w:p>
        </w:tc>
        <w:tc>
          <w:tcPr>
            <w:tcW w:type="dxa" w:w="1440"/>
          </w:tcPr>
          <w:p>
            <w:pPr>
              <w:spacing w:after="20"/>
            </w:pPr>
            <w:r>
              <w:rPr>
                <w:color w:val="1C3A36"/>
                <w:sz w:val="14"/>
              </w:rPr>
              <w:t>322.891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td fy23</w:t>
            </w:r>
          </w:p>
        </w:tc>
        <w:tc>
          <w:tcPr>
            <w:tcW w:type="dxa" w:w="1440"/>
          </w:tcPr>
          <w:p>
            <w:pPr>
              <w:spacing w:after="20"/>
            </w:pPr>
            <w:r>
              <w:rPr>
                <w:color w:val="1C3A36"/>
                <w:sz w:val="14"/>
              </w:rPr>
              <w:t>200.225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fy24</w:t>
            </w:r>
          </w:p>
        </w:tc>
        <w:tc>
          <w:tcPr>
            <w:tcW w:type="dxa" w:w="1440"/>
          </w:tcPr>
          <w:p>
            <w:pPr>
              <w:spacing w:after="20"/>
            </w:pPr>
            <w:r>
              <w:rPr>
                <w:color w:val="1C3A36"/>
                <w:sz w:val="14"/>
              </w:rPr>
              <w:t>200.225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fy25</w:t>
            </w:r>
          </w:p>
        </w:tc>
        <w:tc>
          <w:tcPr>
            <w:tcW w:type="dxa" w:w="1440"/>
          </w:tcPr>
          <w:p>
            <w:pPr>
              <w:spacing w:after="20"/>
            </w:pPr>
            <w:r>
              <w:rPr>
                <w:color w:val="1C3A36"/>
                <w:sz w:val="14"/>
              </w:rPr>
              <w:t>200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term deposits</w:t>
            </w:r>
          </w:p>
        </w:tc>
      </w:tr>
      <w:tr>
        <w:trPr>
          <w:cantSplit/>
        </w:trPr>
        <w:tc>
          <w:tcPr>
            <w:tcW w:type="dxa" w:w="1656"/>
          </w:tcPr>
          <w:p>
            <w:pPr>
              <w:spacing w:after="20"/>
            </w:pPr>
            <w:r>
              <w:rPr>
                <w:color w:val="1C3A36"/>
                <w:sz w:val="14"/>
              </w:rPr>
              <w:t>tl fy25</w:t>
            </w:r>
          </w:p>
        </w:tc>
        <w:tc>
          <w:tcPr>
            <w:tcW w:type="dxa" w:w="1440"/>
          </w:tcPr>
          <w:p>
            <w:pPr>
              <w:spacing w:after="20"/>
            </w:pPr>
            <w:r>
              <w:rPr>
                <w:color w:val="1C3A36"/>
                <w:sz w:val="14"/>
              </w:rPr>
              <w:t>14,214.568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liabilities</w:t>
            </w:r>
          </w:p>
        </w:tc>
      </w:tr>
      <w:tr>
        <w:trPr>
          <w:cantSplit/>
        </w:trPr>
        <w:tc>
          <w:tcPr>
            <w:tcW w:type="dxa" w:w="1656"/>
          </w:tcPr>
          <w:p>
            <w:pPr>
              <w:spacing w:after="20"/>
            </w:pPr>
            <w:r>
              <w:rPr>
                <w:color w:val="1C3A36"/>
                <w:sz w:val="14"/>
              </w:rPr>
              <w:t>tp fy23</w:t>
            </w:r>
          </w:p>
        </w:tc>
        <w:tc>
          <w:tcPr>
            <w:tcW w:type="dxa" w:w="1440"/>
          </w:tcPr>
          <w:p>
            <w:pPr>
              <w:spacing w:after="20"/>
            </w:pPr>
            <w:r>
              <w:rPr>
                <w:color w:val="1C3A36"/>
                <w:sz w:val="14"/>
              </w:rPr>
              <w:t>2,541.355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fy24</w:t>
            </w:r>
          </w:p>
        </w:tc>
        <w:tc>
          <w:tcPr>
            <w:tcW w:type="dxa" w:w="1440"/>
          </w:tcPr>
          <w:p>
            <w:pPr>
              <w:spacing w:after="20"/>
            </w:pPr>
            <w:r>
              <w:rPr>
                <w:color w:val="1C3A36"/>
                <w:sz w:val="14"/>
              </w:rPr>
              <w:t>2,797.054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fy25</w:t>
            </w:r>
          </w:p>
        </w:tc>
        <w:tc>
          <w:tcPr>
            <w:tcW w:type="dxa" w:w="1440"/>
          </w:tcPr>
          <w:p>
            <w:pPr>
              <w:spacing w:after="20"/>
            </w:pPr>
            <w:r>
              <w:rPr>
                <w:color w:val="1C3A36"/>
                <w:sz w:val="14"/>
              </w:rPr>
              <w:t>3,115.634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tr fy23</w:t>
            </w:r>
          </w:p>
        </w:tc>
        <w:tc>
          <w:tcPr>
            <w:tcW w:type="dxa" w:w="1440"/>
          </w:tcPr>
          <w:p>
            <w:pPr>
              <w:spacing w:after="20"/>
            </w:pPr>
            <w:r>
              <w:rPr>
                <w:color w:val="1C3A36"/>
                <w:sz w:val="14"/>
              </w:rPr>
              <w:t>3,519.413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fy24</w:t>
            </w:r>
          </w:p>
        </w:tc>
        <w:tc>
          <w:tcPr>
            <w:tcW w:type="dxa" w:w="1440"/>
          </w:tcPr>
          <w:p>
            <w:pPr>
              <w:spacing w:after="20"/>
            </w:pPr>
            <w:r>
              <w:rPr>
                <w:color w:val="1C3A36"/>
                <w:sz w:val="14"/>
              </w:rPr>
              <w:t>2,935.982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fy25</w:t>
            </w:r>
          </w:p>
        </w:tc>
        <w:tc>
          <w:tcPr>
            <w:tcW w:type="dxa" w:w="1440"/>
          </w:tcPr>
          <w:p>
            <w:pPr>
              <w:spacing w:after="20"/>
            </w:pPr>
            <w:r>
              <w:rPr>
                <w:color w:val="1C3A36"/>
                <w:sz w:val="14"/>
              </w:rPr>
              <w:t>2,632.515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vol avi h125</w:t>
            </w:r>
          </w:p>
        </w:tc>
        <w:tc>
          <w:tcPr>
            <w:tcW w:type="dxa" w:w="1440"/>
          </w:tcPr>
          <w:p>
            <w:pPr>
              <w:spacing w:after="20"/>
            </w:pPr>
            <w:r>
              <w:rPr>
                <w:color w:val="1C3A36"/>
                <w:sz w:val="14"/>
              </w:rPr>
              <w:t>232</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aviation, prior-period comparative</w:t>
            </w:r>
          </w:p>
        </w:tc>
      </w:tr>
      <w:tr>
        <w:trPr>
          <w:cantSplit/>
        </w:trPr>
        <w:tc>
          <w:tcPr>
            <w:tcW w:type="dxa" w:w="1656"/>
          </w:tcPr>
          <w:p>
            <w:pPr>
              <w:spacing w:after="20"/>
            </w:pPr>
            <w:r>
              <w:rPr>
                <w:color w:val="1C3A36"/>
                <w:sz w:val="14"/>
              </w:rPr>
              <w:t>vol avi h126</w:t>
            </w:r>
          </w:p>
        </w:tc>
        <w:tc>
          <w:tcPr>
            <w:tcW w:type="dxa" w:w="1440"/>
          </w:tcPr>
          <w:p>
            <w:pPr>
              <w:spacing w:after="20"/>
            </w:pPr>
            <w:r>
              <w:rPr>
                <w:color w:val="1C3A36"/>
                <w:sz w:val="14"/>
              </w:rPr>
              <w:t>357</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aviation, six months</w:t>
            </w:r>
          </w:p>
        </w:tc>
      </w:tr>
      <w:tr>
        <w:trPr>
          <w:cantSplit/>
        </w:trPr>
        <w:tc>
          <w:tcPr>
            <w:tcW w:type="dxa" w:w="1656"/>
          </w:tcPr>
          <w:p>
            <w:pPr>
              <w:spacing w:after="20"/>
            </w:pPr>
            <w:r>
              <w:rPr>
                <w:color w:val="1C3A36"/>
                <w:sz w:val="14"/>
              </w:rPr>
              <w:t>vol comm fy24</w:t>
            </w:r>
          </w:p>
        </w:tc>
        <w:tc>
          <w:tcPr>
            <w:tcW w:type="dxa" w:w="1440"/>
          </w:tcPr>
          <w:p>
            <w:pPr>
              <w:spacing w:after="20"/>
            </w:pPr>
            <w:r>
              <w:rPr>
                <w:color w:val="1C3A36"/>
                <w:sz w:val="14"/>
              </w:rPr>
              <w:t>4,680</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Commercial (B2B), FY2024 comparative</w:t>
            </w:r>
          </w:p>
        </w:tc>
      </w:tr>
      <w:tr>
        <w:trPr>
          <w:cantSplit/>
        </w:trPr>
        <w:tc>
          <w:tcPr>
            <w:tcW w:type="dxa" w:w="1656"/>
          </w:tcPr>
          <w:p>
            <w:pPr>
              <w:spacing w:after="20"/>
            </w:pPr>
            <w:r>
              <w:rPr>
                <w:color w:val="1C3A36"/>
                <w:sz w:val="14"/>
              </w:rPr>
              <w:t>vol comm fy25</w:t>
            </w:r>
          </w:p>
        </w:tc>
        <w:tc>
          <w:tcPr>
            <w:tcW w:type="dxa" w:w="1440"/>
          </w:tcPr>
          <w:p>
            <w:pPr>
              <w:spacing w:after="20"/>
            </w:pPr>
            <w:r>
              <w:rPr>
                <w:color w:val="1C3A36"/>
                <w:sz w:val="14"/>
              </w:rPr>
              <w:t>4,668</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Commercial (B2B)</w:t>
            </w:r>
          </w:p>
        </w:tc>
      </w:tr>
      <w:tr>
        <w:trPr>
          <w:cantSplit/>
        </w:trPr>
        <w:tc>
          <w:tcPr>
            <w:tcW w:type="dxa" w:w="1656"/>
          </w:tcPr>
          <w:p>
            <w:pPr>
              <w:spacing w:after="20"/>
            </w:pPr>
            <w:r>
              <w:rPr>
                <w:color w:val="1C3A36"/>
                <w:sz w:val="14"/>
              </w:rPr>
              <w:t>vol comm g</w:t>
            </w:r>
          </w:p>
        </w:tc>
        <w:tc>
          <w:tcPr>
            <w:tcW w:type="dxa" w:w="1440"/>
          </w:tcPr>
          <w:p>
            <w:pPr>
              <w:spacing w:after="20"/>
            </w:pPr>
            <w:r>
              <w:rPr>
                <w:color w:val="1C3A36"/>
                <w:sz w:val="14"/>
              </w:rPr>
              <w:t>3.00%, 2.50%, 2.00%, 1.80%, 1.50%</w:t>
            </w:r>
          </w:p>
        </w:tc>
        <w:tc>
          <w:tcPr>
            <w:tcW w:type="dxa" w:w="936"/>
          </w:tcPr>
          <w:p>
            <w:pPr>
              <w:spacing w:after="20"/>
            </w:pPr>
            <w:r>
              <w:rPr>
                <w:color w:val="1C3A36"/>
                <w:sz w:val="14"/>
              </w:rPr>
              <w:t>5 Aug 2026</w:t>
            </w:r>
          </w:p>
        </w:tc>
        <w:tc>
          <w:tcPr>
            <w:tcW w:type="dxa" w:w="6048"/>
          </w:tcPr>
          <w:p>
            <w:pPr>
              <w:spacing w:after="20"/>
            </w:pPr>
            <w:r>
              <w:rPr>
                <w:color w:val="1C3A36"/>
                <w:sz w:val="14"/>
              </w:rPr>
              <w:t>Commercial fuel volume growth. The first half of 2026 grew 3.1%, with aviation up 53.9% offsetting a deliberate 2.5% reduction in corporate volumes under a stated value-over-volume strategy. Aviation growth decelerates off a small base</w:t>
            </w:r>
          </w:p>
        </w:tc>
      </w:tr>
      <w:tr>
        <w:trPr>
          <w:cantSplit/>
        </w:trPr>
        <w:tc>
          <w:tcPr>
            <w:tcW w:type="dxa" w:w="1656"/>
          </w:tcPr>
          <w:p>
            <w:pPr>
              <w:spacing w:after="20"/>
            </w:pPr>
            <w:r>
              <w:rPr>
                <w:color w:val="1C3A36"/>
                <w:sz w:val="14"/>
              </w:rPr>
              <w:t>vol comm h125</w:t>
            </w:r>
          </w:p>
        </w:tc>
        <w:tc>
          <w:tcPr>
            <w:tcW w:type="dxa" w:w="1440"/>
          </w:tcPr>
          <w:p>
            <w:pPr>
              <w:spacing w:after="20"/>
            </w:pPr>
            <w:r>
              <w:rPr>
                <w:color w:val="1C3A36"/>
                <w:sz w:val="14"/>
              </w:rPr>
              <w:t>2,300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Commercial (B2B), prior-period comparative</w:t>
            </w:r>
          </w:p>
        </w:tc>
      </w:tr>
      <w:tr>
        <w:trPr>
          <w:cantSplit/>
        </w:trPr>
        <w:tc>
          <w:tcPr>
            <w:tcW w:type="dxa" w:w="1656"/>
          </w:tcPr>
          <w:p>
            <w:pPr>
              <w:spacing w:after="20"/>
            </w:pPr>
            <w:r>
              <w:rPr>
                <w:color w:val="1C3A36"/>
                <w:sz w:val="14"/>
              </w:rPr>
              <w:t>vol comm h126</w:t>
            </w:r>
          </w:p>
        </w:tc>
        <w:tc>
          <w:tcPr>
            <w:tcW w:type="dxa" w:w="1440"/>
          </w:tcPr>
          <w:p>
            <w:pPr>
              <w:spacing w:after="20"/>
            </w:pPr>
            <w:r>
              <w:rPr>
                <w:color w:val="1C3A36"/>
                <w:sz w:val="14"/>
              </w:rPr>
              <w:t>2,372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Commercial (B2B), six months</w:t>
            </w:r>
          </w:p>
        </w:tc>
      </w:tr>
      <w:tr>
        <w:trPr>
          <w:cantSplit/>
        </w:trPr>
        <w:tc>
          <w:tcPr>
            <w:tcW w:type="dxa" w:w="1656"/>
          </w:tcPr>
          <w:p>
            <w:pPr>
              <w:spacing w:after="20"/>
            </w:pPr>
            <w:r>
              <w:rPr>
                <w:color w:val="1C3A36"/>
                <w:sz w:val="14"/>
              </w:rPr>
              <w:t>vol corp h125</w:t>
            </w:r>
          </w:p>
        </w:tc>
        <w:tc>
          <w:tcPr>
            <w:tcW w:type="dxa" w:w="1440"/>
          </w:tcPr>
          <w:p>
            <w:pPr>
              <w:spacing w:after="20"/>
            </w:pPr>
            <w:r>
              <w:rPr>
                <w:color w:val="1C3A36"/>
                <w:sz w:val="14"/>
              </w:rPr>
              <w:t>2,068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corporate, prior-period comparative</w:t>
            </w:r>
          </w:p>
        </w:tc>
      </w:tr>
      <w:tr>
        <w:trPr>
          <w:cantSplit/>
        </w:trPr>
        <w:tc>
          <w:tcPr>
            <w:tcW w:type="dxa" w:w="1656"/>
          </w:tcPr>
          <w:p>
            <w:pPr>
              <w:spacing w:after="20"/>
            </w:pPr>
            <w:r>
              <w:rPr>
                <w:color w:val="1C3A36"/>
                <w:sz w:val="14"/>
              </w:rPr>
              <w:t>vol corp h126</w:t>
            </w:r>
          </w:p>
        </w:tc>
        <w:tc>
          <w:tcPr>
            <w:tcW w:type="dxa" w:w="1440"/>
          </w:tcPr>
          <w:p>
            <w:pPr>
              <w:spacing w:after="20"/>
            </w:pPr>
            <w:r>
              <w:rPr>
                <w:color w:val="1C3A36"/>
                <w:sz w:val="14"/>
              </w:rPr>
              <w:t>2,015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corporate, six months</w:t>
            </w:r>
          </w:p>
        </w:tc>
      </w:tr>
      <w:tr>
        <w:trPr>
          <w:cantSplit/>
        </w:trPr>
        <w:tc>
          <w:tcPr>
            <w:tcW w:type="dxa" w:w="1656"/>
          </w:tcPr>
          <w:p>
            <w:pPr>
              <w:spacing w:after="20"/>
            </w:pPr>
            <w:r>
              <w:rPr>
                <w:color w:val="1C3A36"/>
                <w:sz w:val="14"/>
              </w:rPr>
              <w:t>vol retail fy24</w:t>
            </w:r>
          </w:p>
        </w:tc>
        <w:tc>
          <w:tcPr>
            <w:tcW w:type="dxa" w:w="1440"/>
          </w:tcPr>
          <w:p>
            <w:pPr>
              <w:spacing w:after="20"/>
            </w:pPr>
            <w:r>
              <w:rPr>
                <w:color w:val="1C3A36"/>
                <w:sz w:val="14"/>
              </w:rPr>
              <w:t>10,349</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Retail (B2C), FY2024 comparative</w:t>
            </w:r>
          </w:p>
        </w:tc>
      </w:tr>
      <w:tr>
        <w:trPr>
          <w:cantSplit/>
        </w:trPr>
        <w:tc>
          <w:tcPr>
            <w:tcW w:type="dxa" w:w="1656"/>
          </w:tcPr>
          <w:p>
            <w:pPr>
              <w:spacing w:after="20"/>
            </w:pPr>
            <w:r>
              <w:rPr>
                <w:color w:val="1C3A36"/>
                <w:sz w:val="14"/>
              </w:rPr>
              <w:t>vol retail fy25</w:t>
            </w:r>
          </w:p>
        </w:tc>
        <w:tc>
          <w:tcPr>
            <w:tcW w:type="dxa" w:w="1440"/>
          </w:tcPr>
          <w:p>
            <w:pPr>
              <w:spacing w:after="20"/>
            </w:pPr>
            <w:r>
              <w:rPr>
                <w:color w:val="1C3A36"/>
                <w:sz w:val="14"/>
              </w:rPr>
              <w:t>11,042</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Retail (B2C)</w:t>
            </w:r>
          </w:p>
        </w:tc>
      </w:tr>
      <w:tr>
        <w:trPr>
          <w:cantSplit/>
        </w:trPr>
        <w:tc>
          <w:tcPr>
            <w:tcW w:type="dxa" w:w="1656"/>
          </w:tcPr>
          <w:p>
            <w:pPr>
              <w:spacing w:after="20"/>
            </w:pPr>
            <w:r>
              <w:rPr>
                <w:color w:val="1C3A36"/>
                <w:sz w:val="14"/>
              </w:rPr>
              <w:t>vol retail g</w:t>
            </w:r>
          </w:p>
        </w:tc>
        <w:tc>
          <w:tcPr>
            <w:tcW w:type="dxa" w:w="1440"/>
          </w:tcPr>
          <w:p>
            <w:pPr>
              <w:spacing w:after="20"/>
            </w:pPr>
            <w:r>
              <w:rPr>
                <w:color w:val="1C3A36"/>
                <w:sz w:val="14"/>
              </w:rPr>
              <w:t>1.20%, 2.00%, 1.80%, 1.50%, 1.20%</w:t>
            </w:r>
          </w:p>
        </w:tc>
        <w:tc>
          <w:tcPr>
            <w:tcW w:type="dxa" w:w="936"/>
          </w:tcPr>
          <w:p>
            <w:pPr>
              <w:spacing w:after="20"/>
            </w:pPr>
            <w:r>
              <w:rPr>
                <w:color w:val="1C3A36"/>
                <w:sz w:val="14"/>
              </w:rPr>
              <w:t>5 Aug 2026</w:t>
            </w:r>
          </w:p>
        </w:tc>
        <w:tc>
          <w:tcPr>
            <w:tcW w:type="dxa" w:w="6048"/>
          </w:tcPr>
          <w:p>
            <w:pPr>
              <w:spacing w:after="20"/>
            </w:pPr>
            <w:r>
              <w:rPr>
                <w:color w:val="1C3A36"/>
                <w:sz w:val="14"/>
              </w:rPr>
              <w:t>Retail fuel volume growth. Anchored on the 1.0% achieved in the first half of 2026 and the 6.7% of FY2025, then set from the two forces that actually move it: network expansion (the network went from 939 to 1,045 stations year on year, with Saudi Arabia growing 65% on a capital-light dealer-owned model) against a slow electric-vehicle drag that builds through the decade. The taper to 1.2% by FY2030 is the drag being priced, not an assumption of decline</w:t>
            </w:r>
          </w:p>
        </w:tc>
      </w:tr>
      <w:tr>
        <w:trPr>
          <w:cantSplit/>
        </w:trPr>
        <w:tc>
          <w:tcPr>
            <w:tcW w:type="dxa" w:w="1656"/>
          </w:tcPr>
          <w:p>
            <w:pPr>
              <w:spacing w:after="20"/>
            </w:pPr>
            <w:r>
              <w:rPr>
                <w:color w:val="1C3A36"/>
                <w:sz w:val="14"/>
              </w:rPr>
              <w:t>vol retail h125</w:t>
            </w:r>
          </w:p>
        </w:tc>
        <w:tc>
          <w:tcPr>
            <w:tcW w:type="dxa" w:w="1440"/>
          </w:tcPr>
          <w:p>
            <w:pPr>
              <w:spacing w:after="20"/>
            </w:pPr>
            <w:r>
              <w:rPr>
                <w:color w:val="1C3A36"/>
                <w:sz w:val="14"/>
              </w:rPr>
              <w:t>5,324</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Retail (B2C), prior-period comparative</w:t>
            </w:r>
          </w:p>
        </w:tc>
      </w:tr>
      <w:tr>
        <w:trPr>
          <w:cantSplit/>
        </w:trPr>
        <w:tc>
          <w:tcPr>
            <w:tcW w:type="dxa" w:w="1656"/>
          </w:tcPr>
          <w:p>
            <w:pPr>
              <w:spacing w:after="20"/>
            </w:pPr>
            <w:r>
              <w:rPr>
                <w:color w:val="1C3A36"/>
                <w:sz w:val="14"/>
              </w:rPr>
              <w:t>vol retail h126</w:t>
            </w:r>
          </w:p>
        </w:tc>
        <w:tc>
          <w:tcPr>
            <w:tcW w:type="dxa" w:w="1440"/>
          </w:tcPr>
          <w:p>
            <w:pPr>
              <w:spacing w:after="20"/>
            </w:pPr>
            <w:r>
              <w:rPr>
                <w:color w:val="1C3A36"/>
                <w:sz w:val="14"/>
              </w:rPr>
              <w:t>5,376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Retail (B2C), six months</w:t>
            </w:r>
          </w:p>
        </w:tc>
      </w:tr>
    </w:tbl>
    <w:p>
      <w:pPr>
        <w:spacing w:after="40"/>
      </w:pPr>
    </w:p>
    <w:p>
      <w:pPr>
        <w:spacing w:after="200" w:before="0"/>
      </w:pPr>
      <w:r>
        <w:rPr>
          <w:b w:val="0"/>
          <w:i/>
          <w:color w:val="6E7B77"/>
          <w:sz w:val="17"/>
        </w:rPr>
        <w:t>Table 5 — every company-layer input, in alphabetical order.</w:t>
      </w:r>
    </w:p>
    <w:p>
      <w:pPr>
        <w:spacing w:after="80" w:before="200"/>
      </w:pPr>
      <w:r>
        <w:rPr>
          <w:b/>
          <w:i w:val="0"/>
          <w:color w:val="1C3A36"/>
          <w:sz w:val="24"/>
        </w:rPr>
        <w:t>Country layer — 10 inputs</w:t>
      </w:r>
    </w:p>
    <w:p>
      <w:pPr>
        <w:spacing w:after="80" w:before="0"/>
      </w:pPr>
      <w:r>
        <w:rPr>
          <w:b w:val="0"/>
          <w:i/>
          <w:color w:val="6E7B77"/>
          <w:sz w:val="18"/>
        </w:rPr>
        <w:t>The United Arab Emirates — policy rates, the government bond curve, the tax regime, inflation and country risk.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cash opex g</w:t>
            </w:r>
          </w:p>
        </w:tc>
        <w:tc>
          <w:tcPr>
            <w:tcW w:type="dxa" w:w="1440"/>
          </w:tcPr>
          <w:p>
            <w:pPr>
              <w:spacing w:after="20"/>
            </w:pPr>
            <w:r>
              <w:rPr>
                <w:color w:val="1C3A36"/>
                <w:sz w:val="14"/>
              </w:rPr>
              <w:t>4.00%, 4.00%, 4.00%, 4.00%, 4.00%</w:t>
            </w:r>
          </w:p>
        </w:tc>
        <w:tc>
          <w:tcPr>
            <w:tcW w:type="dxa" w:w="936"/>
          </w:tcPr>
          <w:p>
            <w:pPr>
              <w:spacing w:after="20"/>
            </w:pPr>
            <w:r>
              <w:rPr>
                <w:color w:val="1C3A36"/>
                <w:sz w:val="14"/>
              </w:rPr>
              <w:t>5 Aug 2026</w:t>
            </w:r>
          </w:p>
        </w:tc>
        <w:tc>
          <w:tcPr>
            <w:tcW w:type="dxa" w:w="6048"/>
          </w:tcPr>
          <w:p>
            <w:pPr>
              <w:spacing w:after="20"/>
            </w:pPr>
            <w:r>
              <w:rPr>
                <w:color w:val="1C3A36"/>
                <w:sz w:val="14"/>
              </w:rPr>
              <w:t>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r>
      <w:tr>
        <w:trPr>
          <w:cantSplit/>
        </w:trPr>
        <w:tc>
          <w:tcPr>
            <w:tcW w:type="dxa" w:w="1656"/>
          </w:tcPr>
          <w:p>
            <w:pPr>
              <w:spacing w:after="20"/>
            </w:pPr>
            <w:r>
              <w:rPr>
                <w:color w:val="1C3A36"/>
                <w:sz w:val="14"/>
              </w:rPr>
              <w:t>cb base rate</w:t>
            </w:r>
          </w:p>
        </w:tc>
        <w:tc>
          <w:tcPr>
            <w:tcW w:type="dxa" w:w="1440"/>
          </w:tcPr>
          <w:p>
            <w:pPr>
              <w:spacing w:after="20"/>
            </w:pPr>
            <w:r>
              <w:rPr>
                <w:color w:val="1C3A36"/>
                <w:sz w:val="14"/>
              </w:rPr>
              <w:t>3.65%</w:t>
            </w:r>
          </w:p>
        </w:tc>
        <w:tc>
          <w:tcPr>
            <w:tcW w:type="dxa" w:w="936"/>
          </w:tcPr>
          <w:p>
            <w:pPr>
              <w:spacing w:after="20"/>
            </w:pPr>
            <w:r>
              <w:rPr>
                <w:color w:val="1C3A36"/>
                <w:sz w:val="14"/>
              </w:rPr>
              <w:t>29 Jul 2026</w:t>
            </w:r>
          </w:p>
        </w:tc>
        <w:tc>
          <w:tcPr>
            <w:tcW w:type="dxa" w:w="6048"/>
          </w:tcPr>
          <w:p>
            <w:pPr>
              <w:spacing w:after="20"/>
            </w:pPr>
            <w:r>
              <w:rPr>
                <w:color w:val="1C3A36"/>
                <w:sz w:val="14"/>
              </w:rPr>
              <w:t>Central Bank of the UAE, Base Rate applicable to the Overnight Deposit Facility, maintained at 3.65% at the July 2026 review</w:t>
            </w:r>
          </w:p>
        </w:tc>
      </w:tr>
      <w:tr>
        <w:trPr>
          <w:cantSplit/>
        </w:trPr>
        <w:tc>
          <w:tcPr>
            <w:tcW w:type="dxa" w:w="1656"/>
          </w:tcPr>
          <w:p>
            <w:pPr>
              <w:spacing w:after="20"/>
            </w:pPr>
            <w:r>
              <w:rPr>
                <w:color w:val="1C3A36"/>
                <w:sz w:val="14"/>
              </w:rPr>
              <w:t>crp</w:t>
            </w:r>
          </w:p>
        </w:tc>
        <w:tc>
          <w:tcPr>
            <w:tcW w:type="dxa" w:w="1440"/>
          </w:tcPr>
          <w:p>
            <w:pPr>
              <w:spacing w:after="20"/>
            </w:pPr>
            <w:r>
              <w:rPr>
                <w:color w:val="1C3A36"/>
                <w:sz w:val="14"/>
              </w:rPr>
              <w:t>0.640%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country risk premium</w:t>
            </w:r>
          </w:p>
        </w:tc>
      </w:tr>
      <w:tr>
        <w:trPr>
          <w:cantSplit/>
        </w:trPr>
        <w:tc>
          <w:tcPr>
            <w:tcW w:type="dxa" w:w="1656"/>
          </w:tcPr>
          <w:p>
            <w:pPr>
              <w:spacing w:after="20"/>
            </w:pPr>
            <w:r>
              <w:rPr>
                <w:color w:val="1C3A36"/>
                <w:sz w:val="14"/>
              </w:rPr>
              <w:t>erp mature</w:t>
            </w:r>
          </w:p>
        </w:tc>
        <w:tc>
          <w:tcPr>
            <w:tcW w:type="dxa" w:w="1440"/>
          </w:tcPr>
          <w:p>
            <w:pPr>
              <w:spacing w:after="20"/>
            </w:pPr>
            <w:r>
              <w:rPr>
                <w:color w:val="1C3A36"/>
                <w:sz w:val="14"/>
              </w:rPr>
              <w:t>4.23%</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mature-market equity risk premium</w:t>
            </w:r>
          </w:p>
        </w:tc>
      </w:tr>
      <w:tr>
        <w:trPr>
          <w:cantSplit/>
        </w:trPr>
        <w:tc>
          <w:tcPr>
            <w:tcW w:type="dxa" w:w="1656"/>
          </w:tcPr>
          <w:p>
            <w:pPr>
              <w:spacing w:after="20"/>
            </w:pPr>
            <w:r>
              <w:rPr>
                <w:color w:val="1C3A36"/>
                <w:sz w:val="14"/>
              </w:rPr>
              <w:t>erp total</w:t>
            </w:r>
          </w:p>
        </w:tc>
        <w:tc>
          <w:tcPr>
            <w:tcW w:type="dxa" w:w="1440"/>
          </w:tcPr>
          <w:p>
            <w:pPr>
              <w:spacing w:after="20"/>
            </w:pPr>
            <w:r>
              <w:rPr>
                <w:color w:val="1C3A36"/>
                <w:sz w:val="14"/>
              </w:rPr>
              <w:t>4.87%</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total equity risk premium 4.87%, being the 4.23% mature-market premium plus a 0.64% country risk premium</w:t>
            </w:r>
          </w:p>
        </w:tc>
      </w:tr>
      <w:tr>
        <w:trPr>
          <w:cantSplit/>
        </w:trPr>
        <w:tc>
          <w:tcPr>
            <w:tcW w:type="dxa" w:w="1656"/>
          </w:tcPr>
          <w:p>
            <w:pPr>
              <w:spacing w:after="20"/>
            </w:pPr>
            <w:r>
              <w:rPr>
                <w:color w:val="1C3A36"/>
                <w:sz w:val="14"/>
              </w:rPr>
              <w:t>other income g</w:t>
            </w:r>
          </w:p>
        </w:tc>
        <w:tc>
          <w:tcPr>
            <w:tcW w:type="dxa" w:w="1440"/>
          </w:tcPr>
          <w:p>
            <w:pPr>
              <w:spacing w:after="20"/>
            </w:pPr>
            <w:r>
              <w:rPr>
                <w:color w:val="1C3A36"/>
                <w:sz w:val="14"/>
              </w:rPr>
              <w:t>3.00%, 3.00%, 3.00%, 3.00%, 3.00%</w:t>
            </w:r>
          </w:p>
        </w:tc>
        <w:tc>
          <w:tcPr>
            <w:tcW w:type="dxa" w:w="936"/>
          </w:tcPr>
          <w:p>
            <w:pPr>
              <w:spacing w:after="20"/>
            </w:pPr>
            <w:r>
              <w:rPr>
                <w:color w:val="1C3A36"/>
                <w:sz w:val="14"/>
              </w:rPr>
              <w:t>5 Aug 2026</w:t>
            </w:r>
          </w:p>
        </w:tc>
        <w:tc>
          <w:tcPr>
            <w:tcW w:type="dxa" w:w="6048"/>
          </w:tcPr>
          <w:p>
            <w:pPr>
              <w:spacing w:after="20"/>
            </w:pPr>
            <w:r>
              <w:rPr>
                <w:color w:val="1C3A36"/>
                <w:sz w:val="14"/>
              </w:rPr>
              <w:t>Other income growth, held at the domestic inflation escalator</w:t>
            </w:r>
          </w:p>
        </w:tc>
      </w:tr>
      <w:tr>
        <w:trPr>
          <w:cantSplit/>
        </w:trPr>
        <w:tc>
          <w:tcPr>
            <w:tcW w:type="dxa" w:w="1656"/>
          </w:tcPr>
          <w:p>
            <w:pPr>
              <w:spacing w:after="20"/>
            </w:pPr>
            <w:r>
              <w:rPr>
                <w:color w:val="1C3A36"/>
                <w:sz w:val="14"/>
              </w:rPr>
              <w:t>rf observed</w:t>
            </w:r>
          </w:p>
        </w:tc>
        <w:tc>
          <w:tcPr>
            <w:tcW w:type="dxa" w:w="1440"/>
          </w:tcPr>
          <w:p>
            <w:pPr>
              <w:spacing w:after="20"/>
            </w:pPr>
            <w:r>
              <w:rPr>
                <w:color w:val="1C3A36"/>
                <w:sz w:val="14"/>
              </w:rPr>
              <w:t>4.48%</w:t>
            </w:r>
          </w:p>
        </w:tc>
        <w:tc>
          <w:tcPr>
            <w:tcW w:type="dxa" w:w="936"/>
          </w:tcPr>
          <w:p>
            <w:pPr>
              <w:spacing w:after="20"/>
            </w:pPr>
            <w:r>
              <w:rPr>
                <w:color w:val="1C3A36"/>
                <w:sz w:val="14"/>
              </w:rPr>
              <w:t>30 Jul 2026</w:t>
            </w:r>
          </w:p>
        </w:tc>
        <w:tc>
          <w:tcPr>
            <w:tcW w:type="dxa" w:w="6048"/>
          </w:tcPr>
          <w:p>
            <w:pPr>
              <w:spacing w:after="20"/>
            </w:pPr>
            <w:r>
              <w:rPr>
                <w:color w:val="1C3A36"/>
                <w:sz w:val="14"/>
              </w:rPr>
              <w:t>UAE Ministry of Finance, July 2026 auction of dirham-denominated federal Treasury Bonds: yield to maturity of 4.48% on the January 2031 tranche, 4 basis points above comparable US Treasuries. This is a local-currency sovereign yield at a tenor matching the forecast horizon, not a US Treasury substituted for one</w:t>
            </w:r>
          </w:p>
        </w:tc>
      </w:tr>
      <w:tr>
        <w:trPr>
          <w:cantSplit/>
        </w:trPr>
        <w:tc>
          <w:tcPr>
            <w:tcW w:type="dxa" w:w="1656"/>
          </w:tcPr>
          <w:p>
            <w:pPr>
              <w:spacing w:after="20"/>
            </w:pPr>
            <w:r>
              <w:rPr>
                <w:color w:val="1C3A36"/>
                <w:sz w:val="14"/>
              </w:rPr>
              <w:t>sov spread</w:t>
            </w:r>
          </w:p>
        </w:tc>
        <w:tc>
          <w:tcPr>
            <w:tcW w:type="dxa" w:w="1440"/>
          </w:tcPr>
          <w:p>
            <w:pPr>
              <w:spacing w:after="20"/>
            </w:pPr>
            <w:r>
              <w:rPr>
                <w:color w:val="1C3A36"/>
                <w:sz w:val="14"/>
              </w:rPr>
              <w:t>0.420%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Moody's Aa2, adjusted default spread 0.42%</w:t>
            </w:r>
          </w:p>
        </w:tc>
      </w:tr>
      <w:tr>
        <w:trPr>
          <w:cantSplit/>
        </w:trPr>
        <w:tc>
          <w:tcPr>
            <w:tcW w:type="dxa" w:w="1656"/>
          </w:tcPr>
          <w:p>
            <w:pPr>
              <w:spacing w:after="20"/>
            </w:pPr>
            <w:r>
              <w:rPr>
                <w:color w:val="1C3A36"/>
                <w:sz w:val="14"/>
              </w:rPr>
              <w:t>tax dmtt</w:t>
            </w:r>
          </w:p>
        </w:tc>
        <w:tc>
          <w:tcPr>
            <w:tcW w:type="dxa" w:w="1440"/>
          </w:tcPr>
          <w:p>
            <w:pPr>
              <w:spacing w:after="20"/>
            </w:pPr>
            <w:r>
              <w:rPr>
                <w:color w:val="1C3A36"/>
                <w:sz w:val="14"/>
              </w:rPr>
              <w:t>15.00%</w:t>
            </w:r>
          </w:p>
        </w:tc>
        <w:tc>
          <w:tcPr>
            <w:tcW w:type="dxa" w:w="936"/>
          </w:tcPr>
          <w:p>
            <w:pPr>
              <w:spacing w:after="20"/>
            </w:pPr>
            <w:r>
              <w:rPr>
                <w:color w:val="1C3A36"/>
                <w:sz w:val="14"/>
              </w:rPr>
              <w:t>1 Jan 2025</w:t>
            </w:r>
          </w:p>
        </w:tc>
        <w:tc>
          <w:tcPr>
            <w:tcW w:type="dxa" w:w="6048"/>
          </w:tcPr>
          <w:p>
            <w:pPr>
              <w:spacing w:after="20"/>
            </w:pPr>
            <w:r>
              <w:rPr>
                <w:color w:val="1C3A36"/>
                <w:sz w:val="14"/>
              </w:rPr>
              <w:t>United Arab Emirates domestic minimum top-up tax of 15%, in force for financial years beginning on or after 1 January 2025 for groups with consolidated revenue above EUR 750 million. The FY2025 audited tax reconciliation does NOT apply it — that note reconciles at the 9% domestic rate for an effective 10.2% — so the base case follows the filing and the 15% case is priced as a sensitivity rather than assumed</w:t>
            </w:r>
          </w:p>
        </w:tc>
      </w:tr>
      <w:tr>
        <w:trPr>
          <w:cantSplit/>
        </w:trPr>
        <w:tc>
          <w:tcPr>
            <w:tcW w:type="dxa" w:w="1656"/>
          </w:tcPr>
          <w:p>
            <w:pPr>
              <w:spacing w:after="20"/>
            </w:pPr>
            <w:r>
              <w:rPr>
                <w:color w:val="1C3A36"/>
                <w:sz w:val="14"/>
              </w:rPr>
              <w:t>tax statutory</w:t>
            </w:r>
          </w:p>
        </w:tc>
        <w:tc>
          <w:tcPr>
            <w:tcW w:type="dxa" w:w="1440"/>
          </w:tcPr>
          <w:p>
            <w:pPr>
              <w:spacing w:after="20"/>
            </w:pPr>
            <w:r>
              <w:rPr>
                <w:color w:val="1C3A36"/>
                <w:sz w:val="14"/>
              </w:rPr>
              <w:t>9.00%</w:t>
            </w:r>
          </w:p>
        </w:tc>
        <w:tc>
          <w:tcPr>
            <w:tcW w:type="dxa" w:w="936"/>
          </w:tcPr>
          <w:p>
            <w:pPr>
              <w:spacing w:after="20"/>
            </w:pPr>
            <w:r>
              <w:rPr>
                <w:color w:val="1C3A36"/>
                <w:sz w:val="14"/>
              </w:rPr>
              <w:t>1 Jun 2023</w:t>
            </w:r>
          </w:p>
        </w:tc>
        <w:tc>
          <w:tcPr>
            <w:tcW w:type="dxa" w:w="6048"/>
          </w:tcPr>
          <w:p>
            <w:pPr>
              <w:spacing w:after="20"/>
            </w:pPr>
            <w:r>
              <w:rPr>
                <w:color w:val="1C3A36"/>
                <w:sz w:val="14"/>
              </w:rPr>
              <w:t>United Arab Emirates federal corporate tax at 9%, in force for financial years beginning on or after 1 June 2023</w:t>
            </w:r>
          </w:p>
        </w:tc>
      </w:tr>
    </w:tbl>
    <w:p>
      <w:pPr>
        <w:spacing w:after="40"/>
      </w:pPr>
    </w:p>
    <w:p>
      <w:pPr>
        <w:spacing w:after="200" w:before="0"/>
      </w:pPr>
      <w:r>
        <w:rPr>
          <w:b w:val="0"/>
          <w:i/>
          <w:color w:val="6E7B77"/>
          <w:sz w:val="17"/>
        </w:rPr>
        <w:t>Table 6 — every country-layer input, in alphabetical order.</w:t>
      </w:r>
    </w:p>
    <w:p>
      <w:pPr>
        <w:spacing w:after="80" w:before="200"/>
      </w:pPr>
      <w:r>
        <w:rPr>
          <w:b/>
          <w:i w:val="0"/>
          <w:color w:val="1C3A36"/>
          <w:sz w:val="24"/>
        </w:rPr>
        <w:t>Industry layer — 2 inputs</w:t>
      </w:r>
    </w:p>
    <w:p>
      <w:pPr>
        <w:spacing w:after="80" w:before="0"/>
      </w:pPr>
      <w:r>
        <w:rPr>
          <w:b w:val="0"/>
          <w:i/>
          <w:color w:val="6E7B77"/>
          <w:sz w:val="18"/>
        </w:rPr>
        <w:t>Fuel retailing as a business — regulated margin mechanics, network economics and the transition away from liquid fuel.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g terminal</w:t>
            </w:r>
          </w:p>
        </w:tc>
        <w:tc>
          <w:tcPr>
            <w:tcW w:type="dxa" w:w="1440"/>
          </w:tcPr>
          <w:p>
            <w:pPr>
              <w:spacing w:after="20"/>
            </w:pPr>
            <w:r>
              <w:rPr>
                <w:color w:val="1C3A36"/>
                <w:sz w:val="14"/>
              </w:rPr>
              <w:t>1.50%</w:t>
            </w:r>
          </w:p>
        </w:tc>
        <w:tc>
          <w:tcPr>
            <w:tcW w:type="dxa" w:w="936"/>
          </w:tcPr>
          <w:p>
            <w:pPr>
              <w:spacing w:after="20"/>
            </w:pPr>
            <w:r>
              <w:rPr>
                <w:color w:val="1C3A36"/>
                <w:sz w:val="14"/>
              </w:rPr>
              <w:t>5 Aug 2026</w:t>
            </w:r>
          </w:p>
        </w:tc>
        <w:tc>
          <w:tcPr>
            <w:tcW w:type="dxa" w:w="6048"/>
          </w:tcPr>
          <w:p>
            <w:pPr>
              <w:spacing w:after="20"/>
            </w:pPr>
            <w:r>
              <w:rPr>
                <w:color w:val="1C3A36"/>
                <w:sz w:val="14"/>
              </w:rPr>
              <w:t>Terminal growth. Set below the 2% domestic inflation escalator because a fuel retailer's principal volume driver faces a structural electric-vehicle drag beyond the forecast horizon; the non-fuel business grows faster but is a fifth of gross profit</w:t>
            </w:r>
          </w:p>
        </w:tc>
      </w:tr>
      <w:tr>
        <w:trPr>
          <w:cantSplit/>
        </w:trPr>
        <w:tc>
          <w:tcPr>
            <w:tcW w:type="dxa" w:w="1656"/>
          </w:tcPr>
          <w:p>
            <w:pPr>
              <w:spacing w:after="20"/>
            </w:pPr>
            <w:r>
              <w:rPr>
                <w:color w:val="1C3A36"/>
                <w:sz w:val="14"/>
              </w:rPr>
              <w:t>gp retfuel per l g</w:t>
            </w:r>
          </w:p>
        </w:tc>
        <w:tc>
          <w:tcPr>
            <w:tcW w:type="dxa" w:w="1440"/>
          </w:tcPr>
          <w:p>
            <w:pPr>
              <w:spacing w:after="20"/>
            </w:pPr>
            <w:r>
              <w:rPr>
                <w:color w:val="1C3A36"/>
                <w:sz w:val="14"/>
              </w:rPr>
              <w:t>2.00%,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retail fuel margin per litre. This is a domestic regulated-margin line, so it takes the domestic inflation escalator, not a commodity path — the fuel itself is a pass-through cost and is escalated separately through the realised price</w:t>
            </w:r>
          </w:p>
        </w:tc>
      </w:tr>
    </w:tbl>
    <w:p>
      <w:pPr>
        <w:spacing w:after="40"/>
      </w:pPr>
    </w:p>
    <w:p>
      <w:pPr>
        <w:spacing w:after="200" w:before="0"/>
      </w:pPr>
      <w:r>
        <w:rPr>
          <w:b w:val="0"/>
          <w:i/>
          <w:color w:val="6E7B77"/>
          <w:sz w:val="17"/>
        </w:rPr>
        <w:t>Table 7 — every industry-layer input, in alphabetical order.</w:t>
      </w:r>
    </w:p>
    <w:p>
      <w:pPr>
        <w:spacing w:after="80" w:before="200"/>
      </w:pPr>
      <w:r>
        <w:rPr>
          <w:b/>
          <w:i w:val="0"/>
          <w:color w:val="1C3A36"/>
          <w:sz w:val="24"/>
        </w:rPr>
        <w:t>Global layer — 2 inputs</w:t>
      </w:r>
    </w:p>
    <w:p>
      <w:pPr>
        <w:spacing w:after="80" w:before="0"/>
      </w:pPr>
      <w:r>
        <w:rPr>
          <w:b w:val="0"/>
          <w:i/>
          <w:color w:val="6E7B77"/>
          <w:sz w:val="18"/>
        </w:rPr>
        <w:t>What is priced outside any one country — crude oil and the internationally traded product prices that reach the pump.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price comm</w:t>
            </w:r>
          </w:p>
        </w:tc>
        <w:tc>
          <w:tcPr>
            <w:tcW w:type="dxa" w:w="1440"/>
          </w:tcPr>
          <w:p>
            <w:pPr>
              <w:spacing w:after="20"/>
            </w:pPr>
            <w:r>
              <w:rPr>
                <w:color w:val="1C3A36"/>
                <w:sz w:val="14"/>
              </w:rPr>
              <w:t>3.0500, 2.9500, 2.9800, 3.0100, 3.0400</w:t>
            </w:r>
          </w:p>
        </w:tc>
        <w:tc>
          <w:tcPr>
            <w:tcW w:type="dxa" w:w="936"/>
          </w:tcPr>
          <w:p>
            <w:pPr>
              <w:spacing w:after="20"/>
            </w:pPr>
            <w:r>
              <w:rPr>
                <w:color w:val="1C3A36"/>
                <w:sz w:val="14"/>
              </w:rPr>
              <w:t>5 Aug 2026</w:t>
            </w:r>
          </w:p>
        </w:tc>
        <w:tc>
          <w:tcPr>
            <w:tcW w:type="dxa" w:w="6048"/>
          </w:tcPr>
          <w:p>
            <w:pPr>
              <w:spacing w:after="20"/>
            </w:pPr>
            <w:r>
              <w:rPr>
                <w:color w:val="1C3A36"/>
                <w:sz w:val="14"/>
              </w:rPr>
              <w:t>Realised commercial price per litre, on the same crude path as the retail price. The first half of 2026 realised AED 3.3453 across corporate and aviation combined against AED 2.3924 a year earlier</w:t>
            </w:r>
          </w:p>
        </w:tc>
      </w:tr>
      <w:tr>
        <w:trPr>
          <w:cantSplit/>
        </w:trPr>
        <w:tc>
          <w:tcPr>
            <w:tcW w:type="dxa" w:w="1656"/>
          </w:tcPr>
          <w:p>
            <w:pPr>
              <w:spacing w:after="20"/>
            </w:pPr>
            <w:r>
              <w:rPr>
                <w:color w:val="1C3A36"/>
                <w:sz w:val="14"/>
              </w:rPr>
              <w:t>price retfuel</w:t>
            </w:r>
          </w:p>
        </w:tc>
        <w:tc>
          <w:tcPr>
            <w:tcW w:type="dxa" w:w="1440"/>
          </w:tcPr>
          <w:p>
            <w:pPr>
              <w:spacing w:after="20"/>
            </w:pPr>
            <w:r>
              <w:rPr>
                <w:color w:val="1C3A36"/>
                <w:sz w:val="14"/>
              </w:rPr>
              <w:t>2.4200, 2.3400, 2.3630, 2.3870, 2.4110</w:t>
            </w:r>
          </w:p>
        </w:tc>
        <w:tc>
          <w:tcPr>
            <w:tcW w:type="dxa" w:w="936"/>
          </w:tcPr>
          <w:p>
            <w:pPr>
              <w:spacing w:after="20"/>
            </w:pPr>
            <w:r>
              <w:rPr>
                <w:color w:val="1C3A36"/>
                <w:sz w:val="14"/>
              </w:rPr>
              <w:t>5 Aug 2026</w:t>
            </w:r>
          </w:p>
        </w:tc>
        <w:tc>
          <w:tcPr>
            <w:tcW w:type="dxa" w:w="6048"/>
          </w:tcPr>
          <w:p>
            <w:pPr>
              <w:spacing w:after="20"/>
            </w:pPr>
            <w:r>
              <w:rPr>
                <w:color w:val="1C3A36"/>
                <w:sz w:val="14"/>
              </w:rPr>
              <w:t>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r>
    </w:tbl>
    <w:p>
      <w:pPr>
        <w:spacing w:after="40"/>
      </w:pPr>
    </w:p>
    <w:p>
      <w:pPr>
        <w:spacing w:after="200" w:before="0"/>
      </w:pPr>
      <w:r>
        <w:rPr>
          <w:b w:val="0"/>
          <w:i/>
          <w:color w:val="6E7B77"/>
          <w:sz w:val="17"/>
        </w:rPr>
        <w:t>Table 8 — every global-layer input, in alphabetical order.</w:t>
      </w:r>
    </w:p>
    <w:p>
      <w:pPr>
        <w:spacing w:after="120" w:before="0"/>
      </w:pPr>
      <w:r>
        <w:rPr>
          <w:b w:val="0"/>
          <w:i/>
          <w:color w:val="6E7B77"/>
          <w:sz w:val="18"/>
        </w:rPr>
        <w:t>Total: 222 inputs published — 4 market, 204 company, 10 country, 2 industry, 2 global — every one of them carrying a value, a source, a date and a layer.</w:t>
      </w:r>
    </w:p>
    <w:p>
      <w:pPr>
        <w:spacing w:after="120" w:before="280"/>
      </w:pPr>
      <w:r>
        <w:rPr>
          <w:b/>
          <w:i w:val="0"/>
          <w:color w:val="1C3A36"/>
          <w:sz w:val="30"/>
        </w:rPr>
        <w:t>3. The judgements, and what would overturn each one</w:t>
      </w:r>
    </w:p>
    <w:p>
      <w:pPr>
        <w:spacing w:after="120" w:before="0"/>
      </w:pPr>
      <w:r>
        <w:rPr>
          <w:b w:val="0"/>
          <w:i w:val="0"/>
          <w:color w:val="1C3A36"/>
          <w:sz w:val="21"/>
        </w:rPr>
        <w:t>A judgement is a decision that the documents do not make for you. Each one below is stated with the evidence that would show it to be wrong. Stating the falsifier in advance is what separates a judgement from an assertion.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392"/>
        <w:gridCol w:w="3600"/>
      </w:tblGrid>
      <w:tr>
        <w:trPr>
          <w:cantSplit/>
        </w:trPr>
        <w:tc>
          <w:tcPr>
            <w:tcW w:type="dxa" w:w="2088"/>
            <w:shd w:val="clear" w:color="auto" w:fill="EAF0EE"/>
          </w:tcPr>
          <w:p>
            <w:pPr>
              <w:spacing w:after="20"/>
            </w:pPr>
            <w:r>
              <w:rPr>
                <w:b/>
                <w:color w:val="1C3A36"/>
                <w:sz w:val="15"/>
              </w:rPr>
              <w:t>The judgement</w:t>
            </w:r>
          </w:p>
        </w:tc>
        <w:tc>
          <w:tcPr>
            <w:tcW w:type="dxa" w:w="4392"/>
            <w:shd w:val="clear" w:color="auto" w:fill="EAF0EE"/>
          </w:tcPr>
          <w:p>
            <w:pPr>
              <w:spacing w:after="20"/>
            </w:pPr>
            <w:r>
              <w:rPr>
                <w:b/>
                <w:color w:val="1C3A36"/>
                <w:sz w:val="15"/>
              </w:rPr>
              <w:t>What was decided, and on what evidence</w:t>
            </w:r>
          </w:p>
        </w:tc>
        <w:tc>
          <w:tcPr>
            <w:tcW w:type="dxa" w:w="3600"/>
            <w:shd w:val="clear" w:color="auto" w:fill="EAF0EE"/>
          </w:tcPr>
          <w:p>
            <w:pPr>
              <w:spacing w:after="20"/>
            </w:pPr>
            <w:r>
              <w:rPr>
                <w:b/>
                <w:color w:val="1C3A36"/>
                <w:sz w:val="15"/>
              </w:rPr>
              <w:t>What would overturn it</w:t>
            </w:r>
          </w:p>
        </w:tc>
      </w:tr>
      <w:tr>
        <w:trPr>
          <w:cantSplit/>
        </w:trPr>
        <w:tc>
          <w:tcPr>
            <w:tcW w:type="dxa" w:w="2088"/>
          </w:tcPr>
          <w:p>
            <w:pPr>
              <w:spacing w:after="20"/>
            </w:pPr>
            <w:r>
              <w:rPr>
                <w:color w:val="1C3A36"/>
                <w:sz w:val="15"/>
              </w:rPr>
              <w:t>Inventory movements are a timing effect and net to zero — THE CONTESTED JUDGEMENT, carried both ways</w:t>
            </w:r>
          </w:p>
        </w:tc>
        <w:tc>
          <w:tcPr>
            <w:tcW w:type="dxa" w:w="4392"/>
          </w:tcPr>
          <w:p>
            <w:pPr>
              <w:spacing w:after="20"/>
              <w:jc w:val="right"/>
            </w:pPr>
            <w:r>
              <w:rPr>
                <w:color w:val="1C3A36"/>
                <w:sz w:val="15"/>
              </w:rPr>
              <w:t>The company earned inventory gains of AED 254 million in FY2024, AED 335 million in FY2025 and AED 762 million in the first half of 2026 alone. The normalised frame carries the realised first half of 2026 and nothing after it, on the view that a timing difference between the cost of stock bought and the price at which it is sold nets to zero across a full crude cycle. The through-cycle frame instead carries the FY2024-FY2025 average of AED 294.500 million every year. Both frames run all the way to a value per share — AED 4.793 against AED 5.125 — and both are published. They are never averaged.</w:t>
            </w:r>
          </w:p>
        </w:tc>
        <w:tc>
          <w:tcPr>
            <w:tcW w:type="dxa" w:w="3600"/>
          </w:tcPr>
          <w:p>
            <w:pPr>
              <w:spacing w:after="20"/>
              <w:jc w:val="right"/>
            </w:pPr>
            <w:r>
              <w:rPr>
                <w:color w:val="1C3A36"/>
                <w:sz w:val="15"/>
              </w:rPr>
              <w:t>Several consecutive years of positive movements through a full crude price cycle, including a year in which the crude price falls. One falling-price year that still produced a gain would settle it; a falling-price year that produced a loss of similar size would settle it the other way.</w:t>
            </w:r>
          </w:p>
        </w:tc>
      </w:tr>
      <w:tr>
        <w:trPr>
          <w:cantSplit/>
        </w:trPr>
        <w:tc>
          <w:tcPr>
            <w:tcW w:type="dxa" w:w="2088"/>
          </w:tcPr>
          <w:p>
            <w:pPr>
              <w:spacing w:after="20"/>
            </w:pPr>
            <w:r>
              <w:rPr>
                <w:color w:val="1C3A36"/>
                <w:sz w:val="15"/>
              </w:rPr>
              <w:t>Terminal growth is set below domestic inflation</w:t>
            </w:r>
          </w:p>
        </w:tc>
        <w:tc>
          <w:tcPr>
            <w:tcW w:type="dxa" w:w="4392"/>
          </w:tcPr>
          <w:p>
            <w:pPr>
              <w:spacing w:after="20"/>
              <w:jc w:val="right"/>
            </w:pPr>
            <w:r>
              <w:rPr>
                <w:color w:val="1C3A36"/>
                <w:sz w:val="15"/>
              </w:rPr>
              <w:t>Growth beyond the forecast horizon is 1.50%, below the domestic inflation rate, because the volume base — litres of liquid fuel sold through a station network — faces substitution by electric vehicles that the non-fuel business, a fifth of gross profit, cannot offset. Terminal growth. Set below the 2% domestic inflation escalator because a fuel retailer's principal volume driver faces a structural electric-vehicle drag beyond the forecast horizon; the non-fuel business grows faster but is a fifth of gross profit.</w:t>
            </w:r>
          </w:p>
        </w:tc>
        <w:tc>
          <w:tcPr>
            <w:tcW w:type="dxa" w:w="3600"/>
          </w:tcPr>
          <w:p>
            <w:pPr>
              <w:spacing w:after="20"/>
              <w:jc w:val="right"/>
            </w:pPr>
            <w:r>
              <w:rPr>
                <w:color w:val="1C3A36"/>
                <w:sz w:val="15"/>
              </w:rPr>
              <w:t>The share of electric vehicles in new car sales in the United Arab Emirates staying in the low single digits through 2030, or fuel volumes per station rising rather than holding flat. Either would say the drag being priced is not there.</w:t>
            </w:r>
          </w:p>
        </w:tc>
      </w:tr>
      <w:tr>
        <w:trPr>
          <w:cantSplit/>
        </w:trPr>
        <w:tc>
          <w:tcPr>
            <w:tcW w:type="dxa" w:w="2088"/>
          </w:tcPr>
          <w:p>
            <w:pPr>
              <w:spacing w:after="20"/>
            </w:pPr>
            <w:r>
              <w:rPr>
                <w:color w:val="1C3A36"/>
                <w:sz w:val="15"/>
              </w:rPr>
              <w:t>The beta is measured against the local exchange, with the company taken out of the index</w:t>
            </w:r>
          </w:p>
        </w:tc>
        <w:tc>
          <w:tcPr>
            <w:tcW w:type="dxa" w:w="4392"/>
          </w:tcPr>
          <w:p>
            <w:pPr>
              <w:spacing w:after="20"/>
              <w:jc w:val="right"/>
            </w:pPr>
            <w:r>
              <w:rPr>
                <w:color w:val="1C3A36"/>
                <w:sz w:val="15"/>
              </w:rPr>
              <w:t>A beta of 0.509, from 257 weekly observations against an equal-weight composite of the exchange's own listed names, with the company itself removed from that composite so it is not being regressed partly against itself. The regression has an R-squared of 0.194 and a standard error of 0.065. Left in the index the coefficient would be 0.633; the more conservative construction is the one carried.</w:t>
            </w:r>
          </w:p>
        </w:tc>
        <w:tc>
          <w:tcPr>
            <w:tcW w:type="dxa" w:w="3600"/>
          </w:tcPr>
          <w:p>
            <w:pPr>
              <w:spacing w:after="20"/>
              <w:jc w:val="right"/>
            </w:pPr>
            <w:r>
              <w:rPr>
                <w:color w:val="1C3A36"/>
                <w:sz w:val="15"/>
              </w:rPr>
              <w:t>The regression losing significance — a standard error that stops being comfortably smaller than the coefficient — or the share's own volatility converging on the exchange median, which would pull the coefficient toward one.</w:t>
            </w:r>
          </w:p>
        </w:tc>
      </w:tr>
      <w:tr>
        <w:trPr>
          <w:cantSplit/>
        </w:trPr>
        <w:tc>
          <w:tcPr>
            <w:tcW w:type="dxa" w:w="2088"/>
          </w:tcPr>
          <w:p>
            <w:pPr>
              <w:spacing w:after="20"/>
            </w:pPr>
            <w:r>
              <w:rPr>
                <w:color w:val="1C3A36"/>
                <w:sz w:val="15"/>
              </w:rPr>
              <w:t>The base case excludes the proposed South African acquisition</w:t>
            </w:r>
          </w:p>
        </w:tc>
        <w:tc>
          <w:tcPr>
            <w:tcW w:type="dxa" w:w="4392"/>
          </w:tcPr>
          <w:p>
            <w:pPr>
              <w:spacing w:after="20"/>
              <w:jc w:val="right"/>
            </w:pPr>
            <w:r>
              <w:rPr>
                <w:color w:val="1C3A36"/>
                <w:sz w:val="15"/>
              </w:rPr>
              <w:t>Definitive agreement signed in July 2026 (disclosed as an event after the reporting date in the H1-2026 reviewed interim, note 25). Not yet closed as at the reporting date. The target is Shell Downstream South Africa (Pty) Ltd ('SDSA'), acquired from Shell South Africa Holdings (Pty) Ltd, at approximately US$1 billion on a 100% basis, subject to adjustments for net debt and working capital. It is described in the study and priced at zero in the base case, because a signed agreement that has not closed is not yet an earnings stream.</w:t>
            </w:r>
          </w:p>
        </w:tc>
        <w:tc>
          <w:tcPr>
            <w:tcW w:type="dxa" w:w="3600"/>
          </w:tcPr>
          <w:p>
            <w:pPr>
              <w:spacing w:after="20"/>
              <w:jc w:val="right"/>
            </w:pPr>
            <w:r>
              <w:rPr>
                <w:color w:val="1C3A36"/>
                <w:sz w:val="15"/>
              </w:rPr>
              <w:t>Completion, which the company expects in 2027. The company's own stated accretion is +6% in the first full year after completion to earnings per share in the first full year after completion.</w:t>
            </w:r>
          </w:p>
        </w:tc>
      </w:tr>
      <w:tr>
        <w:trPr>
          <w:cantSplit/>
        </w:trPr>
        <w:tc>
          <w:tcPr>
            <w:tcW w:type="dxa" w:w="2088"/>
          </w:tcPr>
          <w:p>
            <w:pPr>
              <w:spacing w:after="20"/>
            </w:pPr>
            <w:r>
              <w:rPr>
                <w:color w:val="1C3A36"/>
                <w:sz w:val="15"/>
              </w:rPr>
              <w:t>The minimum top-up tax is not applied in the base case</w:t>
            </w:r>
          </w:p>
        </w:tc>
        <w:tc>
          <w:tcPr>
            <w:tcW w:type="dxa" w:w="4392"/>
          </w:tcPr>
          <w:p>
            <w:pPr>
              <w:spacing w:after="20"/>
              <w:jc w:val="right"/>
            </w:pPr>
            <w:r>
              <w:rPr>
                <w:color w:val="1C3A36"/>
                <w:sz w:val="15"/>
              </w:rPr>
              <w:t>The forecast is taxed at the effective rate the audited accounts actually produced — 10.17% in FY2025, above the 9.00% federal rate because the Egyptian subsidiary is taxed higher. The 15.00% minimum top-up tax exists in law for groups of this size, but the FY2025 audited tax reconciliation does not apply it: that note reconciles at the federal rate. The base case follows the filing and the top-up case is priced separately.</w:t>
            </w:r>
          </w:p>
        </w:tc>
        <w:tc>
          <w:tcPr>
            <w:tcW w:type="dxa" w:w="3600"/>
          </w:tcPr>
          <w:p>
            <w:pPr>
              <w:spacing w:after="20"/>
              <w:jc w:val="right"/>
            </w:pPr>
            <w:r>
              <w:rPr>
                <w:color w:val="1C3A36"/>
                <w:sz w:val="15"/>
              </w:rPr>
              <w:t>A future filing showing a top-up charge, or a tax reconciliation that starts from the higher rate. That is a disclosure, not an inference, and it would arrive in an audited note.</w:t>
            </w:r>
          </w:p>
        </w:tc>
      </w:tr>
      <w:tr>
        <w:trPr>
          <w:cantSplit/>
        </w:trPr>
        <w:tc>
          <w:tcPr>
            <w:tcW w:type="dxa" w:w="2088"/>
          </w:tcPr>
          <w:p>
            <w:pPr>
              <w:spacing w:after="20"/>
            </w:pPr>
            <w:r>
              <w:rPr>
                <w:color w:val="1C3A36"/>
                <w:sz w:val="15"/>
              </w:rPr>
              <w:t>The realised fuel price is escalated on its own crude-linked path, not on a domestic inflation index</w:t>
            </w:r>
          </w:p>
        </w:tc>
        <w:tc>
          <w:tcPr>
            <w:tcW w:type="dxa" w:w="4392"/>
          </w:tcPr>
          <w:p>
            <w:pPr>
              <w:spacing w:after="20"/>
              <w:jc w:val="right"/>
            </w:pPr>
            <w:r>
              <w:rPr>
                <w:color w:val="1C3A36"/>
                <w:sz w:val="15"/>
              </w:rPr>
              <w:t>The realised retail price per litre follows AED 2.4200, 2.3400, 2.3630, 2.3870, 2.4110 across the forecast years. 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c>
          <w:tcPr>
            <w:tcW w:type="dxa" w:w="3600"/>
          </w:tcPr>
          <w:p>
            <w:pPr>
              <w:spacing w:after="20"/>
              <w:jc w:val="right"/>
            </w:pPr>
            <w:r>
              <w:rPr>
                <w:color w:val="1C3A36"/>
                <w:sz w:val="15"/>
              </w:rPr>
              <w:t>A crude path materially different from the one used — the study's own price sensitivity shows what that does. A domestic price cap that broke the link between the pump price and the crude price would overturn the construction itself rather than the level.</w:t>
            </w:r>
          </w:p>
        </w:tc>
      </w:tr>
      <w:tr>
        <w:trPr>
          <w:cantSplit/>
        </w:trPr>
        <w:tc>
          <w:tcPr>
            <w:tcW w:type="dxa" w:w="2088"/>
          </w:tcPr>
          <w:p>
            <w:pPr>
              <w:spacing w:after="20"/>
            </w:pPr>
            <w:r>
              <w:rPr>
                <w:color w:val="1C3A36"/>
                <w:sz w:val="15"/>
              </w:rPr>
              <w:t>The commercial margin per litre holds its 2026 step-up</w:t>
            </w:r>
          </w:p>
        </w:tc>
        <w:tc>
          <w:tcPr>
            <w:tcW w:type="dxa" w:w="4392"/>
          </w:tcPr>
          <w:p>
            <w:pPr>
              <w:spacing w:after="20"/>
              <w:jc w:val="right"/>
            </w:pPr>
            <w:r>
              <w:rPr>
                <w:color w:val="1C3A36"/>
                <w:sz w:val="15"/>
              </w:rPr>
              <w:t>Commercial gross profit per litre is escalated by 17.00% in FY2026 and by the domestic inflation rate thereafter. 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c>
          <w:tcPr>
            <w:tcW w:type="dxa" w:w="3600"/>
          </w:tcPr>
          <w:p>
            <w:pPr>
              <w:spacing w:after="20"/>
              <w:jc w:val="right"/>
            </w:pPr>
            <w:r>
              <w:rPr>
                <w:color w:val="1C3A36"/>
                <w:sz w:val="15"/>
              </w:rPr>
              <w:t>A second half of 2026, or a 2027, in which commercial gross profit per litre falls back toward its 2025 level. That would say the step was a one-period contract effect rather than a repricing that holds.</w:t>
            </w:r>
          </w:p>
        </w:tc>
      </w:tr>
      <w:tr>
        <w:trPr>
          <w:cantSplit/>
        </w:trPr>
        <w:tc>
          <w:tcPr>
            <w:tcW w:type="dxa" w:w="2088"/>
          </w:tcPr>
          <w:p>
            <w:pPr>
              <w:spacing w:after="20"/>
            </w:pPr>
            <w:r>
              <w:rPr>
                <w:color w:val="1C3A36"/>
                <w:sz w:val="15"/>
              </w:rPr>
              <w:t>The regulated retail margin is a domestic line and takes a domestic escalator</w:t>
            </w:r>
          </w:p>
        </w:tc>
        <w:tc>
          <w:tcPr>
            <w:tcW w:type="dxa" w:w="4392"/>
          </w:tcPr>
          <w:p>
            <w:pPr>
              <w:spacing w:after="20"/>
              <w:jc w:val="right"/>
            </w:pPr>
            <w:r>
              <w:rPr>
                <w:color w:val="1C3A36"/>
                <w:sz w:val="15"/>
              </w:rPr>
              <w:t>Retail fuel gross profit per litre escalates at 2.00% a year. Escalation of the structural retail fuel margin per litre. This is a domestic regulated-margin line, so it takes the domestic inflation escalator, not a commodity path — the fuel itself is a pass-through cost and is escalated separately through the realised price.</w:t>
            </w:r>
          </w:p>
        </w:tc>
        <w:tc>
          <w:tcPr>
            <w:tcW w:type="dxa" w:w="3600"/>
          </w:tcPr>
          <w:p>
            <w:pPr>
              <w:spacing w:after="20"/>
              <w:jc w:val="right"/>
            </w:pPr>
            <w:r>
              <w:rPr>
                <w:color w:val="1C3A36"/>
                <w:sz w:val="15"/>
              </w:rPr>
              <w:t>The margin formula itself changing, or a period in which the realised retail margin per litre moves with crude rather than independently of it.</w:t>
            </w:r>
          </w:p>
        </w:tc>
      </w:tr>
      <w:tr>
        <w:trPr>
          <w:cantSplit/>
        </w:trPr>
        <w:tc>
          <w:tcPr>
            <w:tcW w:type="dxa" w:w="2088"/>
          </w:tcPr>
          <w:p>
            <w:pPr>
              <w:spacing w:after="20"/>
            </w:pPr>
            <w:r>
              <w:rPr>
                <w:color w:val="1C3A36"/>
                <w:sz w:val="15"/>
              </w:rPr>
              <w:t>The risk-free rate is normalised by taking out the sovereign's own default spread</w:t>
            </w:r>
          </w:p>
        </w:tc>
        <w:tc>
          <w:tcPr>
            <w:tcW w:type="dxa" w:w="4392"/>
          </w:tcPr>
          <w:p>
            <w:pPr>
              <w:spacing w:after="20"/>
              <w:jc w:val="right"/>
            </w:pPr>
            <w:r>
              <w:rPr>
                <w:color w:val="1C3A36"/>
                <w:sz w:val="15"/>
              </w:rPr>
              <w:t>The observed local-currency government yield is 4.48%; the sovereign's own adjusted default spread of 0.420% is subtracted, leaving 4.06%. Country risk is then charged exactly once, inside the equity risk premium of 4.87%. Charging the raw yield alongside a country-loaded premium would count the same risk twice.</w:t>
            </w:r>
          </w:p>
        </w:tc>
        <w:tc>
          <w:tcPr>
            <w:tcW w:type="dxa" w:w="3600"/>
          </w:tcPr>
          <w:p>
            <w:pPr>
              <w:spacing w:after="20"/>
              <w:jc w:val="right"/>
            </w:pPr>
            <w:r>
              <w:rPr>
                <w:color w:val="1C3A36"/>
                <w:sz w:val="15"/>
              </w:rPr>
              <w:t>Nothing — this is a construction rule rather than a view. What is open to challenge is the level of the yield itself, and that is shown across a range in the study's sensitivity.</w:t>
            </w:r>
          </w:p>
        </w:tc>
      </w:tr>
      <w:tr>
        <w:trPr>
          <w:cantSplit/>
        </w:trPr>
        <w:tc>
          <w:tcPr>
            <w:tcW w:type="dxa" w:w="2088"/>
          </w:tcPr>
          <w:p>
            <w:pPr>
              <w:spacing w:after="20"/>
            </w:pPr>
            <w:r>
              <w:rPr>
                <w:color w:val="1C3A36"/>
                <w:sz w:val="15"/>
              </w:rPr>
              <w:t>The cost of debt is built from the sovereign yield plus the company's own disclosed credit margin</w:t>
            </w:r>
          </w:p>
        </w:tc>
        <w:tc>
          <w:tcPr>
            <w:tcW w:type="dxa" w:w="4392"/>
          </w:tcPr>
          <w:p>
            <w:pPr>
              <w:spacing w:after="20"/>
              <w:jc w:val="right"/>
            </w:pPr>
            <w:r>
              <w:rPr>
                <w:color w:val="1C3A36"/>
                <w:sz w:val="15"/>
              </w:rPr>
              <w:t>The pre-tax marginal cost of debt is 5.08% — the local-currency sovereign yield plus the dirham margin of 0.600% the company discloses on its own term loan. It therefore sits above the sovereign, as a same-currency corporate borrower must. The dollar tranche carries a margin of 0.850% and is shown separately at 5.33%.</w:t>
            </w:r>
          </w:p>
        </w:tc>
        <w:tc>
          <w:tcPr>
            <w:tcW w:type="dxa" w:w="3600"/>
          </w:tcPr>
          <w:p>
            <w:pPr>
              <w:spacing w:after="20"/>
              <w:jc w:val="right"/>
            </w:pPr>
            <w:r>
              <w:rPr>
                <w:color w:val="1C3A36"/>
                <w:sz w:val="15"/>
              </w:rPr>
              <w:t>A new borrowing at a materially different spread. The company's next refinancing is the observation that would settle it.</w:t>
            </w:r>
          </w:p>
        </w:tc>
      </w:tr>
      <w:tr>
        <w:trPr>
          <w:cantSplit/>
        </w:trPr>
        <w:tc>
          <w:tcPr>
            <w:tcW w:type="dxa" w:w="2088"/>
          </w:tcPr>
          <w:p>
            <w:pPr>
              <w:spacing w:after="20"/>
            </w:pPr>
            <w:r>
              <w:rPr>
                <w:color w:val="1C3A36"/>
                <w:sz w:val="15"/>
              </w:rPr>
              <w:t>The cost of capital is glided rather than held flat</w:t>
            </w:r>
          </w:p>
        </w:tc>
        <w:tc>
          <w:tcPr>
            <w:tcW w:type="dxa" w:w="4392"/>
          </w:tcPr>
          <w:p>
            <w:pPr>
              <w:spacing w:after="20"/>
              <w:jc w:val="right"/>
            </w:pPr>
            <w:r>
              <w:rPr>
                <w:color w:val="1C3A36"/>
                <w:sz w:val="15"/>
              </w:rPr>
              <w:t>The discount rate moves from 6.43% today to 7.18% at the end of the forecast, as the beta drifts from 0.509 to 0.700 and the debt weight from 5.54% to 10.00%. Terminal beta, drifting from the measured 0.509 toward the market as the transition risk in the business rises and the regulated margin becomes a smaller share of a more diversified earnings base.</w:t>
            </w:r>
          </w:p>
        </w:tc>
        <w:tc>
          <w:tcPr>
            <w:tcW w:type="dxa" w:w="3600"/>
          </w:tcPr>
          <w:p>
            <w:pPr>
              <w:spacing w:after="20"/>
              <w:jc w:val="right"/>
            </w:pPr>
            <w:r>
              <w:rPr>
                <w:color w:val="1C3A36"/>
                <w:sz w:val="15"/>
              </w:rPr>
              <w:t>A stated policy of holding leverage where it is, or evidence that the transition risk in the business is not rising — either would argue for the flat construction instead.</w:t>
            </w:r>
          </w:p>
        </w:tc>
      </w:tr>
      <w:tr>
        <w:trPr>
          <w:cantSplit/>
        </w:trPr>
        <w:tc>
          <w:tcPr>
            <w:tcW w:type="dxa" w:w="2088"/>
          </w:tcPr>
          <w:p>
            <w:pPr>
              <w:spacing w:after="20"/>
            </w:pPr>
            <w:r>
              <w:rPr>
                <w:color w:val="1C3A36"/>
                <w:sz w:val="15"/>
              </w:rPr>
              <w:t>The terminal return on capital fades from what the company earns today</w:t>
            </w:r>
          </w:p>
        </w:tc>
        <w:tc>
          <w:tcPr>
            <w:tcW w:type="dxa" w:w="4392"/>
          </w:tcPr>
          <w:p>
            <w:pPr>
              <w:spacing w:after="20"/>
              <w:jc w:val="right"/>
            </w:pPr>
            <w:r>
              <w:rPr>
                <w:color w:val="1C3A36"/>
                <w:sz w:val="15"/>
              </w:rPr>
              <w:t>Terminal return on invested capital is set at 25.00%. Terminal return on invested capital. The company earned a 32.7% return on capital employed in FY2025 and 40.1% in the first half of 2026 on its own measure; the terminal figure fades that toward a level a mature, more capital-intensive network would sustain.</w:t>
            </w:r>
          </w:p>
        </w:tc>
        <w:tc>
          <w:tcPr>
            <w:tcW w:type="dxa" w:w="3600"/>
          </w:tcPr>
          <w:p>
            <w:pPr>
              <w:spacing w:after="20"/>
              <w:jc w:val="right"/>
            </w:pPr>
            <w:r>
              <w:rPr>
                <w:color w:val="1C3A36"/>
                <w:sz w:val="15"/>
              </w:rPr>
              <w:t>The network continuing to earn its current return on capital while still growing — which would mean the reinvestment rate implied by the terminal block is too high and the terminal value too low.</w:t>
            </w:r>
          </w:p>
        </w:tc>
      </w:tr>
      <w:tr>
        <w:trPr>
          <w:cantSplit/>
        </w:trPr>
        <w:tc>
          <w:tcPr>
            <w:tcW w:type="dxa" w:w="2088"/>
          </w:tcPr>
          <w:p>
            <w:pPr>
              <w:spacing w:after="20"/>
            </w:pPr>
            <w:r>
              <w:rPr>
                <w:color w:val="1C3A36"/>
                <w:sz w:val="15"/>
              </w:rPr>
              <w:t>Impairment and other operating charges are normalised rather than carried at their realised level</w:t>
            </w:r>
          </w:p>
        </w:tc>
        <w:tc>
          <w:tcPr>
            <w:tcW w:type="dxa" w:w="4392"/>
          </w:tcPr>
          <w:p>
            <w:pPr>
              <w:spacing w:after="20"/>
              <w:jc w:val="right"/>
            </w:pPr>
            <w:r>
              <w:rPr>
                <w:color w:val="1C3A36"/>
                <w:sz w:val="15"/>
              </w:rPr>
              <w:t>FY2026 carries the realised first half annualised, at AED 360 million, falling to AED 220 million and then escalating with inflation. 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c>
          <w:tcPr>
            <w:tcW w:type="dxa" w:w="3600"/>
          </w:tcPr>
          <w:p>
            <w:pPr>
              <w:spacing w:after="20"/>
              <w:jc w:val="right"/>
            </w:pPr>
            <w:r>
              <w:rPr>
                <w:color w:val="1C3A36"/>
                <w:sz w:val="15"/>
              </w:rPr>
              <w:t>A third consecutive year at the elevated level, which would make it a run rate rather than a provisioning cycle.</w:t>
            </w:r>
          </w:p>
        </w:tc>
      </w:tr>
      <w:tr>
        <w:trPr>
          <w:cantSplit/>
        </w:trPr>
        <w:tc>
          <w:tcPr>
            <w:tcW w:type="dxa" w:w="2088"/>
          </w:tcPr>
          <w:p>
            <w:pPr>
              <w:spacing w:after="20"/>
            </w:pPr>
            <w:r>
              <w:rPr>
                <w:color w:val="1C3A36"/>
                <w:sz w:val="15"/>
              </w:rPr>
              <w:t>Cash operating costs take a domestic escalator, net of the company's own efficiency programme</w:t>
            </w:r>
          </w:p>
        </w:tc>
        <w:tc>
          <w:tcPr>
            <w:tcW w:type="dxa" w:w="4392"/>
          </w:tcPr>
          <w:p>
            <w:pPr>
              <w:spacing w:after="20"/>
              <w:jc w:val="right"/>
            </w:pPr>
            <w:r>
              <w:rPr>
                <w:color w:val="1C3A36"/>
                <w:sz w:val="15"/>
              </w:rPr>
              <w:t>Cash operating costs grow at 4.00% a year. 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c>
          <w:tcPr>
            <w:tcW w:type="dxa" w:w="3600"/>
          </w:tcPr>
          <w:p>
            <w:pPr>
              <w:spacing w:after="20"/>
              <w:jc w:val="right"/>
            </w:pPr>
            <w:r>
              <w:rPr>
                <w:color w:val="1C3A36"/>
                <w:sz w:val="15"/>
              </w:rPr>
              <w:t>The efficiency programme being abandoned or missed, or a network expansion that adds cost faster than the stated rate.</w:t>
            </w:r>
          </w:p>
        </w:tc>
      </w:tr>
      <w:tr>
        <w:trPr>
          <w:cantSplit/>
        </w:trPr>
        <w:tc>
          <w:tcPr>
            <w:tcW w:type="dxa" w:w="2088"/>
          </w:tcPr>
          <w:p>
            <w:pPr>
              <w:spacing w:after="20"/>
            </w:pPr>
            <w:r>
              <w:rPr>
                <w:color w:val="1C3A36"/>
                <w:sz w:val="15"/>
              </w:rPr>
              <w:t>The dividend is carried at close to the whole of earnings</w:t>
            </w:r>
          </w:p>
        </w:tc>
        <w:tc>
          <w:tcPr>
            <w:tcW w:type="dxa" w:w="4392"/>
          </w:tcPr>
          <w:p>
            <w:pPr>
              <w:spacing w:after="20"/>
              <w:jc w:val="right"/>
            </w:pPr>
            <w:r>
              <w:rPr>
                <w:color w:val="1C3A36"/>
                <w:sz w:val="15"/>
              </w:rPr>
              <w:t>The payout used in the equity roll-forward is 92.00%. 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c>
          <w:tcPr>
            <w:tcW w:type="dxa" w:w="3600"/>
          </w:tcPr>
          <w:p>
            <w:pPr>
              <w:spacing w:after="20"/>
              <w:jc w:val="right"/>
            </w:pPr>
            <w:r>
              <w:rPr>
                <w:color w:val="1C3A36"/>
                <w:sz w:val="15"/>
              </w:rPr>
              <w:t>A change to the stated policy, or a year in which the fixed dirham dividend is cut. Because the policy sets a fixed amount per share with a floor of a stated share of profit, rising profits reduce the payout ratio mechanically without any decision at all.</w:t>
            </w:r>
          </w:p>
        </w:tc>
      </w:tr>
    </w:tbl>
    <w:p>
      <w:pPr>
        <w:spacing w:after="40"/>
      </w:pPr>
    </w:p>
    <w:p>
      <w:pPr>
        <w:spacing w:after="200" w:before="0"/>
      </w:pPr>
      <w:r>
        <w:rPr>
          <w:b w:val="0"/>
          <w:i/>
          <w:color w:val="6E7B77"/>
          <w:sz w:val="17"/>
        </w:rPr>
        <w:t>Table 9 — the 15 judgements the valuation rests on, each with the evidence that would overturn it. The first of them is the study's most consequential contested judgement and is carried both ways all the way to a value per share, never averaged into one number.</w:t>
      </w:r>
    </w:p>
    <w:p>
      <w:pPr>
        <w:spacing w:after="120" w:before="280"/>
      </w:pPr>
      <w:r>
        <w:rPr>
          <w:b/>
          <w:i w:val="0"/>
          <w:color w:val="1C3A36"/>
          <w:sz w:val="30"/>
        </w:rPr>
        <w:t>4. What was looked for and not found</w:t>
      </w:r>
    </w:p>
    <w:p>
      <w:pPr>
        <w:spacing w:after="120" w:before="0"/>
      </w:pPr>
      <w:r>
        <w:rPr>
          <w:b w:val="0"/>
          <w:i w:val="0"/>
          <w:color w:val="1C3A36"/>
          <w:sz w:val="21"/>
        </w:rPr>
        <w:t>A study that reports only what it found is not reporting its own reliability. Everything below was searched for on or before 9 August 2026 and not obtained, together with what the valuation does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333"/>
        <w:gridCol w:w="5270"/>
      </w:tblGrid>
      <w:tr>
        <w:trPr>
          <w:cantSplit/>
        </w:trPr>
        <w:tc>
          <w:tcPr>
            <w:tcW w:type="dxa" w:w="2477"/>
            <w:shd w:val="clear" w:color="auto" w:fill="EAF0EE"/>
          </w:tcPr>
          <w:p>
            <w:pPr>
              <w:spacing w:after="20"/>
            </w:pPr>
            <w:r>
              <w:rPr>
                <w:b/>
                <w:color w:val="1C3A36"/>
                <w:sz w:val="15"/>
              </w:rPr>
              <w:t>What was sought</w:t>
            </w:r>
          </w:p>
        </w:tc>
        <w:tc>
          <w:tcPr>
            <w:tcW w:type="dxa" w:w="2333"/>
            <w:shd w:val="clear" w:color="auto" w:fill="EAF0EE"/>
          </w:tcPr>
          <w:p>
            <w:pPr>
              <w:spacing w:after="20"/>
            </w:pPr>
            <w:r>
              <w:rPr>
                <w:b/>
                <w:color w:val="1C3A36"/>
                <w:sz w:val="15"/>
              </w:rPr>
              <w:t>Where it was sought</w:t>
            </w:r>
          </w:p>
        </w:tc>
        <w:tc>
          <w:tcPr>
            <w:tcW w:type="dxa" w:w="5270"/>
            <w:shd w:val="clear" w:color="auto" w:fill="EAF0EE"/>
          </w:tcPr>
          <w:p>
            <w:pPr>
              <w:spacing w:after="20"/>
            </w:pPr>
            <w:r>
              <w:rPr>
                <w:b/>
                <w:color w:val="1C3A36"/>
                <w:sz w:val="15"/>
              </w:rPr>
              <w:t>What was done instead</w:t>
            </w:r>
          </w:p>
        </w:tc>
      </w:tr>
      <w:tr>
        <w:trPr>
          <w:cantSplit/>
        </w:trPr>
        <w:tc>
          <w:tcPr>
            <w:tcW w:type="dxa" w:w="2477"/>
          </w:tcPr>
          <w:p>
            <w:pPr>
              <w:spacing w:after="20"/>
            </w:pPr>
            <w:r>
              <w:rPr>
                <w:color w:val="1C3A36"/>
                <w:sz w:val="15"/>
              </w:rPr>
              <w:t>The central bank's own published interbank rate</w:t>
            </w:r>
          </w:p>
        </w:tc>
        <w:tc>
          <w:tcPr>
            <w:tcW w:type="dxa" w:w="2333"/>
          </w:tcPr>
          <w:p>
            <w:pPr>
              <w:spacing w:after="20"/>
              <w:jc w:val="right"/>
            </w:pPr>
            <w:r>
              <w:rPr>
                <w:color w:val="1C3A36"/>
                <w:sz w:val="15"/>
              </w:rPr>
              <w:t>The Central Bank of the United Arab Emirates interbank rate page</w:t>
            </w:r>
          </w:p>
        </w:tc>
        <w:tc>
          <w:tcPr>
            <w:tcW w:type="dxa" w:w="5270"/>
          </w:tcPr>
          <w:p>
            <w:pPr>
              <w:spacing w:after="20"/>
              <w:jc w:val="right"/>
            </w:pPr>
            <w:r>
              <w:rPr>
                <w:color w:val="1C3A36"/>
                <w:sz w:val="15"/>
              </w:rPr>
              <w:t>The page refused automated access on 9 August 2026. The study's own network route was checked at the same moment and was healthy, so this was the site's own protection against automated readers rather than a connection failure. The marginal cost of debt was built instead from the local-currency sovereign yield of 4.48% plus the company's own disclosed credit margin of 0.600%, both of which are primary figures. The central bank's base rate of 3.65% was obtained from the bank's own rate announcement and is shown as a floating-rate cross-check.</w:t>
            </w:r>
          </w:p>
        </w:tc>
      </w:tr>
      <w:tr>
        <w:trPr>
          <w:cantSplit/>
        </w:trPr>
        <w:tc>
          <w:tcPr>
            <w:tcW w:type="dxa" w:w="2477"/>
          </w:tcPr>
          <w:p>
            <w:pPr>
              <w:spacing w:after="20"/>
            </w:pPr>
            <w:r>
              <w:rPr>
                <w:color w:val="1C3A36"/>
                <w:sz w:val="15"/>
              </w:rPr>
              <w:t>An inventory-movement figure for FY2023 or FY2022</w:t>
            </w:r>
          </w:p>
        </w:tc>
        <w:tc>
          <w:tcPr>
            <w:tcW w:type="dxa" w:w="2333"/>
          </w:tcPr>
          <w:p>
            <w:pPr>
              <w:spacing w:after="20"/>
              <w:jc w:val="right"/>
            </w:pPr>
            <w:r>
              <w:rPr>
                <w:color w:val="1C3A36"/>
                <w:sz w:val="15"/>
              </w:rPr>
              <w:t>All three audited filings, both management reports, all three results presentations and the integrated report</w:t>
            </w:r>
          </w:p>
        </w:tc>
        <w:tc>
          <w:tcPr>
            <w:tcW w:type="dxa" w:w="5270"/>
          </w:tcPr>
          <w:p>
            <w:pPr>
              <w:spacing w:after="20"/>
              <w:jc w:val="right"/>
            </w:pPr>
            <w:r>
              <w:rPr>
                <w:color w:val="1C3A36"/>
                <w:sz w:val="15"/>
              </w:rPr>
              <w:t>NO inventory gain/loss figure for FY2023 or FY2022 exists in any supplied file. The FY2025 MD&amp;A carries only 2025 and 2024; the FY2023/FY2024 MD&amp;A and IR decks were not supplied. The 2025 Integrated Report repeats only the 2025 vs 2024 pair. A through-cycle average can therefore be computed over FY2024, FY2025, H1-2026 (and their quarterly splits) ONLY. The through-cycle frame therefore averages over FY2024, FY2025 and the first half of 2026 only, and the study says so where the average is used. It is also the reason this judgement is published both ways rather than settled.</w:t>
            </w:r>
          </w:p>
        </w:tc>
      </w:tr>
      <w:tr>
        <w:trPr>
          <w:cantSplit/>
        </w:trPr>
        <w:tc>
          <w:tcPr>
            <w:tcW w:type="dxa" w:w="2477"/>
          </w:tcPr>
          <w:p>
            <w:pPr>
              <w:spacing w:after="20"/>
            </w:pPr>
            <w:r>
              <w:rPr>
                <w:color w:val="1C3A36"/>
                <w:sz w:val="15"/>
              </w:rPr>
              <w:t>The outstanding dirham-versus-dollar split of the term loan</w:t>
            </w:r>
          </w:p>
        </w:tc>
        <w:tc>
          <w:tcPr>
            <w:tcW w:type="dxa" w:w="2333"/>
          </w:tcPr>
          <w:p>
            <w:pPr>
              <w:spacing w:after="20"/>
              <w:jc w:val="right"/>
            </w:pPr>
            <w:r>
              <w:rPr>
                <w:color w:val="1C3A36"/>
                <w:sz w:val="15"/>
              </w:rPr>
              <w:t>The borrowings note in each of the three audited filings and both interim filings</w:t>
            </w:r>
          </w:p>
        </w:tc>
        <w:tc>
          <w:tcPr>
            <w:tcW w:type="dxa" w:w="5270"/>
          </w:tcPr>
          <w:p>
            <w:pPr>
              <w:spacing w:after="20"/>
              <w:jc w:val="right"/>
            </w:pPr>
            <w:r>
              <w:rPr>
                <w:color w:val="1C3A36"/>
                <w:sz w:val="15"/>
              </w:rPr>
              <w:t>Borrowings note does NOT disclose an outstanding AED-vs-USD tranche split at any balance sheet date; only the original 2017 drawdown split and the per-currency margin basis are disclosed (see borrowings_note). The debt is therefore split for the cost-of-capital build using the disclosed per-currency margins and the original drawdown proportions, and both the dirham-basis and dollar-basis costs of debt are published side by side rather than blended into one.</w:t>
            </w:r>
          </w:p>
        </w:tc>
      </w:tr>
      <w:tr>
        <w:trPr>
          <w:cantSplit/>
        </w:trPr>
        <w:tc>
          <w:tcPr>
            <w:tcW w:type="dxa" w:w="2477"/>
          </w:tcPr>
          <w:p>
            <w:pPr>
              <w:spacing w:after="20"/>
            </w:pPr>
            <w:r>
              <w:rPr>
                <w:color w:val="1C3A36"/>
                <w:sz w:val="15"/>
              </w:rPr>
              <w:t>A ten-year dirham-denominated federal government bond</w:t>
            </w:r>
          </w:p>
        </w:tc>
        <w:tc>
          <w:tcPr>
            <w:tcW w:type="dxa" w:w="2333"/>
          </w:tcPr>
          <w:p>
            <w:pPr>
              <w:spacing w:after="20"/>
              <w:jc w:val="right"/>
            </w:pPr>
            <w:r>
              <w:rPr>
                <w:color w:val="1C3A36"/>
                <w:sz w:val="15"/>
              </w:rPr>
              <w:t>The Ministry of Finance auction results for the federal Treasury bond programme</w:t>
            </w:r>
          </w:p>
        </w:tc>
        <w:tc>
          <w:tcPr>
            <w:tcW w:type="dxa" w:w="5270"/>
          </w:tcPr>
          <w:p>
            <w:pPr>
              <w:spacing w:after="20"/>
              <w:jc w:val="right"/>
            </w:pPr>
            <w:r>
              <w:rPr>
                <w:color w:val="1C3A36"/>
                <w:sz w:val="15"/>
              </w:rPr>
              <w:t>No such tenor has been issued. The longest sourced local-currency point is the January 2031 tranche at 4.48%, about four and a half years. That observed yield is used rather than a constructed ten-year point, and the alternative — extrapolating the curve off the sovereign's dollar issuance — is shown as a sensitivity rather than presented as an observation.</w:t>
            </w:r>
          </w:p>
        </w:tc>
      </w:tr>
      <w:tr>
        <w:trPr>
          <w:cantSplit/>
        </w:trPr>
        <w:tc>
          <w:tcPr>
            <w:tcW w:type="dxa" w:w="2477"/>
          </w:tcPr>
          <w:p>
            <w:pPr>
              <w:spacing w:after="20"/>
            </w:pPr>
            <w:r>
              <w:rPr>
                <w:color w:val="1C3A36"/>
                <w:sz w:val="15"/>
              </w:rPr>
              <w:t>A credit-default-swap-based row for the United Arab Emirates in the country-risk file</w:t>
            </w:r>
          </w:p>
        </w:tc>
        <w:tc>
          <w:tcPr>
            <w:tcW w:type="dxa" w:w="2333"/>
          </w:tcPr>
          <w:p>
            <w:pPr>
              <w:spacing w:after="20"/>
              <w:jc w:val="right"/>
            </w:pPr>
            <w:r>
              <w:rPr>
                <w:color w:val="1C3A36"/>
                <w:sz w:val="15"/>
              </w:rPr>
              <w:t>The country default spreads and risk premiums file, in the original published version</w:t>
            </w:r>
          </w:p>
        </w:tc>
        <w:tc>
          <w:tcPr>
            <w:tcW w:type="dxa" w:w="5270"/>
          </w:tcPr>
          <w:p>
            <w:pPr>
              <w:spacing w:after="20"/>
              <w:jc w:val="right"/>
            </w:pPr>
            <w:r>
              <w:rPr>
                <w:color w:val="1C3A36"/>
                <w:sz w:val="15"/>
              </w:rPr>
              <w:t>The file carries no swap-based row for this sovereign, so only the rating-based construction can be published: an adjusted default spread of 0.420% and a total equity risk premium of 4.87%, being the mature-market premium of 4.23% plus a country risk premium of 0.640%. Where two bases exist a study of this house publishes both; here only one exists and that is stated rather than hidden.</w:t>
            </w:r>
          </w:p>
        </w:tc>
      </w:tr>
      <w:tr>
        <w:trPr>
          <w:cantSplit/>
        </w:trPr>
        <w:tc>
          <w:tcPr>
            <w:tcW w:type="dxa" w:w="2477"/>
          </w:tcPr>
          <w:p>
            <w:pPr>
              <w:spacing w:after="20"/>
            </w:pPr>
            <w:r>
              <w:rPr>
                <w:color w:val="1C3A36"/>
                <w:sz w:val="15"/>
              </w:rPr>
              <w:t>A more recent version of the same country-risk file</w:t>
            </w:r>
          </w:p>
        </w:tc>
        <w:tc>
          <w:tcPr>
            <w:tcW w:type="dxa" w:w="2333"/>
          </w:tcPr>
          <w:p>
            <w:pPr>
              <w:spacing w:after="20"/>
              <w:jc w:val="right"/>
            </w:pPr>
            <w:r>
              <w:rPr>
                <w:color w:val="1C3A36"/>
                <w:sz w:val="15"/>
              </w:rPr>
              <w:t>The original publication of the country default spreads and risk premiums file</w:t>
            </w:r>
          </w:p>
        </w:tc>
        <w:tc>
          <w:tcPr>
            <w:tcW w:type="dxa" w:w="5270"/>
          </w:tcPr>
          <w:p>
            <w:pPr>
              <w:spacing w:after="20"/>
              <w:jc w:val="right"/>
            </w:pPr>
            <w:r>
              <w:rPr>
                <w:color w:val="1C3A36"/>
                <w:sz w:val="15"/>
              </w:rPr>
              <w:t>A mid-2026 update exists, but its row for this country could not be verified in the original published file, and a third-party restatement of that row contradicts the original and was therefore not used. The January 2026 vintage is used and its vintage is disclosed wherever the premium appears.</w:t>
            </w:r>
          </w:p>
        </w:tc>
      </w:tr>
      <w:tr>
        <w:trPr>
          <w:cantSplit/>
        </w:trPr>
        <w:tc>
          <w:tcPr>
            <w:tcW w:type="dxa" w:w="2477"/>
          </w:tcPr>
          <w:p>
            <w:pPr>
              <w:spacing w:after="20"/>
            </w:pPr>
            <w:r>
              <w:rPr>
                <w:color w:val="1C3A36"/>
                <w:sz w:val="15"/>
              </w:rPr>
              <w:t>Quantitative guidance for 2026 earnings or volumes</w:t>
            </w:r>
          </w:p>
        </w:tc>
        <w:tc>
          <w:tcPr>
            <w:tcW w:type="dxa" w:w="2333"/>
          </w:tcPr>
          <w:p>
            <w:pPr>
              <w:spacing w:after="20"/>
              <w:jc w:val="right"/>
            </w:pPr>
            <w:r>
              <w:rPr>
                <w:color w:val="1C3A36"/>
                <w:sz w:val="15"/>
              </w:rPr>
              <w:t>Both management reports and all three results presentations</w:t>
            </w:r>
          </w:p>
        </w:tc>
        <w:tc>
          <w:tcPr>
            <w:tcW w:type="dxa" w:w="5270"/>
          </w:tcPr>
          <w:p>
            <w:pPr>
              <w:spacing w:after="20"/>
              <w:jc w:val="right"/>
            </w:pPr>
            <w:r>
              <w:rPr>
                <w:color w:val="1C3A36"/>
                <w:sz w:val="15"/>
              </w:rPr>
              <w:t>NOT GIVEN as a number for 2026. The company gives no quantitative FY2026 EBITDA or volume guidance in any supplied file. NOT GIVEN as a number. The company does give network, capital-expenditure and dividend targets, and those are used; the volume and margin paths are built from the disclosed first half rather than from any company forecast.</w:t>
            </w:r>
          </w:p>
        </w:tc>
      </w:tr>
      <w:tr>
        <w:trPr>
          <w:cantSplit/>
        </w:trPr>
        <w:tc>
          <w:tcPr>
            <w:tcW w:type="dxa" w:w="2477"/>
          </w:tcPr>
          <w:p>
            <w:pPr>
              <w:spacing w:after="20"/>
            </w:pPr>
            <w:r>
              <w:rPr>
                <w:color w:val="1C3A36"/>
                <w:sz w:val="15"/>
              </w:rPr>
              <w:t>FY2023 operating statistics — volumes, station counts, store and charging-point counts</w:t>
            </w:r>
          </w:p>
        </w:tc>
        <w:tc>
          <w:tcPr>
            <w:tcW w:type="dxa" w:w="2333"/>
          </w:tcPr>
          <w:p>
            <w:pPr>
              <w:spacing w:after="20"/>
              <w:jc w:val="right"/>
            </w:pPr>
            <w:r>
              <w:rPr>
                <w:color w:val="1C3A36"/>
                <w:sz w:val="15"/>
              </w:rPr>
              <w:t>All three audited filings, the FY2025 management report and the integrated report</w:t>
            </w:r>
          </w:p>
        </w:tc>
        <w:tc>
          <w:tcPr>
            <w:tcW w:type="dxa" w:w="5270"/>
          </w:tcPr>
          <w:p>
            <w:pPr>
              <w:spacing w:after="20"/>
              <w:jc w:val="right"/>
            </w:pPr>
            <w:r>
              <w:rPr>
                <w:color w:val="1C3A36"/>
                <w:sz w:val="15"/>
              </w:rPr>
              <w:t>FY2023 and FY2022 operating KPIs (fuel volumes by segment, station counts, convenience-store metrics, EV points, transactions) — the FY2023 and FY2024 MD&amp;A / IR decks were NOT among the supplied files; the FY2025 MD&amp;A only carries 2025 and 2024 columns, and the 2025 Integrated Report ESG index carries only environmental/HR series for 2022-2025. The unit build therefore starts from FY2024, which is the first year for which volumes and network counts are disclosed alongside the accounts, and FY2023 is carried at the statement level only.</w:t>
            </w:r>
          </w:p>
        </w:tc>
      </w:tr>
      <w:tr>
        <w:trPr>
          <w:cantSplit/>
        </w:trPr>
        <w:tc>
          <w:tcPr>
            <w:tcW w:type="dxa" w:w="2477"/>
          </w:tcPr>
          <w:p>
            <w:pPr>
              <w:spacing w:after="20"/>
            </w:pPr>
            <w:r>
              <w:rPr>
                <w:color w:val="1C3A36"/>
                <w:sz w:val="15"/>
              </w:rPr>
              <w:t>An EBITDA figure for FY2023 or FY2022</w:t>
            </w:r>
          </w:p>
        </w:tc>
        <w:tc>
          <w:tcPr>
            <w:tcW w:type="dxa" w:w="2333"/>
          </w:tcPr>
          <w:p>
            <w:pPr>
              <w:spacing w:after="20"/>
              <w:jc w:val="right"/>
            </w:pPr>
            <w:r>
              <w:rPr>
                <w:color w:val="1C3A36"/>
                <w:sz w:val="15"/>
              </w:rPr>
              <w:t>The audited filings and the obtained management reports</w:t>
            </w:r>
          </w:p>
        </w:tc>
        <w:tc>
          <w:tcPr>
            <w:tcW w:type="dxa" w:w="5270"/>
          </w:tcPr>
          <w:p>
            <w:pPr>
              <w:spacing w:after="20"/>
              <w:jc w:val="right"/>
            </w:pPr>
            <w:r>
              <w:rPr>
                <w:color w:val="1C3A36"/>
                <w:sz w:val="15"/>
              </w:rPr>
              <w:t>FY2023 and FY2022 EBITDA / underlying EBITDA — EBITDA is a non-IFRS measure disclosed only in the MD&amp;A, and only FY2025/FY2024 MD&amp;A was supplied. The earnings history in this study is therefore presented on audited operating profit, which exists for every year, with EBITDA shown only where the company itself published it.</w:t>
            </w:r>
          </w:p>
        </w:tc>
      </w:tr>
      <w:tr>
        <w:trPr>
          <w:cantSplit/>
        </w:trPr>
        <w:tc>
          <w:tcPr>
            <w:tcW w:type="dxa" w:w="2477"/>
          </w:tcPr>
          <w:p>
            <w:pPr>
              <w:spacing w:after="20"/>
            </w:pPr>
            <w:r>
              <w:rPr>
                <w:color w:val="1C3A36"/>
                <w:sz w:val="15"/>
              </w:rPr>
              <w:t>The stated maturity date of the term loan</w:t>
            </w:r>
          </w:p>
        </w:tc>
        <w:tc>
          <w:tcPr>
            <w:tcW w:type="dxa" w:w="2333"/>
          </w:tcPr>
          <w:p>
            <w:pPr>
              <w:spacing w:after="20"/>
              <w:jc w:val="right"/>
            </w:pPr>
            <w:r>
              <w:rPr>
                <w:color w:val="1C3A36"/>
                <w:sz w:val="15"/>
              </w:rPr>
              <w:t>The borrowings note in the FY2025 audited filing</w:t>
            </w:r>
          </w:p>
        </w:tc>
        <w:tc>
          <w:tcPr>
            <w:tcW w:type="dxa" w:w="5270"/>
          </w:tcPr>
          <w:p>
            <w:pPr>
              <w:spacing w:after="20"/>
              <w:jc w:val="right"/>
            </w:pPr>
            <w:r>
              <w:rPr>
                <w:color w:val="1C3A36"/>
                <w:sz w:val="15"/>
              </w:rPr>
              <w:t>Term loan maturity date is not stated explicitly in FY2025; only 'refinanced on 26 October 2022 for another 5-year term' is disclosed. The refinancing date and term are used to place the maturity, and the study does not present a precise repayment schedule it cannot source.</w:t>
            </w:r>
          </w:p>
        </w:tc>
      </w:tr>
      <w:tr>
        <w:trPr>
          <w:cantSplit/>
        </w:trPr>
        <w:tc>
          <w:tcPr>
            <w:tcW w:type="dxa" w:w="2477"/>
          </w:tcPr>
          <w:p>
            <w:pPr>
              <w:spacing w:after="20"/>
            </w:pPr>
            <w:r>
              <w:rPr>
                <w:color w:val="1C3A36"/>
                <w:sz w:val="15"/>
              </w:rPr>
              <w:t>The management report for the first quarter of 2026</w:t>
            </w:r>
          </w:p>
        </w:tc>
        <w:tc>
          <w:tcPr>
            <w:tcW w:type="dxa" w:w="2333"/>
          </w:tcPr>
          <w:p>
            <w:pPr>
              <w:spacing w:after="20"/>
              <w:jc w:val="right"/>
            </w:pPr>
            <w:r>
              <w:rPr>
                <w:color w:val="1C3A36"/>
                <w:sz w:val="15"/>
              </w:rPr>
              <w:t>The company's investor-relations site</w:t>
            </w:r>
          </w:p>
        </w:tc>
        <w:tc>
          <w:tcPr>
            <w:tcW w:type="dxa" w:w="5270"/>
          </w:tcPr>
          <w:p>
            <w:pPr>
              <w:spacing w:after="20"/>
              <w:jc w:val="right"/>
            </w:pPr>
            <w:r>
              <w:rPr>
                <w:color w:val="1C3A36"/>
                <w:sz w:val="15"/>
              </w:rPr>
              <w:t>Q1-2026 MD&amp;A was not supplied (Q1 reviewed interim + Q1 IR deck were). The reviewed interim statements and the first-quarter results presentation were both obtained, so the quarter is covered; the commentary volume for that quarter is not.</w:t>
            </w:r>
          </w:p>
        </w:tc>
      </w:tr>
      <w:tr>
        <w:trPr>
          <w:cantSplit/>
        </w:trPr>
        <w:tc>
          <w:tcPr>
            <w:tcW w:type="dxa" w:w="2477"/>
          </w:tcPr>
          <w:p>
            <w:pPr>
              <w:spacing w:after="20"/>
            </w:pPr>
            <w:r>
              <w:rPr>
                <w:color w:val="1C3A36"/>
                <w:sz w:val="15"/>
              </w:rPr>
              <w:t>A complete monthly retail fuel price series for 2025</w:t>
            </w:r>
          </w:p>
        </w:tc>
        <w:tc>
          <w:tcPr>
            <w:tcW w:type="dxa" w:w="2333"/>
          </w:tcPr>
          <w:p>
            <w:pPr>
              <w:spacing w:after="20"/>
              <w:jc w:val="right"/>
            </w:pPr>
            <w:r>
              <w:rPr>
                <w:color w:val="1C3A36"/>
                <w:sz w:val="15"/>
              </w:rPr>
              <w:t>The monthly announcements of the national fuel price committee, and compilations of them</w:t>
            </w:r>
          </w:p>
        </w:tc>
        <w:tc>
          <w:tcPr>
            <w:tcW w:type="dxa" w:w="5270"/>
          </w:tcPr>
          <w:p>
            <w:pPr>
              <w:spacing w:after="20"/>
              <w:jc w:val="right"/>
            </w:pPr>
            <w:r>
              <w:rPr>
                <w:color w:val="1C3A36"/>
                <w:sz w:val="15"/>
              </w:rPr>
              <w:t>Only part of the year was located directly, together with the published annual range. The realised price per litre used in the model is not taken from these announcements at all — it is computed from the company's own disclosed revenue and volumes — so the series serves only as a cross-check on the direction of travel.</w:t>
            </w:r>
          </w:p>
        </w:tc>
      </w:tr>
      <w:tr>
        <w:trPr>
          <w:cantSplit/>
        </w:trPr>
        <w:tc>
          <w:tcPr>
            <w:tcW w:type="dxa" w:w="2477"/>
          </w:tcPr>
          <w:p>
            <w:pPr>
              <w:spacing w:after="20"/>
            </w:pPr>
            <w:r>
              <w:rPr>
                <w:color w:val="1C3A36"/>
                <w:sz w:val="15"/>
              </w:rPr>
              <w:t>Current competitor station counts, and a current figure for the electric-vehicle share of new car sales</w:t>
            </w:r>
          </w:p>
        </w:tc>
        <w:tc>
          <w:tcPr>
            <w:tcW w:type="dxa" w:w="2333"/>
          </w:tcPr>
          <w:p>
            <w:pPr>
              <w:spacing w:after="20"/>
              <w:jc w:val="right"/>
            </w:pPr>
            <w:r>
              <w:rPr>
                <w:color w:val="1C3A36"/>
                <w:sz w:val="15"/>
              </w:rPr>
              <w:t>Competitor disclosure, national statistics and industry sources</w:t>
            </w:r>
          </w:p>
        </w:tc>
        <w:tc>
          <w:tcPr>
            <w:tcW w:type="dxa" w:w="5270"/>
          </w:tcPr>
          <w:p>
            <w:pPr>
              <w:spacing w:after="20"/>
              <w:jc w:val="right"/>
            </w:pPr>
            <w:r>
              <w:rPr>
                <w:color w:val="1C3A36"/>
                <w:sz w:val="15"/>
              </w:rPr>
              <w:t>The most recent competitor network figures found are more than a year old and the available electric-vehicle share is older still. Neither is load-bearing: the market-share context is presented with its vintage stated, and the transition drag is expressed as a taper in the company's own volume growth rather than derived from a national adoption figure.</w:t>
            </w:r>
          </w:p>
        </w:tc>
      </w:tr>
      <w:tr>
        <w:trPr>
          <w:cantSplit/>
        </w:trPr>
        <w:tc>
          <w:tcPr>
            <w:tcW w:type="dxa" w:w="2477"/>
          </w:tcPr>
          <w:p>
            <w:pPr>
              <w:spacing w:after="20"/>
            </w:pPr>
            <w:r>
              <w:rPr>
                <w:color w:val="1C3A36"/>
                <w:sz w:val="15"/>
              </w:rPr>
              <w:t>The published national energy outlook tables behind the crude forecast</w:t>
            </w:r>
          </w:p>
        </w:tc>
        <w:tc>
          <w:tcPr>
            <w:tcW w:type="dxa" w:w="2333"/>
          </w:tcPr>
          <w:p>
            <w:pPr>
              <w:spacing w:after="20"/>
              <w:jc w:val="right"/>
            </w:pPr>
            <w:r>
              <w:rPr>
                <w:color w:val="1C3A36"/>
                <w:sz w:val="15"/>
              </w:rPr>
              <w:t>The statistical agency's own outlook document</w:t>
            </w:r>
          </w:p>
        </w:tc>
        <w:tc>
          <w:tcPr>
            <w:tcW w:type="dxa" w:w="5270"/>
          </w:tcPr>
          <w:p>
            <w:pPr>
              <w:spacing w:after="20"/>
              <w:jc w:val="right"/>
            </w:pPr>
            <w:r>
              <w:rPr>
                <w:color w:val="1C3A36"/>
                <w:sz w:val="15"/>
              </w:rPr>
              <w:t>The document could not be read in the form published. The crude path is therefore built from reporting of that same outlook, and the study says so; the price path is also shown across a range wide enough to contain the disagreement.</w:t>
            </w:r>
          </w:p>
        </w:tc>
      </w:tr>
      <w:tr>
        <w:trPr>
          <w:cantSplit/>
        </w:trPr>
        <w:tc>
          <w:tcPr>
            <w:tcW w:type="dxa" w:w="2477"/>
          </w:tcPr>
          <w:p>
            <w:pPr>
              <w:spacing w:after="20"/>
            </w:pPr>
            <w:r>
              <w:rPr>
                <w:color w:val="1C3A36"/>
                <w:sz w:val="15"/>
              </w:rPr>
              <w:t>A current national economic review for 2026</w:t>
            </w:r>
          </w:p>
        </w:tc>
        <w:tc>
          <w:tcPr>
            <w:tcW w:type="dxa" w:w="2333"/>
          </w:tcPr>
          <w:p>
            <w:pPr>
              <w:spacing w:after="20"/>
              <w:jc w:val="right"/>
            </w:pPr>
            <w:r>
              <w:rPr>
                <w:color w:val="1C3A36"/>
                <w:sz w:val="15"/>
              </w:rPr>
              <w:t>The published country consultation reports</w:t>
            </w:r>
          </w:p>
        </w:tc>
        <w:tc>
          <w:tcPr>
            <w:tcW w:type="dxa" w:w="5270"/>
          </w:tcPr>
          <w:p>
            <w:pPr>
              <w:spacing w:after="20"/>
              <w:jc w:val="right"/>
            </w:pPr>
            <w:r>
              <w:rPr>
                <w:color w:val="1C3A36"/>
                <w:sz w:val="15"/>
              </w:rPr>
              <w:t>Only the 2025 vintage was located, which predates the 2026 oil shock entirely. Its growth forecasts are cited with the vintage attached and are used for context, never as a driver of the forecast.</w:t>
            </w:r>
          </w:p>
        </w:tc>
      </w:tr>
      <w:tr>
        <w:trPr>
          <w:cantSplit/>
        </w:trPr>
        <w:tc>
          <w:tcPr>
            <w:tcW w:type="dxa" w:w="2477"/>
          </w:tcPr>
          <w:p>
            <w:pPr>
              <w:spacing w:after="20"/>
            </w:pPr>
            <w:r>
              <w:rPr>
                <w:color w:val="1C3A36"/>
                <w:sz w:val="15"/>
              </w:rPr>
              <w:t>Traded multiples for two named unlisted competitors</w:t>
            </w:r>
          </w:p>
        </w:tc>
        <w:tc>
          <w:tcPr>
            <w:tcW w:type="dxa" w:w="2333"/>
          </w:tcPr>
          <w:p>
            <w:pPr>
              <w:spacing w:after="20"/>
              <w:jc w:val="right"/>
            </w:pPr>
            <w:r>
              <w:rPr>
                <w:color w:val="1C3A36"/>
                <w:sz w:val="15"/>
              </w:rPr>
              <w:t>Public market data for the two businesses</w:t>
            </w:r>
          </w:p>
        </w:tc>
        <w:tc>
          <w:tcPr>
            <w:tcW w:type="dxa" w:w="5270"/>
          </w:tcPr>
          <w:p>
            <w:pPr>
              <w:spacing w:after="20"/>
              <w:jc w:val="right"/>
            </w:pPr>
            <w:r>
              <w:rPr>
                <w:color w:val="1C3A36"/>
                <w:sz w:val="15"/>
              </w:rPr>
              <w:t>Neither has publicly traded equity — one is an unlisted joint venture and the other is privately controlled — so neither can carry a multiple. The peer table is built from the listed operators that do, and the omission is recorded rather than filled with an estimate.</w:t>
            </w:r>
          </w:p>
        </w:tc>
      </w:tr>
    </w:tbl>
    <w:p>
      <w:pPr>
        <w:spacing w:after="40"/>
      </w:pPr>
    </w:p>
    <w:p>
      <w:pPr>
        <w:spacing w:after="200" w:before="0"/>
      </w:pPr>
      <w:r>
        <w:rPr>
          <w:b w:val="0"/>
          <w:i/>
          <w:color w:val="6E7B77"/>
          <w:sz w:val="17"/>
        </w:rPr>
        <w:t>Table 10 — 16 searches that came back empty, each dated and each with the consequence for the valuation stated. Three of them change what the study can claim; the rest are disclosed limitations.</w:t>
      </w:r>
    </w:p>
    <w:p>
      <w:pPr>
        <w:spacing w:after="120" w:before="280"/>
      </w:pPr>
      <w:r>
        <w:rPr>
          <w:b/>
          <w:i w:val="0"/>
          <w:color w:val="1C3A36"/>
          <w:sz w:val="30"/>
        </w:rPr>
        <w:t>5. Where the documents disagree, and what was done about it</w:t>
      </w:r>
    </w:p>
    <w:p>
      <w:pPr>
        <w:spacing w:after="120" w:before="0"/>
      </w:pPr>
      <w:r>
        <w:rPr>
          <w:b w:val="0"/>
          <w:i w:val="0"/>
          <w:color w:val="1C3A36"/>
          <w:sz w:val="21"/>
        </w:rPr>
        <w:t>Three kinds of thing are recorded here: places where the company restated or re-presented its own prior-year figures, places where two of the company's own documents print different numbers for the same thing, and places where an outside data service reports something different from the filing. In every case both readings are recorded and the one used is named.</w:t>
      </w:r>
    </w:p>
    <w:p>
      <w:pPr>
        <w:spacing w:after="80" w:before="200"/>
      </w:pPr>
      <w:r>
        <w:rPr>
          <w:b/>
          <w:i w:val="0"/>
          <w:color w:val="1C3A36"/>
          <w:sz w:val="24"/>
        </w:rPr>
        <w:t>5.1 Restatements and internal differences in the company's own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464"/>
        <w:gridCol w:w="3456"/>
      </w:tblGrid>
      <w:tr>
        <w:trPr>
          <w:cantSplit/>
        </w:trPr>
        <w:tc>
          <w:tcPr>
            <w:tcW w:type="dxa" w:w="2160"/>
            <w:shd w:val="clear" w:color="auto" w:fill="EAF0EE"/>
          </w:tcPr>
          <w:p>
            <w:pPr>
              <w:spacing w:after="20"/>
            </w:pPr>
            <w:r>
              <w:rPr>
                <w:b/>
                <w:color w:val="1C3A36"/>
                <w:sz w:val="14"/>
              </w:rPr>
              <w:t>Item</w:t>
            </w:r>
          </w:p>
        </w:tc>
        <w:tc>
          <w:tcPr>
            <w:tcW w:type="dxa" w:w="4464"/>
            <w:shd w:val="clear" w:color="auto" w:fill="EAF0EE"/>
          </w:tcPr>
          <w:p>
            <w:pPr>
              <w:spacing w:after="20"/>
            </w:pPr>
            <w:r>
              <w:rPr>
                <w:b/>
                <w:color w:val="1C3A36"/>
                <w:sz w:val="14"/>
              </w:rPr>
              <w:t>What the documents show</w:t>
            </w:r>
          </w:p>
        </w:tc>
        <w:tc>
          <w:tcPr>
            <w:tcW w:type="dxa" w:w="3456"/>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IAS 21 amendments — opening equity restatement at 1 January 2024</w:t>
            </w:r>
          </w:p>
        </w:tc>
        <w:tc>
          <w:tcPr>
            <w:tcW w:type="dxa" w:w="4464"/>
          </w:tcPr>
          <w:p>
            <w:pPr>
              <w:spacing w:after="20"/>
              <w:jc w:val="right"/>
            </w:pPr>
            <w:r>
              <w:rPr>
                <w:color w:val="1C3A36"/>
                <w:sz w:val="14"/>
              </w:rPr>
              <w:t>The FY2024 statement of changes in equity shows 'Adjustments of IAS 21 amendments (note 2)' reducing 1 January 2024 balances: retained earnings/equity attributable to owners -AED 33,979 thousand and non-controlling interests -AED 33,982 thousand, total equity -AED 67,961 thousand. Adjusted opening balances: equity attributable to owners AED 3,438,087 thousand, NCI AED 289,785 thousand, total equity AED 3,727,872 thousand.</w:t>
            </w:r>
          </w:p>
        </w:tc>
        <w:tc>
          <w:tcPr>
            <w:tcW w:type="dxa" w:w="3456"/>
          </w:tcPr>
          <w:p>
            <w:pPr>
              <w:spacing w:after="20"/>
              <w:jc w:val="right"/>
            </w:pPr>
            <w:r>
              <w:rPr>
                <w:color w:val="1C3A36"/>
                <w:sz w:val="14"/>
              </w:rPr>
              <w:t>FY2023 reported P&amp;L and balance sheet were NOT restated; the adjustment was taken to opening 2024 equity only. Therefore closing FY2023 total equity of AED 3,795,833 thousand does not equal adjusted opening FY2024 total equity of AED 3,727,872 thousand. Both recorded. FY2023 balance sheet figures in this file are as reported/comparative (unchanged between the FY2023 and FY2024 filings).</w:t>
            </w:r>
          </w:p>
        </w:tc>
      </w:tr>
      <w:tr>
        <w:trPr>
          <w:cantSplit/>
        </w:trPr>
        <w:tc>
          <w:tcPr>
            <w:tcW w:type="dxa" w:w="2160"/>
          </w:tcPr>
          <w:p>
            <w:pPr>
              <w:spacing w:after="20"/>
            </w:pPr>
            <w:r>
              <w:rPr>
                <w:color w:val="1C3A36"/>
                <w:sz w:val="14"/>
              </w:rPr>
              <w:t>FY2023 income-statement presentation of impairment losses</w:t>
            </w:r>
          </w:p>
        </w:tc>
        <w:tc>
          <w:tcPr>
            <w:tcW w:type="dxa" w:w="4464"/>
          </w:tcPr>
          <w:p>
            <w:pPr>
              <w:spacing w:after="20"/>
              <w:jc w:val="right"/>
            </w:pPr>
            <w:r>
              <w:rPr>
                <w:color w:val="1C3A36"/>
                <w:sz w:val="14"/>
              </w:rPr>
              <w:t>The FY2023 filing presents two separate lines: 'Impairment losses on trade and other receivables' AED (27,766) thousand and 'Other impairment losses and expenses' AED (54,377) thousand. The FY2024 filing re-presents the FY2023 comparative as a single line 'Impairment losses and other operating expenses' AED (90,254)/(82,143) thousand.</w:t>
            </w:r>
          </w:p>
        </w:tc>
        <w:tc>
          <w:tcPr>
            <w:tcW w:type="dxa" w:w="3456"/>
          </w:tcPr>
          <w:p>
            <w:pPr>
              <w:spacing w:after="20"/>
              <w:jc w:val="right"/>
            </w:pPr>
            <w:r>
              <w:rPr>
                <w:color w:val="1C3A36"/>
                <w:sz w:val="14"/>
              </w:rPr>
              <w:t>Presentational only — 27,766 + 54,377 = 82,143. No change to operating profit or net profit. The FY2024 filing's single-line comparative (82,143) is used as the primary FY2023 figure; both original lines are also recorded.</w:t>
            </w:r>
          </w:p>
        </w:tc>
      </w:tr>
      <w:tr>
        <w:trPr>
          <w:cantSplit/>
        </w:trPr>
        <w:tc>
          <w:tcPr>
            <w:tcW w:type="dxa" w:w="2160"/>
          </w:tcPr>
          <w:p>
            <w:pPr>
              <w:spacing w:after="20"/>
            </w:pPr>
            <w:r>
              <w:rPr>
                <w:color w:val="1C3A36"/>
                <w:sz w:val="14"/>
              </w:rPr>
              <w:t>FY2023 leverage-ratio table equity figure</w:t>
            </w:r>
          </w:p>
        </w:tc>
        <w:tc>
          <w:tcPr>
            <w:tcW w:type="dxa" w:w="4464"/>
          </w:tcPr>
          <w:p>
            <w:pPr>
              <w:spacing w:after="20"/>
              <w:jc w:val="right"/>
            </w:pPr>
            <w:r>
              <w:rPr>
                <w:color w:val="1C3A36"/>
                <w:sz w:val="14"/>
              </w:rPr>
              <w:t>The FY2023 filing's capital-risk note prints 'Equity 3,472,072' and 'Net debt plus equity 5,970,415' for 31 December 2023, whereas the FY2023 balance sheet (p.14 of the same filing) and the FY2024 filing's version of the same table both show equity attributable to owners of AED 3,472,066 thousand and net debt plus equity of AED 5,970,409 thousand. A AED 6 thousand internal inconsistency in the FY2023 filing.</w:t>
            </w:r>
          </w:p>
        </w:tc>
        <w:tc>
          <w:tcPr>
            <w:tcW w:type="dxa" w:w="3456"/>
          </w:tcPr>
          <w:p>
            <w:pPr>
              <w:spacing w:after="20"/>
              <w:jc w:val="right"/>
            </w:pPr>
            <w:r>
              <w:rPr>
                <w:color w:val="1C3A36"/>
                <w:sz w:val="14"/>
              </w:rPr>
              <w:t>The balance-sheet / FY2024-filing figure (3,472,066).</w:t>
            </w:r>
          </w:p>
        </w:tc>
      </w:tr>
      <w:tr>
        <w:trPr>
          <w:cantSplit/>
        </w:trPr>
        <w:tc>
          <w:tcPr>
            <w:tcW w:type="dxa" w:w="2160"/>
          </w:tcPr>
          <w:p>
            <w:pPr>
              <w:spacing w:after="20"/>
            </w:pPr>
            <w:r>
              <w:rPr>
                <w:color w:val="1C3A36"/>
                <w:sz w:val="14"/>
              </w:rPr>
              <w:t>FY2025 Egypt short-term borrowing — AED translation of the drawn EGP amount</w:t>
            </w:r>
          </w:p>
        </w:tc>
        <w:tc>
          <w:tcPr>
            <w:tcW w:type="dxa" w:w="4464"/>
          </w:tcPr>
          <w:p>
            <w:pPr>
              <w:spacing w:after="20"/>
              <w:jc w:val="right"/>
            </w:pPr>
            <w:r>
              <w:rPr>
                <w:color w:val="1C3A36"/>
                <w:sz w:val="14"/>
              </w:rPr>
              <w:t>The FY2025 borrowings note states EGP 602,387 thousand drawn = 'AED 43,384 thousand', while the balance sheet and the same note's short-term borrowing line show AED 46,384 thousand. A 3,000-thousand difference internal to the FY2025 filing (apparent typo in the note narrative).</w:t>
            </w:r>
          </w:p>
        </w:tc>
        <w:tc>
          <w:tcPr>
            <w:tcW w:type="dxa" w:w="3456"/>
          </w:tcPr>
          <w:p>
            <w:pPr>
              <w:spacing w:after="20"/>
              <w:jc w:val="right"/>
            </w:pPr>
            <w:r>
              <w:rPr>
                <w:color w:val="1C3A36"/>
                <w:sz w:val="14"/>
              </w:rPr>
              <w:t>The balance-sheet figure of AED 46,384 thousand for the reported short-term borrowings balance; the note's narrative figure is recorded verbatim in the borrowings block.</w:t>
            </w:r>
          </w:p>
        </w:tc>
      </w:tr>
      <w:tr>
        <w:trPr>
          <w:cantSplit/>
        </w:trPr>
        <w:tc>
          <w:tcPr>
            <w:tcW w:type="dxa" w:w="2160"/>
          </w:tcPr>
          <w:p>
            <w:pPr>
              <w:spacing w:after="20"/>
            </w:pPr>
            <w:r>
              <w:rPr>
                <w:color w:val="1C3A36"/>
                <w:sz w:val="14"/>
              </w:rPr>
              <w:t>TotalEnergies Marketing Egypt dividend in respect of FY2023 — approval date</w:t>
            </w:r>
          </w:p>
        </w:tc>
        <w:tc>
          <w:tcPr>
            <w:tcW w:type="dxa" w:w="4464"/>
          </w:tcPr>
          <w:p>
            <w:pPr>
              <w:spacing w:after="20"/>
              <w:jc w:val="right"/>
            </w:pPr>
            <w:r>
              <w:rPr>
                <w:color w:val="1C3A36"/>
                <w:sz w:val="14"/>
              </w:rPr>
              <w:t>The FY2024 filing states the AED 41,057 thousand TEME dividend in respect of FY2023 was approved at the General Assembly Meeting held on 23 April 2024. The FY2025 filing states the same AED 41,057 thousand dividend for the same year was approved on 23 April 2023.</w:t>
            </w:r>
          </w:p>
        </w:tc>
        <w:tc>
          <w:tcPr>
            <w:tcW w:type="dxa" w:w="3456"/>
          </w:tcPr>
          <w:p>
            <w:pPr>
              <w:spacing w:after="20"/>
              <w:jc w:val="right"/>
            </w:pPr>
            <w:r>
              <w:rPr>
                <w:color w:val="1C3A36"/>
                <w:sz w:val="14"/>
              </w:rPr>
              <w:t>The FY2024 filing's date (23 April 2024) appears correct on its face (a dividend in respect of FY2023 approved after year end); both recorded.</w:t>
            </w:r>
          </w:p>
        </w:tc>
      </w:tr>
      <w:tr>
        <w:trPr>
          <w:cantSplit/>
        </w:trPr>
        <w:tc>
          <w:tcPr>
            <w:tcW w:type="dxa" w:w="2160"/>
          </w:tcPr>
          <w:p>
            <w:pPr>
              <w:spacing w:after="20"/>
            </w:pPr>
            <w:r>
              <w:rPr>
                <w:color w:val="1C3A36"/>
                <w:sz w:val="14"/>
              </w:rPr>
              <w:t>TotalEnergies Marketing Egypt dividend in respect of FY2024 — amount and date</w:t>
            </w:r>
          </w:p>
        </w:tc>
        <w:tc>
          <w:tcPr>
            <w:tcW w:type="dxa" w:w="4464"/>
          </w:tcPr>
          <w:p>
            <w:pPr>
              <w:spacing w:after="20"/>
              <w:jc w:val="right"/>
            </w:pPr>
            <w:r>
              <w:rPr>
                <w:color w:val="1C3A36"/>
                <w:sz w:val="14"/>
              </w:rPr>
              <w:t>The FY2025 filing states a TEME dividend of AED 55,792 thousand in respect of FY2024, approved at the AGM held on 22 April 2024. The H1-2026 interim states AED 55,793 thousand in respect of FY2024, approved at the AGM held on 22 April 2025.</w:t>
            </w:r>
          </w:p>
        </w:tc>
        <w:tc>
          <w:tcPr>
            <w:tcW w:type="dxa" w:w="3456"/>
          </w:tcPr>
          <w:p>
            <w:pPr>
              <w:spacing w:after="20"/>
              <w:jc w:val="right"/>
            </w:pPr>
            <w:r>
              <w:rPr>
                <w:color w:val="1C3A36"/>
                <w:sz w:val="14"/>
              </w:rPr>
              <w:t>The more recent H1-2026 figure (55,793; AGM 22 April 2025) is the more internally coherent (a FY2024 dividend approved in 2025); both recorded.</w:t>
            </w:r>
          </w:p>
        </w:tc>
      </w:tr>
      <w:tr>
        <w:trPr>
          <w:cantSplit/>
        </w:trPr>
        <w:tc>
          <w:tcPr>
            <w:tcW w:type="dxa" w:w="2160"/>
          </w:tcPr>
          <w:p>
            <w:pPr>
              <w:spacing w:after="20"/>
            </w:pPr>
            <w:r>
              <w:rPr>
                <w:color w:val="1C3A36"/>
                <w:sz w:val="14"/>
              </w:rPr>
              <w:t>FY2024 underlying EBITDA</w:t>
            </w:r>
          </w:p>
        </w:tc>
        <w:tc>
          <w:tcPr>
            <w:tcW w:type="dxa" w:w="4464"/>
          </w:tcPr>
          <w:p>
            <w:pPr>
              <w:spacing w:after="20"/>
              <w:jc w:val="right"/>
            </w:pPr>
            <w:r>
              <w:rPr>
                <w:color w:val="1C3A36"/>
                <w:sz w:val="14"/>
              </w:rPr>
              <w:t>The FY2025 MD&amp;A financial summary prints 2024 underlying EBITDA of AED 3,633 million. The 2025 Integrated Report (p.117) states 2025 underlying EBITDA of AED 4,001 million is '+10.1% compared to AED 3,663 million in 2024'.</w:t>
            </w:r>
          </w:p>
        </w:tc>
        <w:tc>
          <w:tcPr>
            <w:tcW w:type="dxa" w:w="3456"/>
          </w:tcPr>
          <w:p>
            <w:pPr>
              <w:spacing w:after="20"/>
              <w:jc w:val="right"/>
            </w:pPr>
            <w:r>
              <w:rPr>
                <w:color w:val="1C3A36"/>
                <w:sz w:val="14"/>
              </w:rPr>
              <w:t>The MD&amp;A financial-summary figure (3,633) is treated as primary because it sits in the tabulated summary; the Integrated Report figure (3,663) is recorded as the discrepancy. Note 4,001/3,633 = +10.1% and 4,001/3,663 = +9.2%, so the stated +10.1% growth rate is consistent with 3,633.</w:t>
            </w:r>
          </w:p>
        </w:tc>
      </w:tr>
      <w:tr>
        <w:trPr>
          <w:cantSplit/>
        </w:trPr>
        <w:tc>
          <w:tcPr>
            <w:tcW w:type="dxa" w:w="2160"/>
          </w:tcPr>
          <w:p>
            <w:pPr>
              <w:spacing w:after="20"/>
            </w:pPr>
            <w:r>
              <w:rPr>
                <w:color w:val="1C3A36"/>
                <w:sz w:val="14"/>
              </w:rPr>
              <w:t>H1 2026 inventory gains — segment split vs total</w:t>
            </w:r>
          </w:p>
        </w:tc>
        <w:tc>
          <w:tcPr>
            <w:tcW w:type="dxa" w:w="4464"/>
          </w:tcPr>
          <w:p>
            <w:pPr>
              <w:spacing w:after="20"/>
              <w:jc w:val="right"/>
            </w:pPr>
            <w:r>
              <w:rPr>
                <w:color w:val="1C3A36"/>
                <w:sz w:val="14"/>
              </w:rPr>
              <w:t>Published as total AED 762 million with a split of AED 528 million fuel retail and AED 233 million commercial (sum 761). A 1-unit rounding difference in the company's own printed figures.</w:t>
            </w:r>
          </w:p>
        </w:tc>
        <w:tc>
          <w:tcPr>
            <w:tcW w:type="dxa" w:w="3456"/>
          </w:tcPr>
          <w:p>
            <w:pPr>
              <w:spacing w:after="20"/>
              <w:jc w:val="right"/>
            </w:pPr>
            <w:r>
              <w:rPr>
                <w:color w:val="1C3A36"/>
                <w:sz w:val="14"/>
              </w:rPr>
              <w:t>Both recorded verbatim; not reconciled.</w:t>
            </w:r>
          </w:p>
        </w:tc>
      </w:tr>
      <w:tr>
        <w:trPr>
          <w:cantSplit/>
        </w:trPr>
        <w:tc>
          <w:tcPr>
            <w:tcW w:type="dxa" w:w="2160"/>
          </w:tcPr>
          <w:p>
            <w:pPr>
              <w:spacing w:after="20"/>
            </w:pPr>
            <w:r>
              <w:rPr>
                <w:color w:val="1C3A36"/>
                <w:sz w:val="14"/>
              </w:rPr>
              <w:t>Convenience-store conversion rate improvement in 2025 — stated base year</w:t>
            </w:r>
          </w:p>
        </w:tc>
        <w:tc>
          <w:tcPr>
            <w:tcW w:type="dxa" w:w="4464"/>
          </w:tcPr>
          <w:p>
            <w:pPr>
              <w:spacing w:after="20"/>
              <w:jc w:val="right"/>
            </w:pPr>
            <w:r>
              <w:rPr>
                <w:color w:val="1C3A36"/>
                <w:sz w:val="14"/>
              </w:rPr>
              <w:t>The FY2025 MD&amp;A states conversion rate 'increased by 50 bps from 26.1% in 2024 to 26.6% in 2025' (and the operational-highlights page shows '+50 bps ... compared to 26.1% in 2024'). The 2025 Integrated Report p.36 states the rate 'increased by 45 basis points to 26.6%' and separately '+45bps compared to 26.1% in 2023'.</w:t>
            </w:r>
          </w:p>
        </w:tc>
        <w:tc>
          <w:tcPr>
            <w:tcW w:type="dxa" w:w="3456"/>
          </w:tcPr>
          <w:p>
            <w:pPr>
              <w:spacing w:after="20"/>
              <w:jc w:val="right"/>
            </w:pPr>
            <w:r>
              <w:rPr>
                <w:color w:val="1C3A36"/>
                <w:sz w:val="14"/>
              </w:rPr>
              <w:t>Both recorded. The 2024 metrics table (MD&amp;A p.20) prints 26.1% for 2024, so the Integrated Report's '2023' label is probably an error, but it is recorded as printed.</w:t>
            </w:r>
          </w:p>
        </w:tc>
      </w:tr>
      <w:tr>
        <w:trPr>
          <w:cantSplit/>
        </w:trPr>
        <w:tc>
          <w:tcPr>
            <w:tcW w:type="dxa" w:w="2160"/>
          </w:tcPr>
          <w:p>
            <w:pPr>
              <w:spacing w:after="20"/>
            </w:pPr>
            <w:r>
              <w:rPr>
                <w:color w:val="1C3A36"/>
                <w:sz w:val="14"/>
              </w:rPr>
              <w:t>FY2025 retail-segment revenue — fuel-retail component</w:t>
            </w:r>
          </w:p>
        </w:tc>
        <w:tc>
          <w:tcPr>
            <w:tcW w:type="dxa" w:w="4464"/>
          </w:tcPr>
          <w:p>
            <w:pPr>
              <w:spacing w:after="20"/>
              <w:jc w:val="right"/>
            </w:pPr>
            <w:r>
              <w:rPr>
                <w:color w:val="1C3A36"/>
                <w:sz w:val="14"/>
              </w:rPr>
              <w:t>The FY2025 MD&amp;A prints 2024 fuel-retail revenue of AED 22,223 million and 2024 retail-segment revenue of AED 23,799 million. The 2025 Integrated Report p.37 key-financials table prints 2024 revenue-fuel of AED 22,225 million, revenue non-fuel AED 1,574 million and total retail revenue AED 23,798 million.</w:t>
            </w:r>
          </w:p>
        </w:tc>
        <w:tc>
          <w:tcPr>
            <w:tcW w:type="dxa" w:w="3456"/>
          </w:tcPr>
          <w:p>
            <w:pPr>
              <w:spacing w:after="20"/>
              <w:jc w:val="right"/>
            </w:pPr>
            <w:r>
              <w:rPr>
                <w:color w:val="1C3A36"/>
                <w:sz w:val="14"/>
              </w:rPr>
              <w:t>MD&amp;A figures (which tie to the audited revenue note: retail fuel 22,223,252 thousand; retail non-fuel 1,575,410 thousand).</w:t>
            </w:r>
          </w:p>
        </w:tc>
      </w:tr>
      <w:tr>
        <w:trPr>
          <w:cantSplit/>
        </w:trPr>
        <w:tc>
          <w:tcPr>
            <w:tcW w:type="dxa" w:w="2160"/>
          </w:tcPr>
          <w:p>
            <w:pPr>
              <w:spacing w:after="20"/>
            </w:pPr>
            <w:r>
              <w:rPr>
                <w:color w:val="1C3A36"/>
                <w:sz w:val="14"/>
              </w:rPr>
              <w:t>Reclassification of comparatives (general)</w:t>
            </w:r>
          </w:p>
        </w:tc>
        <w:tc>
          <w:tcPr>
            <w:tcW w:type="dxa" w:w="4464"/>
          </w:tcPr>
          <w:p>
            <w:pPr>
              <w:spacing w:after="20"/>
              <w:jc w:val="right"/>
            </w:pPr>
            <w:r>
              <w:rPr>
                <w:color w:val="1C3A36"/>
                <w:sz w:val="14"/>
              </w:rPr>
              <w:t>FY2025 note 35 states: 'Certain comparative figures have been reclassified from prior year, wherever necessary, to conform to the presentation adopted in the current year.' No specific reclassifications are itemised.</w:t>
            </w:r>
          </w:p>
        </w:tc>
        <w:tc>
          <w:tcPr>
            <w:tcW w:type="dxa" w:w="3456"/>
          </w:tcPr>
          <w:p>
            <w:pPr>
              <w:spacing w:after="20"/>
              <w:jc w:val="right"/>
            </w:pPr>
            <w:r>
              <w:rPr>
                <w:color w:val="1C3A36"/>
                <w:sz w:val="14"/>
              </w:rPr>
              <w:t>Not applicable — no quantified effect disclosed.</w:t>
            </w:r>
          </w:p>
        </w:tc>
      </w:tr>
    </w:tbl>
    <w:p>
      <w:pPr>
        <w:spacing w:after="40"/>
      </w:pPr>
    </w:p>
    <w:p>
      <w:pPr>
        <w:spacing w:after="200" w:before="0"/>
      </w:pPr>
      <w:r>
        <w:rPr>
          <w:b w:val="0"/>
          <w:i/>
          <w:color w:val="6E7B77"/>
          <w:sz w:val="17"/>
        </w:rPr>
        <w:t>Table 11 — every restatement, re-presentation and internal inconsistency found across the twelve documents. The first is the only one that changes a balance: because the prior year was not restated, closing equity for FY2023 does not equal the adjusted opening equity for FY2024, and the equity roll-forward in this study carries that break rather than smoothing it away.</w:t>
      </w:r>
    </w:p>
    <w:p>
      <w:pPr>
        <w:spacing w:after="80" w:before="200"/>
      </w:pPr>
      <w:r>
        <w:rPr>
          <w:b/>
          <w:i w:val="0"/>
          <w:color w:val="1C3A36"/>
          <w:sz w:val="24"/>
        </w:rPr>
        <w:t>5.2 Outside data services, and where they differ from the filings</w:t>
      </w:r>
    </w:p>
    <w:p>
      <w:pPr>
        <w:spacing w:after="120" w:before="0"/>
      </w:pPr>
      <w:r>
        <w:rPr>
          <w:b w:val="0"/>
          <w:i w:val="0"/>
          <w:color w:val="1C3A36"/>
          <w:sz w:val="21"/>
        </w:rPr>
        <w:t>Nothing in this table is used to build any figure in the study. It is recorded so that a reader who checks the study against a screen and finds a difference knows the difference was noticed, and knows what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92"/>
        <w:gridCol w:w="3528"/>
      </w:tblGrid>
      <w:tr>
        <w:trPr>
          <w:cantSplit/>
        </w:trPr>
        <w:tc>
          <w:tcPr>
            <w:tcW w:type="dxa" w:w="2160"/>
            <w:shd w:val="clear" w:color="auto" w:fill="EAF0EE"/>
          </w:tcPr>
          <w:p>
            <w:pPr>
              <w:spacing w:after="20"/>
            </w:pPr>
            <w:r>
              <w:rPr>
                <w:b/>
                <w:color w:val="1C3A36"/>
                <w:sz w:val="14"/>
              </w:rPr>
              <w:t>Item</w:t>
            </w:r>
          </w:p>
        </w:tc>
        <w:tc>
          <w:tcPr>
            <w:tcW w:type="dxa" w:w="4392"/>
            <w:shd w:val="clear" w:color="auto" w:fill="EAF0EE"/>
          </w:tcPr>
          <w:p>
            <w:pPr>
              <w:spacing w:after="20"/>
            </w:pPr>
            <w:r>
              <w:rPr>
                <w:b/>
                <w:color w:val="1C3A36"/>
                <w:sz w:val="14"/>
              </w:rPr>
              <w:t>What the outside source says</w:t>
            </w:r>
          </w:p>
        </w:tc>
        <w:tc>
          <w:tcPr>
            <w:tcW w:type="dxa" w:w="3528"/>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Headline financials on a market-data service</w:t>
            </w:r>
          </w:p>
        </w:tc>
        <w:tc>
          <w:tcPr>
            <w:tcW w:type="dxa" w:w="4392"/>
          </w:tcPr>
          <w:p>
            <w:pPr>
              <w:spacing w:after="20"/>
              <w:jc w:val="right"/>
            </w:pPr>
            <w:r>
              <w:rPr>
                <w:color w:val="1C3A36"/>
                <w:sz w:val="14"/>
              </w:rPr>
              <w:t>Share price AED 4.070 at the close of 07-Aug-2026 (-0.25% on the day). Market capitalisation AED 50.86bn. Enterprise value AED 55.74bn. Shares outstanding 12.50bn. Trailing P/E 14.27; forward P/E 16.83; EV/EBITDA 10.93; EBITDA AED 4.95bn (TTM); dividend yield 5.05%; ROIC 50.74%; profit margin 8.73%. TTM revenue AED 40.82bn; net income AED 3.56bn. Operating cash flow AED 4.72bn TTM; free cash flow AED 3.74bn after capex.</w:t>
            </w:r>
          </w:p>
        </w:tc>
        <w:tc>
          <w:tcPr>
            <w:tcW w:type="dxa" w:w="3528"/>
          </w:tcPr>
          <w:p>
            <w:pPr>
              <w:spacing w:after="20"/>
              <w:jc w:val="right"/>
            </w:pPr>
            <w:r>
              <w:rPr>
                <w:color w:val="1C3A36"/>
                <w:sz w:val="14"/>
              </w:rPr>
              <w:t>Only the share price, the share count and the market value were taken from it. The revenue, earnings and cash-flow figures there are trailing-twelve-month and unaudited, and they do not agree with the audited year because they are not measuring the same period: the audited FY2025 revenue is AED 35,896.617 million and net profit AED 2,851.042 million, while the trailing figures include the first half of 2026, in which the realised price per litre rose sharply with crude. The trailing multiple quoted there likewise differs from this study's own, which is computed as the share price over audited FY2025 earnings per share of AED 0.2240, giving 18.2 times.</w:t>
            </w:r>
          </w:p>
        </w:tc>
      </w:tr>
      <w:tr>
        <w:trPr>
          <w:cantSplit/>
        </w:trPr>
        <w:tc>
          <w:tcPr>
            <w:tcW w:type="dxa" w:w="2160"/>
          </w:tcPr>
          <w:p>
            <w:pPr>
              <w:spacing w:after="20"/>
            </w:pPr>
            <w:r>
              <w:rPr>
                <w:color w:val="1C3A36"/>
                <w:sz w:val="14"/>
              </w:rPr>
              <w:t>The guaranteed minimum margin under the supply agreement</w:t>
            </w:r>
          </w:p>
        </w:tc>
        <w:tc>
          <w:tcPr>
            <w:tcW w:type="dxa" w:w="4392"/>
          </w:tcPr>
          <w:p>
            <w:pPr>
              <w:spacing w:after="20"/>
              <w:jc w:val="right"/>
            </w:pPr>
            <w:r>
              <w:rPr>
                <w:color w:val="1C3A36"/>
                <w:sz w:val="14"/>
              </w:rPr>
              <w:t>ADNOC Distribution's supply agreement with parent ADNOC for refined petroleum products includes a flexible pricing mechanism acting as a backstop guarantee. The agreement sets a fixed MINIMUM margin of approximately 45 fils per litre, guaranteeing a minimum profit level, with NO UPPER LIMIT — the company can earn more as retail prices rise. ADNOC compensates any margin shortfall versus the regulated margin.</w:t>
            </w:r>
          </w:p>
        </w:tc>
        <w:tc>
          <w:tcPr>
            <w:tcW w:type="dxa" w:w="3528"/>
          </w:tcPr>
          <w:p>
            <w:pPr>
              <w:spacing w:after="20"/>
              <w:jc w:val="right"/>
            </w:pPr>
            <w:r>
              <w:rPr>
                <w:color w:val="1C3A36"/>
                <w:sz w:val="14"/>
              </w:rPr>
              <w:t>This is the single most consequential structural feature of the business and it was found first in commentary rather than in the agreement disclosure itself. It is not used as an input. The margin actually earned is computed from the company's own disclosed gross profit and volumes, so the model rests on the realised outcome rather than on the reported floor beneath it; the floor is described in the study as protection, not as a number in the build.</w:t>
            </w:r>
          </w:p>
        </w:tc>
      </w:tr>
      <w:tr>
        <w:trPr>
          <w:cantSplit/>
        </w:trPr>
        <w:tc>
          <w:tcPr>
            <w:tcW w:type="dxa" w:w="2160"/>
          </w:tcPr>
          <w:p>
            <w:pPr>
              <w:spacing w:after="20"/>
            </w:pPr>
            <w:r>
              <w:rPr>
                <w:color w:val="1C3A36"/>
                <w:sz w:val="14"/>
              </w:rPr>
              <w:t>A later version of the country-risk premium file</w:t>
            </w:r>
          </w:p>
        </w:tc>
        <w:tc>
          <w:tcPr>
            <w:tcW w:type="dxa" w:w="4392"/>
          </w:tcPr>
          <w:p>
            <w:pPr>
              <w:spacing w:after="20"/>
              <w:jc w:val="right"/>
            </w:pPr>
            <w:r>
              <w:rPr>
                <w:color w:val="1C3A36"/>
                <w:sz w:val="14"/>
              </w:rPr>
              <w:t>A Damodaran 'Equity Risk Premiums, by country - July 2026 Update' exists, published 03-Jul-2026, covering 157 markets and using a mature-market ERP of 4.17%, a US ERP of 4.45% and an equity volatility multiplier of 1.5545. The update notes state that a lower mature-market premium combined with lower sovereign default spreads pulled equity risk premiums down across the board; the regional 'Middle East' weighted average is quoted at 6.37%.</w:t>
            </w:r>
          </w:p>
        </w:tc>
        <w:tc>
          <w:tcPr>
            <w:tcW w:type="dxa" w:w="3528"/>
          </w:tcPr>
          <w:p>
            <w:pPr>
              <w:spacing w:after="20"/>
              <w:jc w:val="right"/>
            </w:pPr>
            <w:r>
              <w:rPr>
                <w:color w:val="1C3A36"/>
                <w:sz w:val="14"/>
              </w:rPr>
              <w:t>The originally published file, of the vintage stated in the input record, is the one used: a total equity risk premium of 4.87%. The later third-party restatement contradicts the original and could not be verified in the publisher's own file, so it is not used; the difference is small enough to sit inside the study's own sensitivity on the discount rate.</w:t>
            </w:r>
          </w:p>
        </w:tc>
      </w:tr>
      <w:tr>
        <w:trPr>
          <w:cantSplit/>
        </w:trPr>
        <w:tc>
          <w:tcPr>
            <w:tcW w:type="dxa" w:w="2160"/>
          </w:tcPr>
          <w:p>
            <w:pPr>
              <w:spacing w:after="20"/>
            </w:pPr>
            <w:r>
              <w:rPr>
                <w:color w:val="1C3A36"/>
                <w:sz w:val="14"/>
              </w:rPr>
              <w:t>The company's own tax position, as reported in the press</w:t>
            </w:r>
          </w:p>
        </w:tc>
        <w:tc>
          <w:tcPr>
            <w:tcW w:type="dxa" w:w="4392"/>
          </w:tcPr>
          <w:p>
            <w:pPr>
              <w:spacing w:after="20"/>
              <w:jc w:val="right"/>
            </w:pPr>
            <w:r>
              <w:rPr>
                <w:color w:val="1C3A36"/>
                <w:sz w:val="14"/>
              </w:rPr>
              <w:t>ADNOC Distribution is subject to corporate tax and is NOT covered by the upstream extraction carve-out. Secondary reporting on a recent results period notes attributable net profit would have exceeded AED 2bn were it not for AED 183 million of corporate tax obligations.</w:t>
            </w:r>
          </w:p>
        </w:tc>
        <w:tc>
          <w:tcPr>
            <w:tcW w:type="dxa" w:w="3528"/>
          </w:tcPr>
          <w:p>
            <w:pPr>
              <w:spacing w:after="20"/>
              <w:jc w:val="right"/>
            </w:pPr>
            <w:r>
              <w:rPr>
                <w:color w:val="1C3A36"/>
                <w:sz w:val="14"/>
              </w:rPr>
              <w:t>Not used. The tax rate in the model is computed from the audited filings themselves — the income tax charge over profit before tax, an effective 10.17% in FY2025 — and the reconciliation in that same note is what establishes which regime the company is actually paying under.</w:t>
            </w:r>
          </w:p>
        </w:tc>
      </w:tr>
      <w:tr>
        <w:trPr>
          <w:cantSplit/>
        </w:trPr>
        <w:tc>
          <w:tcPr>
            <w:tcW w:type="dxa" w:w="2160"/>
          </w:tcPr>
          <w:p>
            <w:pPr>
              <w:spacing w:after="20"/>
            </w:pPr>
            <w:r>
              <w:rPr>
                <w:color w:val="1C3A36"/>
                <w:sz w:val="14"/>
              </w:rPr>
              <w:t>Peer trading multiples</w:t>
            </w:r>
          </w:p>
        </w:tc>
        <w:tc>
          <w:tcPr>
            <w:tcW w:type="dxa" w:w="4392"/>
          </w:tcPr>
          <w:p>
            <w:pPr>
              <w:spacing w:after="20"/>
              <w:jc w:val="right"/>
            </w:pPr>
            <w:r>
              <w:rPr>
                <w:color w:val="1C3A36"/>
                <w:sz w:val="14"/>
              </w:rPr>
              <w:t>Multiples for seven listed fuel retailers and convenience operators, taken from a public comparables service.</w:t>
            </w:r>
          </w:p>
        </w:tc>
        <w:tc>
          <w:tcPr>
            <w:tcW w:type="dxa" w:w="3528"/>
          </w:tcPr>
          <w:p>
            <w:pPr>
              <w:spacing w:after="20"/>
              <w:jc w:val="right"/>
            </w:pPr>
            <w:r>
              <w:rPr>
                <w:color w:val="1C3A36"/>
                <w:sz w:val="14"/>
              </w:rPr>
              <w:t>Used only in the relative lens, and only as a cross-check on the multiple the company's own economics justify. Every peer figure is labelled as market data. No peer figure is used anywhere in the construction of this company's own reported history.</w:t>
            </w:r>
          </w:p>
        </w:tc>
      </w:tr>
      <w:tr>
        <w:trPr>
          <w:cantSplit/>
        </w:trPr>
        <w:tc>
          <w:tcPr>
            <w:tcW w:type="dxa" w:w="2160"/>
          </w:tcPr>
          <w:p>
            <w:pPr>
              <w:spacing w:after="20"/>
            </w:pPr>
            <w:r>
              <w:rPr>
                <w:color w:val="1C3A36"/>
                <w:sz w:val="14"/>
              </w:rPr>
              <w:t>Two competitors with no traded equity</w:t>
            </w:r>
          </w:p>
        </w:tc>
        <w:tc>
          <w:tcPr>
            <w:tcW w:type="dxa" w:w="4392"/>
          </w:tcPr>
          <w:p>
            <w:pPr>
              <w:spacing w:after="20"/>
              <w:jc w:val="right"/>
            </w:pPr>
            <w:r>
              <w:rPr>
                <w:color w:val="1C3A36"/>
                <w:sz w:val="14"/>
              </w:rPr>
              <w:t>Jio-bp (Reliance BP Mobility Limited) is an unlisted joint venture between Reliance Industries (51%) and BP (49%); BP paid Reliance USD 1bn for its 49% stake.</w:t>
            </w:r>
          </w:p>
        </w:tc>
        <w:tc>
          <w:tcPr>
            <w:tcW w:type="dxa" w:w="3528"/>
          </w:tcPr>
          <w:p>
            <w:pPr>
              <w:spacing w:after="20"/>
              <w:jc w:val="right"/>
            </w:pPr>
            <w:r>
              <w:rPr>
                <w:color w:val="1C3A36"/>
                <w:sz w:val="14"/>
              </w:rPr>
              <w:t>Recorded as a negative result and excluded from the peer table rather than estimated. The peer set is built only from operators with a real traded price.</w:t>
            </w:r>
          </w:p>
        </w:tc>
      </w:tr>
      <w:tr>
        <w:trPr>
          <w:cantSplit/>
        </w:trPr>
        <w:tc>
          <w:tcPr>
            <w:tcW w:type="dxa" w:w="2160"/>
          </w:tcPr>
          <w:p>
            <w:pPr>
              <w:spacing w:after="20"/>
            </w:pPr>
            <w:r>
              <w:rPr>
                <w:color w:val="1C3A36"/>
                <w:sz w:val="14"/>
              </w:rPr>
              <w:t>Sell-side estimates and consensus</w:t>
            </w:r>
          </w:p>
        </w:tc>
        <w:tc>
          <w:tcPr>
            <w:tcW w:type="dxa" w:w="4392"/>
          </w:tcPr>
          <w:p>
            <w:pPr>
              <w:spacing w:after="20"/>
              <w:jc w:val="right"/>
            </w:pPr>
            <w:r>
              <w:rPr>
                <w:color w:val="1C3A36"/>
                <w:sz w:val="14"/>
              </w:rPr>
              <w:t>Sixteen analysts covering ADNOC Distribution carry a consensus 'Buy' rating with an average 12-month price target of AED 4.63, implying ~13.76% upside from the 07-Aug-2026 close of AED 4.070. Comparable consensus reads on peers: Aldrees (4200) consensus 'Buy' from nine analysts with a target of SAR 134.76 (+12.58%);</w:t>
            </w:r>
          </w:p>
        </w:tc>
        <w:tc>
          <w:tcPr>
            <w:tcW w:type="dxa" w:w="3528"/>
          </w:tcPr>
          <w:p>
            <w:pPr>
              <w:spacing w:after="20"/>
              <w:jc w:val="right"/>
            </w:pPr>
            <w:r>
              <w:rPr>
                <w:color w:val="1C3A36"/>
                <w:sz w:val="14"/>
              </w:rPr>
              <w:t>Read, and never used. No consensus figure enters any lens, any driver or any historical line. It is recorded here only so that a reader can see it was looked at.</w:t>
            </w:r>
          </w:p>
        </w:tc>
      </w:tr>
    </w:tbl>
    <w:p>
      <w:pPr>
        <w:spacing w:after="40"/>
      </w:pPr>
    </w:p>
    <w:p>
      <w:pPr>
        <w:spacing w:after="200" w:before="0"/>
      </w:pPr>
      <w:r>
        <w:rPr>
          <w:b w:val="0"/>
          <w:i/>
          <w:color w:val="6E7B77"/>
          <w:sz w:val="17"/>
        </w:rPr>
        <w:t>Table 12 — where an outside source says something, and what the study did about it. In every case the answer is the same in substance: the company's own issued documents are the only source of anything the company reports about itself.</w:t>
      </w:r>
    </w:p>
    <w:p>
      <w:pPr>
        <w:spacing w:after="120" w:before="0"/>
      </w:pPr>
      <w:r>
        <w:rPr>
          <w:b w:val="0"/>
          <w:i w:val="0"/>
          <w:color w:val="1C3A36"/>
          <w:sz w:val="21"/>
        </w:rPr>
        <w:t>To state it once more, plainly, because it is the rule the whole study rests on: every historical figure in the model — every line of the income statement, the balance sheet and the cash-flow statement, every volume, every station count and every per-litre margin — comes from the company's own issued and audited or reviewed documents. Market data, peer multiples and press reporting appear only as cross-checks, are labelled as such wherever they appear, and were never a build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