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6 August 2026</w:t>
      </w:r>
    </w:p>
    <w:p>
      <w:pPr>
        <w:spacing w:after="200" w:before="0"/>
      </w:pPr>
      <w:r>
        <w:rPr>
          <w:b w:val="0"/>
          <w:i w:val="0"/>
          <w:color w:val="1C3A36"/>
          <w:sz w:val="24"/>
        </w:rPr>
        <w:t>A single-plant cement producer, sitting on net cash worth 37%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Four lenses put the shares between EGP 61.49 and EGP 92.99, weighting to a central EGP 72.59 against a market price of EGP 79.00 — -8.1%.</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75.35</w:t>
            </w:r>
          </w:p>
        </w:tc>
        <w:tc>
          <w:tcPr>
            <w:tcW w:type="dxa" w:w="1037"/>
          </w:tcPr>
          <w:p>
            <w:pPr>
              <w:spacing w:after="20"/>
              <w:jc w:val="right"/>
            </w:pPr>
            <w:r>
              <w:rPr>
                <w:color w:val="1C3A36"/>
                <w:sz w:val="18"/>
              </w:rPr>
              <w:t>48%</w:t>
            </w:r>
          </w:p>
        </w:tc>
        <w:tc>
          <w:tcPr>
            <w:tcW w:type="dxa" w:w="1469"/>
          </w:tcPr>
          <w:p>
            <w:pPr>
              <w:spacing w:after="20"/>
              <w:jc w:val="right"/>
            </w:pPr>
            <w:r>
              <w:rPr>
                <w:color w:val="1C3A36"/>
                <w:sz w:val="18"/>
              </w:rPr>
              <w:t>-4.6%</w:t>
            </w:r>
          </w:p>
        </w:tc>
        <w:tc>
          <w:tcPr>
            <w:tcW w:type="dxa" w:w="1958"/>
          </w:tcPr>
          <w:p>
            <w:pPr>
              <w:spacing w:after="20"/>
              <w:jc w:val="right"/>
            </w:pPr>
            <w:r>
              <w:rPr>
                <w:color w:val="1C3A36"/>
                <w:sz w:val="18"/>
              </w:rPr>
              <w:t>53.2%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61.49</w:t>
            </w:r>
          </w:p>
        </w:tc>
        <w:tc>
          <w:tcPr>
            <w:tcW w:type="dxa" w:w="1037"/>
          </w:tcPr>
          <w:p>
            <w:pPr>
              <w:spacing w:after="20"/>
              <w:jc w:val="right"/>
            </w:pPr>
            <w:r>
              <w:rPr>
                <w:color w:val="1C3A36"/>
                <w:sz w:val="18"/>
              </w:rPr>
              <w:t>21%</w:t>
            </w:r>
          </w:p>
        </w:tc>
        <w:tc>
          <w:tcPr>
            <w:tcW w:type="dxa" w:w="1469"/>
          </w:tcPr>
          <w:p>
            <w:pPr>
              <w:spacing w:after="20"/>
              <w:jc w:val="right"/>
            </w:pPr>
            <w:r>
              <w:rPr>
                <w:color w:val="1C3A36"/>
                <w:sz w:val="18"/>
              </w:rPr>
              <w:t>-22.2%</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69.86</w:t>
            </w:r>
          </w:p>
        </w:tc>
        <w:tc>
          <w:tcPr>
            <w:tcW w:type="dxa" w:w="1037"/>
          </w:tcPr>
          <w:p>
            <w:pPr>
              <w:spacing w:after="20"/>
              <w:jc w:val="right"/>
            </w:pPr>
            <w:r>
              <w:rPr>
                <w:color w:val="1C3A36"/>
                <w:sz w:val="18"/>
              </w:rPr>
              <w:t>23%</w:t>
            </w:r>
          </w:p>
        </w:tc>
        <w:tc>
          <w:tcPr>
            <w:tcW w:type="dxa" w:w="1469"/>
          </w:tcPr>
          <w:p>
            <w:pPr>
              <w:spacing w:after="20"/>
              <w:jc w:val="right"/>
            </w:pPr>
            <w:r>
              <w:rPr>
                <w:color w:val="1C3A36"/>
                <w:sz w:val="18"/>
              </w:rPr>
              <w:t>-11.6%</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92.99</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+17.7%</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72.59</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-8.1%</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61.49 – 92.99</w:t>
            </w:r>
          </w:p>
        </w:tc>
        <w:tc>
          <w:tcPr>
            <w:tcW w:type="dxa" w:w="1037"/>
          </w:tcPr>
          <w:p>
            <w:pPr>
              <w:spacing w:after="20"/>
              <w:jc w:val="right"/>
            </w:pPr>
            <w:r>
              <w:rPr>
                <w:color w:val="1C3A36"/>
                <w:sz w:val="18"/>
              </w:rPr>
              <w:t>—</w:t>
            </w:r>
          </w:p>
        </w:tc>
        <w:tc>
          <w:tcPr>
            <w:tcW w:type="dxa" w:w="1469"/>
          </w:tcPr>
          <w:p>
            <w:pPr>
              <w:spacing w:after="20"/>
              <w:jc w:val="right"/>
            </w:pPr>
            <w:r>
              <w:rPr>
                <w:color w:val="1C3A36"/>
                <w:sz w:val="18"/>
              </w:rPr>
              <w:t>-22.2% to +17.7%</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79.00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-48.1%</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carries 48% of the weight. It runs on a volume-and-price build off one plant, discounts each year at that year's own cost of capital, and capitalises a terminal value at a separately built terminal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9,676</w:t>
            </w:r>
          </w:p>
        </w:tc>
        <w:tc>
          <w:tcPr>
            <w:tcW w:type="dxa" w:w="1354"/>
          </w:tcPr>
          <w:p>
            <w:pPr>
              <w:spacing w:after="20"/>
              <w:jc w:val="right"/>
            </w:pPr>
            <w:r>
              <w:rPr>
                <w:color w:val="1C3A36"/>
                <w:sz w:val="18"/>
              </w:rPr>
              <w:t>10,309</w:t>
            </w:r>
          </w:p>
        </w:tc>
        <w:tc>
          <w:tcPr>
            <w:tcW w:type="dxa" w:w="1354"/>
          </w:tcPr>
          <w:p>
            <w:pPr>
              <w:spacing w:after="20"/>
              <w:jc w:val="right"/>
            </w:pPr>
            <w:r>
              <w:rPr>
                <w:color w:val="1C3A36"/>
                <w:sz w:val="18"/>
              </w:rPr>
              <w:t>11,026</w:t>
            </w:r>
          </w:p>
        </w:tc>
        <w:tc>
          <w:tcPr>
            <w:tcW w:type="dxa" w:w="1354"/>
          </w:tcPr>
          <w:p>
            <w:pPr>
              <w:spacing w:after="20"/>
              <w:jc w:val="right"/>
            </w:pPr>
            <w:r>
              <w:rPr>
                <w:color w:val="1C3A36"/>
                <w:sz w:val="18"/>
              </w:rPr>
              <w:t>11,842</w:t>
            </w:r>
          </w:p>
        </w:tc>
        <w:tc>
          <w:tcPr>
            <w:tcW w:type="dxa" w:w="1354"/>
          </w:tcPr>
          <w:p>
            <w:pPr>
              <w:spacing w:after="20"/>
              <w:jc w:val="right"/>
            </w:pPr>
            <w:r>
              <w:rPr>
                <w:color w:val="1C3A36"/>
                <w:sz w:val="18"/>
              </w:rPr>
              <w:t>12,669</w:t>
            </w:r>
          </w:p>
        </w:tc>
      </w:tr>
      <w:tr>
        <w:tc>
          <w:tcPr>
            <w:tcW w:type="dxa" w:w="3240"/>
          </w:tcPr>
          <w:p>
            <w:pPr>
              <w:spacing w:after="20"/>
            </w:pPr>
            <w:r>
              <w:rPr>
                <w:color w:val="1C3A36"/>
                <w:sz w:val="18"/>
              </w:rPr>
              <w:t>EBITDA</w:t>
            </w:r>
          </w:p>
        </w:tc>
        <w:tc>
          <w:tcPr>
            <w:tcW w:type="dxa" w:w="1354"/>
          </w:tcPr>
          <w:p>
            <w:pPr>
              <w:spacing w:after="20"/>
              <w:jc w:val="right"/>
            </w:pPr>
            <w:r>
              <w:rPr>
                <w:color w:val="1C3A36"/>
                <w:sz w:val="18"/>
              </w:rPr>
              <w:t>3,354</w:t>
            </w:r>
          </w:p>
        </w:tc>
        <w:tc>
          <w:tcPr>
            <w:tcW w:type="dxa" w:w="1354"/>
          </w:tcPr>
          <w:p>
            <w:pPr>
              <w:spacing w:after="20"/>
              <w:jc w:val="right"/>
            </w:pPr>
            <w:r>
              <w:rPr>
                <w:color w:val="1C3A36"/>
                <w:sz w:val="18"/>
              </w:rPr>
              <w:t>3,277</w:t>
            </w:r>
          </w:p>
        </w:tc>
        <w:tc>
          <w:tcPr>
            <w:tcW w:type="dxa" w:w="1354"/>
          </w:tcPr>
          <w:p>
            <w:pPr>
              <w:spacing w:after="20"/>
              <w:jc w:val="right"/>
            </w:pPr>
            <w:r>
              <w:rPr>
                <w:color w:val="1C3A36"/>
                <w:sz w:val="18"/>
              </w:rPr>
              <w:t>3,374</w:t>
            </w:r>
          </w:p>
        </w:tc>
        <w:tc>
          <w:tcPr>
            <w:tcW w:type="dxa" w:w="1354"/>
          </w:tcPr>
          <w:p>
            <w:pPr>
              <w:spacing w:after="20"/>
              <w:jc w:val="right"/>
            </w:pPr>
            <w:r>
              <w:rPr>
                <w:color w:val="1C3A36"/>
                <w:sz w:val="18"/>
              </w:rPr>
              <w:t>3,610</w:t>
            </w:r>
          </w:p>
        </w:tc>
        <w:tc>
          <w:tcPr>
            <w:tcW w:type="dxa" w:w="1354"/>
          </w:tcPr>
          <w:p>
            <w:pPr>
              <w:spacing w:after="20"/>
              <w:jc w:val="right"/>
            </w:pPr>
            <w:r>
              <w:rPr>
                <w:color w:val="1C3A36"/>
                <w:sz w:val="18"/>
              </w:rPr>
              <w:t>3,863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34.7%</w:t>
            </w:r>
          </w:p>
        </w:tc>
        <w:tc>
          <w:tcPr>
            <w:tcW w:type="dxa" w:w="1354"/>
          </w:tcPr>
          <w:p>
            <w:pPr>
              <w:spacing w:after="20"/>
              <w:jc w:val="right"/>
            </w:pPr>
            <w:r>
              <w:rPr>
                <w:color w:val="1C3A36"/>
                <w:sz w:val="18"/>
              </w:rPr>
              <w:t>31.8%</w:t>
            </w:r>
          </w:p>
        </w:tc>
        <w:tc>
          <w:tcPr>
            <w:tcW w:type="dxa" w:w="1354"/>
          </w:tcPr>
          <w:p>
            <w:pPr>
              <w:spacing w:after="20"/>
              <w:jc w:val="right"/>
            </w:pPr>
            <w:r>
              <w:rPr>
                <w:color w:val="1C3A36"/>
                <w:sz w:val="18"/>
              </w:rPr>
              <w:t>30.6%</w:t>
            </w:r>
          </w:p>
        </w:tc>
        <w:tc>
          <w:tcPr>
            <w:tcW w:type="dxa" w:w="1354"/>
          </w:tcPr>
          <w:p>
            <w:pPr>
              <w:spacing w:after="20"/>
              <w:jc w:val="right"/>
            </w:pPr>
            <w:r>
              <w:rPr>
                <w:color w:val="1C3A36"/>
                <w:sz w:val="18"/>
              </w:rPr>
              <w:t>30.5%</w:t>
            </w:r>
          </w:p>
        </w:tc>
        <w:tc>
          <w:tcPr>
            <w:tcW w:type="dxa" w:w="1354"/>
          </w:tcPr>
          <w:p>
            <w:pPr>
              <w:spacing w:after="20"/>
              <w:jc w:val="right"/>
            </w:pPr>
            <w:r>
              <w:rPr>
                <w:color w:val="1C3A36"/>
                <w:sz w:val="18"/>
              </w:rPr>
              <w:t>30.5%</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149</w:t>
            </w:r>
          </w:p>
        </w:tc>
        <w:tc>
          <w:tcPr>
            <w:tcW w:type="dxa" w:w="1354"/>
          </w:tcPr>
          <w:p>
            <w:pPr>
              <w:spacing w:after="20"/>
              <w:jc w:val="right"/>
            </w:pPr>
            <w:r>
              <w:rPr>
                <w:color w:val="1C3A36"/>
                <w:sz w:val="18"/>
              </w:rPr>
              <w:t>165</w:t>
            </w:r>
          </w:p>
        </w:tc>
        <w:tc>
          <w:tcPr>
            <w:tcW w:type="dxa" w:w="1354"/>
          </w:tcPr>
          <w:p>
            <w:pPr>
              <w:spacing w:after="20"/>
              <w:jc w:val="right"/>
            </w:pPr>
            <w:r>
              <w:rPr>
                <w:color w:val="1C3A36"/>
                <w:sz w:val="18"/>
              </w:rPr>
              <w:t>182</w:t>
            </w:r>
          </w:p>
        </w:tc>
        <w:tc>
          <w:tcPr>
            <w:tcW w:type="dxa" w:w="1354"/>
          </w:tcPr>
          <w:p>
            <w:pPr>
              <w:spacing w:after="20"/>
              <w:jc w:val="right"/>
            </w:pPr>
            <w:r>
              <w:rPr>
                <w:color w:val="1C3A36"/>
                <w:sz w:val="18"/>
              </w:rPr>
              <w:t>200</w:t>
            </w:r>
          </w:p>
        </w:tc>
      </w:tr>
      <w:tr>
        <w:tc>
          <w:tcPr>
            <w:tcW w:type="dxa" w:w="3240"/>
          </w:tcPr>
          <w:p>
            <w:pPr>
              <w:spacing w:after="20"/>
            </w:pPr>
            <w:r>
              <w:rPr>
                <w:color w:val="1C3A36"/>
                <w:sz w:val="18"/>
              </w:rPr>
              <w:t>EBIT</w:t>
            </w:r>
          </w:p>
        </w:tc>
        <w:tc>
          <w:tcPr>
            <w:tcW w:type="dxa" w:w="1354"/>
          </w:tcPr>
          <w:p>
            <w:pPr>
              <w:spacing w:after="20"/>
              <w:jc w:val="right"/>
            </w:pPr>
            <w:r>
              <w:rPr>
                <w:color w:val="1C3A36"/>
                <w:sz w:val="18"/>
              </w:rPr>
              <w:t>3,220</w:t>
            </w:r>
          </w:p>
        </w:tc>
        <w:tc>
          <w:tcPr>
            <w:tcW w:type="dxa" w:w="1354"/>
          </w:tcPr>
          <w:p>
            <w:pPr>
              <w:spacing w:after="20"/>
              <w:jc w:val="right"/>
            </w:pPr>
            <w:r>
              <w:rPr>
                <w:color w:val="1C3A36"/>
                <w:sz w:val="18"/>
              </w:rPr>
              <w:t>3,127</w:t>
            </w:r>
          </w:p>
        </w:tc>
        <w:tc>
          <w:tcPr>
            <w:tcW w:type="dxa" w:w="1354"/>
          </w:tcPr>
          <w:p>
            <w:pPr>
              <w:spacing w:after="20"/>
              <w:jc w:val="right"/>
            </w:pPr>
            <w:r>
              <w:rPr>
                <w:color w:val="1C3A36"/>
                <w:sz w:val="18"/>
              </w:rPr>
              <w:t>3,209</w:t>
            </w:r>
          </w:p>
        </w:tc>
        <w:tc>
          <w:tcPr>
            <w:tcW w:type="dxa" w:w="1354"/>
          </w:tcPr>
          <w:p>
            <w:pPr>
              <w:spacing w:after="20"/>
              <w:jc w:val="right"/>
            </w:pPr>
            <w:r>
              <w:rPr>
                <w:color w:val="1C3A36"/>
                <w:sz w:val="18"/>
              </w:rPr>
              <w:t>3,428</w:t>
            </w:r>
          </w:p>
        </w:tc>
        <w:tc>
          <w:tcPr>
            <w:tcW w:type="dxa" w:w="1354"/>
          </w:tcPr>
          <w:p>
            <w:pPr>
              <w:spacing w:after="20"/>
              <w:jc w:val="right"/>
            </w:pPr>
            <w:r>
              <w:rPr>
                <w:color w:val="1C3A36"/>
                <w:sz w:val="18"/>
              </w:rPr>
              <w:t>3,662</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2,495</w:t>
            </w:r>
          </w:p>
        </w:tc>
        <w:tc>
          <w:tcPr>
            <w:tcW w:type="dxa" w:w="1354"/>
          </w:tcPr>
          <w:p>
            <w:pPr>
              <w:spacing w:after="20"/>
              <w:jc w:val="right"/>
            </w:pPr>
            <w:r>
              <w:rPr>
                <w:color w:val="1C3A36"/>
                <w:sz w:val="18"/>
              </w:rPr>
              <w:t>2,424</w:t>
            </w:r>
          </w:p>
        </w:tc>
        <w:tc>
          <w:tcPr>
            <w:tcW w:type="dxa" w:w="1354"/>
          </w:tcPr>
          <w:p>
            <w:pPr>
              <w:spacing w:after="20"/>
              <w:jc w:val="right"/>
            </w:pPr>
            <w:r>
              <w:rPr>
                <w:color w:val="1C3A36"/>
                <w:sz w:val="18"/>
              </w:rPr>
              <w:t>2,487</w:t>
            </w:r>
          </w:p>
        </w:tc>
        <w:tc>
          <w:tcPr>
            <w:tcW w:type="dxa" w:w="1354"/>
          </w:tcPr>
          <w:p>
            <w:pPr>
              <w:spacing w:after="20"/>
              <w:jc w:val="right"/>
            </w:pPr>
            <w:r>
              <w:rPr>
                <w:color w:val="1C3A36"/>
                <w:sz w:val="18"/>
              </w:rPr>
              <w:t>2,656</w:t>
            </w:r>
          </w:p>
        </w:tc>
        <w:tc>
          <w:tcPr>
            <w:tcW w:type="dxa" w:w="1354"/>
          </w:tcPr>
          <w:p>
            <w:pPr>
              <w:spacing w:after="20"/>
              <w:jc w:val="right"/>
            </w:pPr>
            <w:r>
              <w:rPr>
                <w:color w:val="1C3A36"/>
                <w:sz w:val="18"/>
              </w:rPr>
              <w:t>2,838</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149</w:t>
            </w:r>
          </w:p>
        </w:tc>
        <w:tc>
          <w:tcPr>
            <w:tcW w:type="dxa" w:w="1354"/>
          </w:tcPr>
          <w:p>
            <w:pPr>
              <w:spacing w:after="20"/>
              <w:jc w:val="right"/>
            </w:pPr>
            <w:r>
              <w:rPr>
                <w:color w:val="1C3A36"/>
                <w:sz w:val="18"/>
              </w:rPr>
              <w:t>165</w:t>
            </w:r>
          </w:p>
        </w:tc>
        <w:tc>
          <w:tcPr>
            <w:tcW w:type="dxa" w:w="1354"/>
          </w:tcPr>
          <w:p>
            <w:pPr>
              <w:spacing w:after="20"/>
              <w:jc w:val="right"/>
            </w:pPr>
            <w:r>
              <w:rPr>
                <w:color w:val="1C3A36"/>
                <w:sz w:val="18"/>
              </w:rPr>
              <w:t>182</w:t>
            </w:r>
          </w:p>
        </w:tc>
        <w:tc>
          <w:tcPr>
            <w:tcW w:type="dxa" w:w="1354"/>
          </w:tcPr>
          <w:p>
            <w:pPr>
              <w:spacing w:after="20"/>
              <w:jc w:val="right"/>
            </w:pPr>
            <w:r>
              <w:rPr>
                <w:color w:val="1C3A36"/>
                <w:sz w:val="18"/>
              </w:rPr>
              <w:t>200</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(346)</w:t>
            </w:r>
          </w:p>
        </w:tc>
        <w:tc>
          <w:tcPr>
            <w:tcW w:type="dxa" w:w="1354"/>
            <w:shd w:val="clear" w:color="auto" w:fill="F6F1E6"/>
          </w:tcPr>
          <w:p>
            <w:pPr>
              <w:spacing w:after="20"/>
              <w:jc w:val="right"/>
            </w:pPr>
            <w:r>
              <w:rPr>
                <w:b/>
                <w:color w:val="1C3A36"/>
                <w:sz w:val="18"/>
              </w:rPr>
              <w:t>(384)</w:t>
            </w:r>
          </w:p>
        </w:tc>
        <w:tc>
          <w:tcPr>
            <w:tcW w:type="dxa" w:w="1354"/>
            <w:shd w:val="clear" w:color="auto" w:fill="F6F1E6"/>
          </w:tcPr>
          <w:p>
            <w:pPr>
              <w:spacing w:after="20"/>
              <w:jc w:val="right"/>
            </w:pPr>
            <w:r>
              <w:rPr>
                <w:b/>
                <w:color w:val="1C3A36"/>
                <w:sz w:val="18"/>
              </w:rPr>
              <w:t>(414)</w:t>
            </w:r>
          </w:p>
        </w:tc>
        <w:tc>
          <w:tcPr>
            <w:tcW w:type="dxa" w:w="1354"/>
            <w:shd w:val="clear" w:color="auto" w:fill="F6F1E6"/>
          </w:tcPr>
          <w:p>
            <w:pPr>
              <w:spacing w:after="20"/>
              <w:jc w:val="right"/>
            </w:pPr>
            <w:r>
              <w:rPr>
                <w:b/>
                <w:color w:val="1C3A36"/>
                <w:sz w:val="18"/>
              </w:rPr>
              <w:t>(440)</w:t>
            </w:r>
          </w:p>
        </w:tc>
        <w:tc>
          <w:tcPr>
            <w:tcW w:type="dxa" w:w="1354"/>
            <w:shd w:val="clear" w:color="auto" w:fill="F6F1E6"/>
          </w:tcPr>
          <w:p>
            <w:pPr>
              <w:spacing w:after="20"/>
              <w:jc w:val="right"/>
            </w:pPr>
            <w:r>
              <w:rPr>
                <w:b/>
                <w:color w:val="1C3A36"/>
                <w:sz w:val="18"/>
              </w:rPr>
              <w:t>(464)</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(47)</w:t>
            </w:r>
          </w:p>
        </w:tc>
        <w:tc>
          <w:tcPr>
            <w:tcW w:type="dxa" w:w="1354"/>
          </w:tcPr>
          <w:p>
            <w:pPr>
              <w:spacing w:after="20"/>
              <w:jc w:val="right"/>
            </w:pPr>
            <w:r>
              <w:rPr>
                <w:color w:val="1C3A36"/>
                <w:sz w:val="18"/>
              </w:rPr>
              <w:t>(51)</w:t>
            </w:r>
          </w:p>
        </w:tc>
        <w:tc>
          <w:tcPr>
            <w:tcW w:type="dxa" w:w="1354"/>
          </w:tcPr>
          <w:p>
            <w:pPr>
              <w:spacing w:after="20"/>
              <w:jc w:val="right"/>
            </w:pPr>
            <w:r>
              <w:rPr>
                <w:color w:val="1C3A36"/>
                <w:sz w:val="18"/>
              </w:rPr>
              <w:t>(57)</w:t>
            </w:r>
          </w:p>
        </w:tc>
        <w:tc>
          <w:tcPr>
            <w:tcW w:type="dxa" w:w="1354"/>
          </w:tcPr>
          <w:p>
            <w:pPr>
              <w:spacing w:after="20"/>
              <w:jc w:val="right"/>
            </w:pPr>
            <w:r>
              <w:rPr>
                <w:color w:val="1C3A36"/>
                <w:sz w:val="18"/>
              </w:rPr>
              <w:t>(65)</w:t>
            </w:r>
          </w:p>
        </w:tc>
        <w:tc>
          <w:tcPr>
            <w:tcW w:type="dxa" w:w="1354"/>
          </w:tcPr>
          <w:p>
            <w:pPr>
              <w:spacing w:after="20"/>
              <w:jc w:val="right"/>
            </w:pPr>
            <w:r>
              <w:rPr>
                <w:color w:val="1C3A36"/>
                <w:sz w:val="18"/>
              </w:rPr>
              <w:t>(66)</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933</w:t>
            </w:r>
          </w:p>
        </w:tc>
        <w:tc>
          <w:tcPr>
            <w:tcW w:type="dxa" w:w="1354"/>
            <w:shd w:val="clear" w:color="auto" w:fill="F6F1E6"/>
          </w:tcPr>
          <w:p>
            <w:pPr>
              <w:spacing w:after="20"/>
              <w:jc w:val="right"/>
            </w:pPr>
            <w:r>
              <w:rPr>
                <w:b/>
                <w:color w:val="1C3A36"/>
                <w:sz w:val="18"/>
              </w:rPr>
              <w:t>2,139</w:t>
            </w:r>
          </w:p>
        </w:tc>
        <w:tc>
          <w:tcPr>
            <w:tcW w:type="dxa" w:w="1354"/>
            <w:shd w:val="clear" w:color="auto" w:fill="F6F1E6"/>
          </w:tcPr>
          <w:p>
            <w:pPr>
              <w:spacing w:after="20"/>
              <w:jc w:val="right"/>
            </w:pPr>
            <w:r>
              <w:rPr>
                <w:b/>
                <w:color w:val="1C3A36"/>
                <w:sz w:val="18"/>
              </w:rPr>
              <w:t>2,181</w:t>
            </w:r>
          </w:p>
        </w:tc>
        <w:tc>
          <w:tcPr>
            <w:tcW w:type="dxa" w:w="1354"/>
            <w:shd w:val="clear" w:color="auto" w:fill="F6F1E6"/>
          </w:tcPr>
          <w:p>
            <w:pPr>
              <w:spacing w:after="20"/>
              <w:jc w:val="right"/>
            </w:pPr>
            <w:r>
              <w:rPr>
                <w:b/>
                <w:color w:val="1C3A36"/>
                <w:sz w:val="18"/>
              </w:rPr>
              <w:t>2,334</w:t>
            </w:r>
          </w:p>
        </w:tc>
        <w:tc>
          <w:tcPr>
            <w:tcW w:type="dxa" w:w="1354"/>
            <w:shd w:val="clear" w:color="auto" w:fill="F6F1E6"/>
          </w:tcPr>
          <w:p>
            <w:pPr>
              <w:spacing w:after="20"/>
              <w:jc w:val="right"/>
            </w:pPr>
            <w:r>
              <w:rPr>
                <w:b/>
                <w:color w:val="1C3A36"/>
                <w:sz w:val="18"/>
              </w:rPr>
              <w:t>2,509</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0.9495</w:t>
            </w:r>
          </w:p>
        </w:tc>
        <w:tc>
          <w:tcPr>
            <w:tcW w:type="dxa" w:w="1354"/>
          </w:tcPr>
          <w:p>
            <w:pPr>
              <w:spacing w:after="20"/>
              <w:jc w:val="right"/>
            </w:pPr>
            <w:r>
              <w:rPr>
                <w:color w:val="1C3A36"/>
                <w:sz w:val="18"/>
              </w:rPr>
              <w:t>0.7960</w:t>
            </w:r>
          </w:p>
        </w:tc>
        <w:tc>
          <w:tcPr>
            <w:tcW w:type="dxa" w:w="1354"/>
          </w:tcPr>
          <w:p>
            <w:pPr>
              <w:spacing w:after="20"/>
              <w:jc w:val="right"/>
            </w:pPr>
            <w:r>
              <w:rPr>
                <w:color w:val="1C3A36"/>
                <w:sz w:val="18"/>
              </w:rPr>
              <w:t>0.6360</w:t>
            </w:r>
          </w:p>
        </w:tc>
        <w:tc>
          <w:tcPr>
            <w:tcW w:type="dxa" w:w="1354"/>
          </w:tcPr>
          <w:p>
            <w:pPr>
              <w:spacing w:after="20"/>
              <w:jc w:val="right"/>
            </w:pPr>
            <w:r>
              <w:rPr>
                <w:color w:val="1C3A36"/>
                <w:sz w:val="18"/>
              </w:rPr>
              <w:t>0.5189</w:t>
            </w:r>
          </w:p>
        </w:tc>
        <w:tc>
          <w:tcPr>
            <w:tcW w:type="dxa" w:w="1354"/>
          </w:tcPr>
          <w:p>
            <w:pPr>
              <w:spacing w:after="20"/>
              <w:jc w:val="right"/>
            </w:pPr>
            <w:r>
              <w:rPr>
                <w:color w:val="1C3A36"/>
                <w:sz w:val="18"/>
              </w:rPr>
              <w:t>0.4305</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886</w:t>
            </w:r>
          </w:p>
        </w:tc>
        <w:tc>
          <w:tcPr>
            <w:tcW w:type="dxa" w:w="1354"/>
          </w:tcPr>
          <w:p>
            <w:pPr>
              <w:spacing w:after="20"/>
              <w:jc w:val="right"/>
            </w:pPr>
            <w:r>
              <w:rPr>
                <w:color w:val="1C3A36"/>
                <w:sz w:val="18"/>
              </w:rPr>
              <w:t>1,703</w:t>
            </w:r>
          </w:p>
        </w:tc>
        <w:tc>
          <w:tcPr>
            <w:tcW w:type="dxa" w:w="1354"/>
          </w:tcPr>
          <w:p>
            <w:pPr>
              <w:spacing w:after="20"/>
              <w:jc w:val="right"/>
            </w:pPr>
            <w:r>
              <w:rPr>
                <w:color w:val="1C3A36"/>
                <w:sz w:val="18"/>
              </w:rPr>
              <w:t>1,387</w:t>
            </w:r>
          </w:p>
        </w:tc>
        <w:tc>
          <w:tcPr>
            <w:tcW w:type="dxa" w:w="1354"/>
          </w:tcPr>
          <w:p>
            <w:pPr>
              <w:spacing w:after="20"/>
              <w:jc w:val="right"/>
            </w:pPr>
            <w:r>
              <w:rPr>
                <w:color w:val="1C3A36"/>
                <w:sz w:val="18"/>
              </w:rPr>
              <w:t>1,211</w:t>
            </w:r>
          </w:p>
        </w:tc>
        <w:tc>
          <w:tcPr>
            <w:tcW w:type="dxa" w:w="1354"/>
          </w:tcPr>
          <w:p>
            <w:pPr>
              <w:spacing w:after="20"/>
              <w:jc w:val="right"/>
            </w:pPr>
            <w:r>
              <w:rPr>
                <w:color w:val="1C3A36"/>
                <w:sz w:val="18"/>
              </w:rPr>
              <w:t>1,080</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19.50% and a ten-year government yield of 22.31%, neither of which the central bank itself expects to persist — its own published medium-term inflation target is 5%.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28.24%</w:t>
            </w:r>
          </w:p>
        </w:tc>
        <w:tc>
          <w:tcPr>
            <w:tcW w:type="dxa" w:w="1354"/>
          </w:tcPr>
          <w:p>
            <w:pPr>
              <w:spacing w:after="20"/>
              <w:jc w:val="right"/>
            </w:pPr>
            <w:r>
              <w:rPr>
                <w:color w:val="1C3A36"/>
                <w:sz w:val="18"/>
              </w:rPr>
              <w:t>24.89%</w:t>
            </w:r>
          </w:p>
        </w:tc>
        <w:tc>
          <w:tcPr>
            <w:tcW w:type="dxa" w:w="1354"/>
          </w:tcPr>
          <w:p>
            <w:pPr>
              <w:spacing w:after="20"/>
              <w:jc w:val="right"/>
            </w:pPr>
            <w:r>
              <w:rPr>
                <w:color w:val="1C3A36"/>
                <w:sz w:val="18"/>
              </w:rPr>
              <w:t>22.37%</w:t>
            </w:r>
          </w:p>
        </w:tc>
        <w:tc>
          <w:tcPr>
            <w:tcW w:type="dxa" w:w="1354"/>
          </w:tcPr>
          <w:p>
            <w:pPr>
              <w:spacing w:after="20"/>
              <w:jc w:val="right"/>
            </w:pPr>
            <w:r>
              <w:rPr>
                <w:color w:val="1C3A36"/>
                <w:sz w:val="18"/>
              </w:rPr>
              <w:t>20.35%</w:t>
            </w:r>
          </w:p>
        </w:tc>
        <w:tc>
          <w:tcPr>
            <w:tcW w:type="dxa" w:w="1354"/>
          </w:tcPr>
          <w:p>
            <w:pPr>
              <w:spacing w:after="20"/>
              <w:jc w:val="right"/>
            </w:pPr>
            <w:r>
              <w:rPr>
                <w:color w:val="1C3A36"/>
                <w:sz w:val="18"/>
              </w:rPr>
              <w:t>19.01%</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0.9495</w:t>
            </w:r>
          </w:p>
        </w:tc>
        <w:tc>
          <w:tcPr>
            <w:tcW w:type="dxa" w:w="1354"/>
          </w:tcPr>
          <w:p>
            <w:pPr>
              <w:spacing w:after="20"/>
              <w:jc w:val="right"/>
            </w:pPr>
            <w:r>
              <w:rPr>
                <w:color w:val="1C3A36"/>
                <w:sz w:val="18"/>
              </w:rPr>
              <w:t>0.7960</w:t>
            </w:r>
          </w:p>
        </w:tc>
        <w:tc>
          <w:tcPr>
            <w:tcW w:type="dxa" w:w="1354"/>
          </w:tcPr>
          <w:p>
            <w:pPr>
              <w:spacing w:after="20"/>
              <w:jc w:val="right"/>
            </w:pPr>
            <w:r>
              <w:rPr>
                <w:color w:val="1C3A36"/>
                <w:sz w:val="18"/>
              </w:rPr>
              <w:t>0.6360</w:t>
            </w:r>
          </w:p>
        </w:tc>
        <w:tc>
          <w:tcPr>
            <w:tcW w:type="dxa" w:w="1354"/>
          </w:tcPr>
          <w:p>
            <w:pPr>
              <w:spacing w:after="20"/>
              <w:jc w:val="right"/>
            </w:pPr>
            <w:r>
              <w:rPr>
                <w:color w:val="1C3A36"/>
                <w:sz w:val="18"/>
              </w:rPr>
              <w:t>0.5189</w:t>
            </w:r>
          </w:p>
        </w:tc>
        <w:tc>
          <w:tcPr>
            <w:tcW w:type="dxa" w:w="1354"/>
          </w:tcPr>
          <w:p>
            <w:pPr>
              <w:spacing w:after="20"/>
              <w:jc w:val="right"/>
            </w:pPr>
            <w:r>
              <w:rPr>
                <w:color w:val="1C3A36"/>
                <w:sz w:val="18"/>
              </w:rPr>
              <w:t>0.4305</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6,267</w:t>
            </w:r>
          </w:p>
        </w:tc>
        <w:tc>
          <w:tcPr>
            <w:tcW w:type="dxa" w:w="2232"/>
          </w:tcPr>
          <w:p>
            <w:pPr>
              <w:spacing w:after="20"/>
              <w:jc w:val="right"/>
            </w:pPr>
            <w:r>
              <w:rPr>
                <w:color w:val="1C3A36"/>
                <w:sz w:val="18"/>
              </w:rPr>
              <w:t>24.03</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7,112</w:t>
            </w:r>
          </w:p>
        </w:tc>
        <w:tc>
          <w:tcPr>
            <w:tcW w:type="dxa" w:w="2232"/>
          </w:tcPr>
          <w:p>
            <w:pPr>
              <w:spacing w:after="20"/>
              <w:jc w:val="right"/>
            </w:pPr>
            <w:r>
              <w:rPr>
                <w:color w:val="1C3A36"/>
                <w:sz w:val="18"/>
              </w:rPr>
              <w:t>27.27</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13,379</w:t>
            </w:r>
          </w:p>
        </w:tc>
        <w:tc>
          <w:tcPr>
            <w:tcW w:type="dxa" w:w="2232"/>
          </w:tcPr>
          <w:p>
            <w:pPr>
              <w:spacing w:after="20"/>
              <w:jc w:val="right"/>
            </w:pPr>
            <w:r>
              <w:rPr>
                <w:color w:val="1C3A36"/>
                <w:sz w:val="18"/>
              </w:rPr>
              <w:t>51.30</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53.2%</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6,394</w:t>
            </w:r>
          </w:p>
        </w:tc>
        <w:tc>
          <w:tcPr>
            <w:tcW w:type="dxa" w:w="2232"/>
          </w:tcPr>
          <w:p>
            <w:pPr>
              <w:spacing w:after="20"/>
              <w:jc w:val="right"/>
            </w:pPr>
            <w:r>
              <w:rPr>
                <w:color w:val="1C3A36"/>
                <w:sz w:val="18"/>
              </w:rPr>
              <w:t>24.52</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19,653</w:t>
            </w:r>
          </w:p>
        </w:tc>
        <w:tc>
          <w:tcPr>
            <w:tcW w:type="dxa" w:w="2232"/>
            <w:shd w:val="clear" w:color="auto" w:fill="F6F1E6"/>
          </w:tcPr>
          <w:p>
            <w:pPr>
              <w:spacing w:after="20"/>
              <w:jc w:val="right"/>
            </w:pPr>
            <w:r>
              <w:rPr>
                <w:b/>
                <w:color w:val="1C3A36"/>
                <w:sz w:val="18"/>
              </w:rPr>
              <w:t>75.35</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79.00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15% of enterprise value; on that reading the shares are worth EGP 68.11 rather than EGP 75.35, and the reasoning behind the adopted figure is in the input register. Terminal value is 53%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24,601 million at today's exchange rate. On that basis the terminal return on capital is 12.1% and the reinvestment rate is 31.9%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12.1% sits BELOW the terminal cost of capital of 19.0%. Every extra point of perpetual growth must be bought with reinvestment that earns less than it costs, so raising terminal growth from 3% to 7% LOWERS fair value, from EGP 67.53 to EGP 77.96.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14,210</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75.1</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-42.2%</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49.8 to the dollar (EGP mn)</w:t>
            </w:r>
          </w:p>
        </w:tc>
        <w:tc>
          <w:tcPr>
            <w:tcW w:type="dxa" w:w="3312"/>
          </w:tcPr>
          <w:p>
            <w:pPr>
              <w:spacing w:after="20"/>
              <w:jc w:val="right"/>
            </w:pPr>
            <w:r>
              <w:rPr>
                <w:color w:val="1C3A36"/>
                <w:sz w:val="18"/>
              </w:rPr>
              <w:t>17,978</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6,394</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92.99</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6,394</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61.49</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6,394</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69.86</w:t>
            </w:r>
          </w:p>
        </w:tc>
      </w:tr>
    </w:tbl>
    <w:p>
      <w:pPr>
        <w:spacing w:after="40"/>
      </w:pPr>
    </w:p>
    <w:p>
      <w:pPr>
        <w:spacing w:after="200" w:before="0"/>
      </w:pPr>
      <w:r>
        <w:rPr>
          <w:b w:val="0"/>
          <w:i/>
          <w:color w:val="6E7B77"/>
          <w:sz w:val="17"/>
        </w:rPr>
        <w:t>Table 7 — Normalised earnings power,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four lenses, one field</w:t>
      </w:r>
    </w:p>
    <w:p>
      <w:pPr>
        <w:spacing w:after="120" w:before="0"/>
      </w:pPr>
      <w:r>
        <w:rPr>
          <w:b w:val="0"/>
          <w:i w:val="0"/>
          <w:color w:val="1C3A36"/>
          <w:sz w:val="21"/>
        </w:rPr>
        <w:t>The four lenses do not agree, and the spread between them is the honest output rather than a problem to be smoothed. The cash-flow and normalised-earnings lenses, which both ask what the business earns, land in the middle fifties. The relative lens lands in the mid sixties. The asset lens, which asks only what the plant is worth, lands near ninety. The market price of EGP 79.00 sits between the earnings answers and the asset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Weight</w:t>
            </w:r>
          </w:p>
        </w:tc>
        <w:tc>
          <w:tcPr>
            <w:tcW w:type="dxa" w:w="3442"/>
            <w:shd w:val="clear" w:color="auto" w:fill="EAF0EE"/>
          </w:tcPr>
          <w:p>
            <w:pPr>
              <w:spacing w:after="20"/>
            </w:pPr>
            <w:r>
              <w:rPr>
                <w:b/>
                <w:color w:val="1C3A36"/>
                <w:sz w:val="18"/>
              </w:rPr>
              <w:t>What it is measuring</w:t>
            </w:r>
          </w:p>
        </w:tc>
      </w:tr>
      <w:tr>
        <w:tc>
          <w:tcPr>
            <w:tcW w:type="dxa" w:w="2333"/>
          </w:tcPr>
          <w:p>
            <w:pPr>
              <w:spacing w:after="20"/>
            </w:pPr>
            <w:r>
              <w:rPr>
                <w:color w:val="1C3A36"/>
                <w:sz w:val="18"/>
              </w:rPr>
              <w:t>DCF (cash flow)</w:t>
            </w:r>
          </w:p>
        </w:tc>
        <w:tc>
          <w:tcPr>
            <w:tcW w:type="dxa" w:w="1037"/>
          </w:tcPr>
          <w:p>
            <w:pPr>
              <w:spacing w:after="20"/>
              <w:jc w:val="right"/>
            </w:pPr>
            <w:r>
              <w:rPr>
                <w:color w:val="1C3A36"/>
                <w:sz w:val="18"/>
              </w:rPr>
              <w:t>65.84</w:t>
            </w:r>
          </w:p>
        </w:tc>
        <w:tc>
          <w:tcPr>
            <w:tcW w:type="dxa" w:w="1037"/>
          </w:tcPr>
          <w:p>
            <w:pPr>
              <w:spacing w:after="20"/>
              <w:jc w:val="right"/>
            </w:pPr>
            <w:r>
              <w:rPr>
                <w:color w:val="1C3A36"/>
                <w:sz w:val="18"/>
              </w:rPr>
              <w:t>75.35</w:t>
            </w:r>
          </w:p>
        </w:tc>
        <w:tc>
          <w:tcPr>
            <w:tcW w:type="dxa" w:w="1037"/>
          </w:tcPr>
          <w:p>
            <w:pPr>
              <w:spacing w:after="20"/>
              <w:jc w:val="right"/>
            </w:pPr>
            <w:r>
              <w:rPr>
                <w:color w:val="1C3A36"/>
                <w:sz w:val="18"/>
              </w:rPr>
              <w:t>80.31</w:t>
            </w:r>
          </w:p>
        </w:tc>
        <w:tc>
          <w:tcPr>
            <w:tcW w:type="dxa" w:w="1123"/>
          </w:tcPr>
          <w:p>
            <w:pPr>
              <w:spacing w:after="20"/>
              <w:jc w:val="right"/>
            </w:pPr>
            <w:r>
              <w:rPr>
                <w:color w:val="1C3A36"/>
                <w:sz w:val="18"/>
              </w:rPr>
              <w:t>48%</w:t>
            </w:r>
          </w:p>
        </w:tc>
        <w:tc>
          <w:tcPr>
            <w:tcW w:type="dxa" w:w="3442"/>
          </w:tcPr>
          <w:p>
            <w:pPr>
              <w:spacing w:after="20"/>
              <w:jc w:val="right"/>
            </w:pPr>
            <w:r>
              <w:rPr>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52.58</w:t>
            </w:r>
          </w:p>
        </w:tc>
        <w:tc>
          <w:tcPr>
            <w:tcW w:type="dxa" w:w="1037"/>
          </w:tcPr>
          <w:p>
            <w:pPr>
              <w:spacing w:after="20"/>
              <w:jc w:val="right"/>
            </w:pPr>
            <w:r>
              <w:rPr>
                <w:color w:val="1C3A36"/>
                <w:sz w:val="18"/>
              </w:rPr>
              <w:t>61.49</w:t>
            </w:r>
          </w:p>
        </w:tc>
        <w:tc>
          <w:tcPr>
            <w:tcW w:type="dxa" w:w="1037"/>
          </w:tcPr>
          <w:p>
            <w:pPr>
              <w:spacing w:after="20"/>
              <w:jc w:val="right"/>
            </w:pPr>
            <w:r>
              <w:rPr>
                <w:color w:val="1C3A36"/>
                <w:sz w:val="18"/>
              </w:rPr>
              <w:t>70.40</w:t>
            </w:r>
          </w:p>
        </w:tc>
        <w:tc>
          <w:tcPr>
            <w:tcW w:type="dxa" w:w="1123"/>
          </w:tcPr>
          <w:p>
            <w:pPr>
              <w:spacing w:after="20"/>
              <w:jc w:val="right"/>
            </w:pPr>
            <w:r>
              <w:rPr>
                <w:color w:val="1C3A36"/>
                <w:sz w:val="18"/>
              </w:rPr>
              <w:t>21%</w:t>
            </w:r>
          </w:p>
        </w:tc>
        <w:tc>
          <w:tcPr>
            <w:tcW w:type="dxa" w:w="3442"/>
          </w:tcPr>
          <w:p>
            <w:pPr>
              <w:spacing w:after="20"/>
              <w:jc w:val="right"/>
            </w:pPr>
            <w:r>
              <w:rPr>
                <w:color w:val="1C3A36"/>
                <w:sz w:val="18"/>
              </w:rPr>
              <w:t>What the market pays peers for the same EBITDA</w:t>
            </w:r>
          </w:p>
        </w:tc>
      </w:tr>
      <w:tr>
        <w:tc>
          <w:tcPr>
            <w:tcW w:type="dxa" w:w="2333"/>
          </w:tcPr>
          <w:p>
            <w:pPr>
              <w:spacing w:after="20"/>
            </w:pPr>
            <w:r>
              <w:rPr>
                <w:color w:val="1C3A36"/>
                <w:sz w:val="18"/>
              </w:rPr>
              <w:t>Normalised earnings</w:t>
            </w:r>
          </w:p>
        </w:tc>
        <w:tc>
          <w:tcPr>
            <w:tcW w:type="dxa" w:w="1037"/>
          </w:tcPr>
          <w:p>
            <w:pPr>
              <w:spacing w:after="20"/>
              <w:jc w:val="right"/>
            </w:pPr>
            <w:r>
              <w:rPr>
                <w:color w:val="1C3A36"/>
                <w:sz w:val="18"/>
              </w:rPr>
              <w:t>63.32</w:t>
            </w:r>
          </w:p>
        </w:tc>
        <w:tc>
          <w:tcPr>
            <w:tcW w:type="dxa" w:w="1037"/>
          </w:tcPr>
          <w:p>
            <w:pPr>
              <w:spacing w:after="20"/>
              <w:jc w:val="right"/>
            </w:pPr>
            <w:r>
              <w:rPr>
                <w:color w:val="1C3A36"/>
                <w:sz w:val="18"/>
              </w:rPr>
              <w:t>69.86</w:t>
            </w:r>
          </w:p>
        </w:tc>
        <w:tc>
          <w:tcPr>
            <w:tcW w:type="dxa" w:w="1037"/>
          </w:tcPr>
          <w:p>
            <w:pPr>
              <w:spacing w:after="20"/>
              <w:jc w:val="right"/>
            </w:pPr>
            <w:r>
              <w:rPr>
                <w:color w:val="1C3A36"/>
                <w:sz w:val="18"/>
              </w:rPr>
              <w:t>76.40</w:t>
            </w:r>
          </w:p>
        </w:tc>
        <w:tc>
          <w:tcPr>
            <w:tcW w:type="dxa" w:w="1123"/>
          </w:tcPr>
          <w:p>
            <w:pPr>
              <w:spacing w:after="20"/>
              <w:jc w:val="right"/>
            </w:pPr>
            <w:r>
              <w:rPr>
                <w:color w:val="1C3A36"/>
                <w:sz w:val="18"/>
              </w:rPr>
              <w:t>23%</w:t>
            </w:r>
          </w:p>
        </w:tc>
        <w:tc>
          <w:tcPr>
            <w:tcW w:type="dxa" w:w="3442"/>
          </w:tcPr>
          <w:p>
            <w:pPr>
              <w:spacing w:after="20"/>
              <w:jc w:val="right"/>
            </w:pPr>
            <w:r>
              <w:rPr>
                <w:color w:val="1C3A36"/>
                <w:sz w:val="18"/>
              </w:rPr>
              <w:t>What the business earns through the cycle</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82.10</w:t>
            </w:r>
          </w:p>
        </w:tc>
        <w:tc>
          <w:tcPr>
            <w:tcW w:type="dxa" w:w="1037"/>
          </w:tcPr>
          <w:p>
            <w:pPr>
              <w:spacing w:after="20"/>
              <w:jc w:val="right"/>
            </w:pPr>
            <w:r>
              <w:rPr>
                <w:color w:val="1C3A36"/>
                <w:sz w:val="18"/>
              </w:rPr>
              <w:t>92.99</w:t>
            </w:r>
          </w:p>
        </w:tc>
        <w:tc>
          <w:tcPr>
            <w:tcW w:type="dxa" w:w="1037"/>
          </w:tcPr>
          <w:p>
            <w:pPr>
              <w:spacing w:after="20"/>
              <w:jc w:val="right"/>
            </w:pPr>
            <w:r>
              <w:rPr>
                <w:color w:val="1C3A36"/>
                <w:sz w:val="18"/>
              </w:rPr>
              <w:t>103.87</w:t>
            </w:r>
          </w:p>
        </w:tc>
        <w:tc>
          <w:tcPr>
            <w:tcW w:type="dxa" w:w="1123"/>
          </w:tcPr>
          <w:p>
            <w:pPr>
              <w:spacing w:after="20"/>
              <w:jc w:val="right"/>
            </w:pPr>
            <w:r>
              <w:rPr>
                <w:color w:val="1C3A36"/>
                <w:sz w:val="18"/>
              </w:rPr>
              <w:t>8%</w:t>
            </w:r>
          </w:p>
        </w:tc>
        <w:tc>
          <w:tcPr>
            <w:tcW w:type="dxa" w:w="3442"/>
          </w:tcPr>
          <w:p>
            <w:pPr>
              <w:spacing w:after="20"/>
              <w:jc w:val="right"/>
            </w:pPr>
            <w:r>
              <w:rPr>
                <w:color w:val="1C3A36"/>
                <w:sz w:val="18"/>
              </w:rPr>
              <w:t>What the plant itself is worth</w:t>
            </w:r>
          </w:p>
        </w:tc>
      </w:tr>
      <w:tr>
        <w:tc>
          <w:tcPr>
            <w:tcW w:type="dxa" w:w="2333"/>
            <w:shd w:val="clear" w:color="auto" w:fill="F6F1E6"/>
          </w:tcPr>
          <w:p>
            <w:pPr>
              <w:spacing w:after="20"/>
            </w:pPr>
            <w:r>
              <w:rPr>
                <w:b/>
                <w:color w:val="1C3A36"/>
                <w:sz w:val="18"/>
              </w:rPr>
              <w:t>Weighted central</w:t>
            </w:r>
          </w:p>
        </w:tc>
        <w:tc>
          <w:tcPr>
            <w:tcW w:type="dxa" w:w="1037"/>
            <w:shd w:val="clear" w:color="auto" w:fill="F6F1E6"/>
          </w:tcPr>
          <w:p>
            <w:pPr>
              <w:spacing w:after="20"/>
              <w:jc w:val="right"/>
            </w:pPr>
            <w:r>
              <w:rPr>
                <w:b/>
                <w:color w:val="1C3A36"/>
                <w:sz w:val="18"/>
              </w:rPr>
              <w:t>63.78</w:t>
            </w:r>
          </w:p>
        </w:tc>
        <w:tc>
          <w:tcPr>
            <w:tcW w:type="dxa" w:w="1037"/>
            <w:shd w:val="clear" w:color="auto" w:fill="F6F1E6"/>
          </w:tcPr>
          <w:p>
            <w:pPr>
              <w:spacing w:after="20"/>
              <w:jc w:val="right"/>
            </w:pPr>
            <w:r>
              <w:rPr>
                <w:b/>
                <w:color w:val="1C3A36"/>
                <w:sz w:val="18"/>
              </w:rPr>
              <w:t>72.59</w:t>
            </w:r>
          </w:p>
        </w:tc>
        <w:tc>
          <w:tcPr>
            <w:tcW w:type="dxa" w:w="1037"/>
            <w:shd w:val="clear" w:color="auto" w:fill="F6F1E6"/>
          </w:tcPr>
          <w:p>
            <w:pPr>
              <w:spacing w:after="20"/>
              <w:jc w:val="right"/>
            </w:pPr>
            <w:r>
              <w:rPr>
                <w:b/>
                <w:color w:val="1C3A36"/>
                <w:sz w:val="18"/>
              </w:rPr>
              <w:t>79.22</w:t>
            </w:r>
          </w:p>
        </w:tc>
        <w:tc>
          <w:tcPr>
            <w:tcW w:type="dxa" w:w="1123"/>
            <w:shd w:val="clear" w:color="auto" w:fill="F6F1E6"/>
          </w:tcPr>
          <w:p>
            <w:pPr>
              <w:spacing w:after="20"/>
              <w:jc w:val="right"/>
            </w:pPr>
            <w:r>
              <w:rPr>
                <w:b/>
                <w:color w:val="1C3A36"/>
                <w:sz w:val="18"/>
              </w:rPr>
              <w:t>100%</w:t>
            </w:r>
          </w:p>
        </w:tc>
        <w:tc>
          <w:tcPr>
            <w:tcW w:type="dxa" w:w="3442"/>
            <w:shd w:val="clear" w:color="auto" w:fill="F6F1E6"/>
          </w:tcPr>
          <w:p>
            <w:pPr>
              <w:spacing w:after="20"/>
              <w:jc w:val="right"/>
            </w:pPr>
            <w:r>
              <w:rPr>
                <w:b/>
                <w:color w:val="1C3A36"/>
                <w:sz w:val="18"/>
              </w:rPr>
              <w:t>The blend</w:t>
            </w:r>
          </w:p>
        </w:tc>
      </w:tr>
    </w:tbl>
    <w:p>
      <w:pPr>
        <w:spacing w:after="40"/>
      </w:pPr>
    </w:p>
    <w:p>
      <w:pPr>
        <w:spacing w:after="200" w:before="0"/>
      </w:pPr>
      <w:r>
        <w:rPr>
          <w:b w:val="0"/>
          <w:i/>
          <w:color w:val="6E7B77"/>
          <w:sz w:val="17"/>
        </w:rPr>
        <w:t>Table 8 — The four lenses side by side. Weighting is applied to the base cases; the ranges are shown so the reader can weight them differently.</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3,369</w:t>
            </w:r>
          </w:p>
        </w:tc>
        <w:tc>
          <w:tcPr>
            <w:tcW w:type="dxa" w:w="1210"/>
          </w:tcPr>
          <w:p>
            <w:pPr>
              <w:spacing w:after="20"/>
              <w:jc w:val="right"/>
            </w:pPr>
            <w:r>
              <w:rPr>
                <w:color w:val="1C3A36"/>
                <w:sz w:val="17"/>
              </w:rPr>
              <w:t>3,551</w:t>
            </w:r>
          </w:p>
        </w:tc>
        <w:tc>
          <w:tcPr>
            <w:tcW w:type="dxa" w:w="1210"/>
          </w:tcPr>
          <w:p>
            <w:pPr>
              <w:spacing w:after="20"/>
              <w:jc w:val="right"/>
            </w:pPr>
            <w:r>
              <w:rPr>
                <w:color w:val="1C3A36"/>
                <w:sz w:val="17"/>
              </w:rPr>
              <w:t>3,691</w:t>
            </w:r>
          </w:p>
        </w:tc>
        <w:tc>
          <w:tcPr>
            <w:tcW w:type="dxa" w:w="1210"/>
          </w:tcPr>
          <w:p>
            <w:pPr>
              <w:spacing w:after="20"/>
              <w:jc w:val="right"/>
            </w:pPr>
            <w:r>
              <w:rPr>
                <w:color w:val="1C3A36"/>
                <w:sz w:val="17"/>
              </w:rPr>
              <w:t>3,853</w:t>
            </w:r>
          </w:p>
        </w:tc>
        <w:tc>
          <w:tcPr>
            <w:tcW w:type="dxa" w:w="1210"/>
          </w:tcPr>
          <w:p>
            <w:pPr>
              <w:spacing w:after="20"/>
              <w:jc w:val="right"/>
            </w:pPr>
            <w:r>
              <w:rPr>
                <w:color w:val="1C3A36"/>
                <w:sz w:val="17"/>
              </w:rPr>
              <w:t>4,036</w:t>
            </w:r>
          </w:p>
        </w:tc>
        <w:tc>
          <w:tcPr>
            <w:tcW w:type="dxa" w:w="1210"/>
          </w:tcPr>
          <w:p>
            <w:pPr>
              <w:spacing w:after="20"/>
              <w:jc w:val="right"/>
            </w:pPr>
            <w:r>
              <w:rPr>
                <w:color w:val="1C3A36"/>
                <w:sz w:val="17"/>
              </w:rPr>
              <w:t>4,215</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9,676</w:t>
            </w:r>
          </w:p>
        </w:tc>
        <w:tc>
          <w:tcPr>
            <w:tcW w:type="dxa" w:w="1210"/>
          </w:tcPr>
          <w:p>
            <w:pPr>
              <w:spacing w:after="20"/>
              <w:jc w:val="right"/>
            </w:pPr>
            <w:r>
              <w:rPr>
                <w:color w:val="1C3A36"/>
                <w:sz w:val="17"/>
              </w:rPr>
              <w:t>10,309</w:t>
            </w:r>
          </w:p>
        </w:tc>
        <w:tc>
          <w:tcPr>
            <w:tcW w:type="dxa" w:w="1210"/>
          </w:tcPr>
          <w:p>
            <w:pPr>
              <w:spacing w:after="20"/>
              <w:jc w:val="right"/>
            </w:pPr>
            <w:r>
              <w:rPr>
                <w:color w:val="1C3A36"/>
                <w:sz w:val="17"/>
              </w:rPr>
              <w:t>11,026</w:t>
            </w:r>
          </w:p>
        </w:tc>
        <w:tc>
          <w:tcPr>
            <w:tcW w:type="dxa" w:w="1210"/>
          </w:tcPr>
          <w:p>
            <w:pPr>
              <w:spacing w:after="20"/>
              <w:jc w:val="right"/>
            </w:pPr>
            <w:r>
              <w:rPr>
                <w:color w:val="1C3A36"/>
                <w:sz w:val="17"/>
              </w:rPr>
              <w:t>11,842</w:t>
            </w:r>
          </w:p>
        </w:tc>
        <w:tc>
          <w:tcPr>
            <w:tcW w:type="dxa" w:w="1210"/>
          </w:tcPr>
          <w:p>
            <w:pPr>
              <w:spacing w:after="20"/>
              <w:jc w:val="right"/>
            </w:pPr>
            <w:r>
              <w:rPr>
                <w:color w:val="1C3A36"/>
                <w:sz w:val="17"/>
              </w:rPr>
              <w:t>12,669</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1,463</w:t>
            </w:r>
          </w:p>
        </w:tc>
        <w:tc>
          <w:tcPr>
            <w:tcW w:type="dxa" w:w="1210"/>
          </w:tcPr>
          <w:p>
            <w:pPr>
              <w:spacing w:after="20"/>
              <w:jc w:val="right"/>
            </w:pPr>
            <w:r>
              <w:rPr>
                <w:color w:val="1C3A36"/>
                <w:sz w:val="17"/>
              </w:rPr>
              <w:t>1,581</w:t>
            </w:r>
          </w:p>
        </w:tc>
        <w:tc>
          <w:tcPr>
            <w:tcW w:type="dxa" w:w="1210"/>
          </w:tcPr>
          <w:p>
            <w:pPr>
              <w:spacing w:after="20"/>
              <w:jc w:val="right"/>
            </w:pPr>
            <w:r>
              <w:rPr>
                <w:color w:val="1C3A36"/>
                <w:sz w:val="17"/>
              </w:rPr>
              <w:t>1,678</w:t>
            </w:r>
          </w:p>
        </w:tc>
        <w:tc>
          <w:tcPr>
            <w:tcW w:type="dxa" w:w="1210"/>
          </w:tcPr>
          <w:p>
            <w:pPr>
              <w:spacing w:after="20"/>
              <w:jc w:val="right"/>
            </w:pPr>
            <w:r>
              <w:rPr>
                <w:color w:val="1C3A36"/>
                <w:sz w:val="17"/>
              </w:rPr>
              <w:t>1,764</w:t>
            </w:r>
          </w:p>
        </w:tc>
        <w:tc>
          <w:tcPr>
            <w:tcW w:type="dxa" w:w="1210"/>
          </w:tcPr>
          <w:p>
            <w:pPr>
              <w:spacing w:after="20"/>
              <w:jc w:val="right"/>
            </w:pPr>
            <w:r>
              <w:rPr>
                <w:color w:val="1C3A36"/>
                <w:sz w:val="17"/>
              </w:rPr>
              <w:t>1,846</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326</w:t>
            </w:r>
          </w:p>
        </w:tc>
        <w:tc>
          <w:tcPr>
            <w:tcW w:type="dxa" w:w="1210"/>
          </w:tcPr>
          <w:p>
            <w:pPr>
              <w:spacing w:after="20"/>
              <w:jc w:val="right"/>
            </w:pPr>
            <w:r>
              <w:rPr>
                <w:color w:val="1C3A36"/>
                <w:sz w:val="17"/>
              </w:rPr>
              <w:t>361</w:t>
            </w:r>
          </w:p>
        </w:tc>
        <w:tc>
          <w:tcPr>
            <w:tcW w:type="dxa" w:w="1210"/>
          </w:tcPr>
          <w:p>
            <w:pPr>
              <w:spacing w:after="20"/>
              <w:jc w:val="right"/>
            </w:pPr>
            <w:r>
              <w:rPr>
                <w:color w:val="1C3A36"/>
                <w:sz w:val="17"/>
              </w:rPr>
              <w:t>390</w:t>
            </w:r>
          </w:p>
        </w:tc>
        <w:tc>
          <w:tcPr>
            <w:tcW w:type="dxa" w:w="1210"/>
          </w:tcPr>
          <w:p>
            <w:pPr>
              <w:spacing w:after="20"/>
              <w:jc w:val="right"/>
            </w:pPr>
            <w:r>
              <w:rPr>
                <w:color w:val="1C3A36"/>
                <w:sz w:val="17"/>
              </w:rPr>
              <w:t>414</w:t>
            </w:r>
          </w:p>
        </w:tc>
        <w:tc>
          <w:tcPr>
            <w:tcW w:type="dxa" w:w="1210"/>
          </w:tcPr>
          <w:p>
            <w:pPr>
              <w:spacing w:after="20"/>
              <w:jc w:val="right"/>
            </w:pPr>
            <w:r>
              <w:rPr>
                <w:color w:val="1C3A36"/>
                <w:sz w:val="17"/>
              </w:rPr>
              <w:t>437</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1,788</w:t>
            </w:r>
          </w:p>
        </w:tc>
        <w:tc>
          <w:tcPr>
            <w:tcW w:type="dxa" w:w="1210"/>
            <w:shd w:val="clear" w:color="auto" w:fill="F6F1E6"/>
          </w:tcPr>
          <w:p>
            <w:pPr>
              <w:spacing w:after="20"/>
              <w:jc w:val="right"/>
            </w:pPr>
            <w:r>
              <w:rPr>
                <w:b/>
                <w:color w:val="1C3A36"/>
                <w:sz w:val="17"/>
              </w:rPr>
              <w:t>1,942</w:t>
            </w:r>
          </w:p>
        </w:tc>
        <w:tc>
          <w:tcPr>
            <w:tcW w:type="dxa" w:w="1210"/>
            <w:shd w:val="clear" w:color="auto" w:fill="F6F1E6"/>
          </w:tcPr>
          <w:p>
            <w:pPr>
              <w:spacing w:after="20"/>
              <w:jc w:val="right"/>
            </w:pPr>
            <w:r>
              <w:rPr>
                <w:b/>
                <w:color w:val="1C3A36"/>
                <w:sz w:val="17"/>
              </w:rPr>
              <w:t>2,068</w:t>
            </w:r>
          </w:p>
        </w:tc>
        <w:tc>
          <w:tcPr>
            <w:tcW w:type="dxa" w:w="1210"/>
            <w:shd w:val="clear" w:color="auto" w:fill="F6F1E6"/>
          </w:tcPr>
          <w:p>
            <w:pPr>
              <w:spacing w:after="20"/>
              <w:jc w:val="right"/>
            </w:pPr>
            <w:r>
              <w:rPr>
                <w:b/>
                <w:color w:val="1C3A36"/>
                <w:sz w:val="17"/>
              </w:rPr>
              <w:t>2,178</w:t>
            </w:r>
          </w:p>
        </w:tc>
        <w:tc>
          <w:tcPr>
            <w:tcW w:type="dxa" w:w="1210"/>
            <w:shd w:val="clear" w:color="auto" w:fill="F6F1E6"/>
          </w:tcPr>
          <w:p>
            <w:pPr>
              <w:spacing w:after="20"/>
              <w:jc w:val="right"/>
            </w:pPr>
            <w:r>
              <w:rPr>
                <w:b/>
                <w:color w:val="1C3A36"/>
                <w:sz w:val="17"/>
              </w:rPr>
              <w:t>2,283</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9,676</w:t>
            </w:r>
          </w:p>
        </w:tc>
        <w:tc>
          <w:tcPr>
            <w:tcW w:type="dxa" w:w="1210"/>
          </w:tcPr>
          <w:p>
            <w:pPr>
              <w:spacing w:after="20"/>
              <w:jc w:val="right"/>
            </w:pPr>
            <w:r>
              <w:rPr>
                <w:color w:val="1C3A36"/>
                <w:sz w:val="17"/>
              </w:rPr>
              <w:t>10,309</w:t>
            </w:r>
          </w:p>
        </w:tc>
        <w:tc>
          <w:tcPr>
            <w:tcW w:type="dxa" w:w="1210"/>
          </w:tcPr>
          <w:p>
            <w:pPr>
              <w:spacing w:after="20"/>
              <w:jc w:val="right"/>
            </w:pPr>
            <w:r>
              <w:rPr>
                <w:color w:val="1C3A36"/>
                <w:sz w:val="17"/>
              </w:rPr>
              <w:t>11,026</w:t>
            </w:r>
          </w:p>
        </w:tc>
        <w:tc>
          <w:tcPr>
            <w:tcW w:type="dxa" w:w="1210"/>
          </w:tcPr>
          <w:p>
            <w:pPr>
              <w:spacing w:after="20"/>
              <w:jc w:val="right"/>
            </w:pPr>
            <w:r>
              <w:rPr>
                <w:color w:val="1C3A36"/>
                <w:sz w:val="17"/>
              </w:rPr>
              <w:t>11,842</w:t>
            </w:r>
          </w:p>
        </w:tc>
        <w:tc>
          <w:tcPr>
            <w:tcW w:type="dxa" w:w="1210"/>
          </w:tcPr>
          <w:p>
            <w:pPr>
              <w:spacing w:after="20"/>
              <w:jc w:val="right"/>
            </w:pPr>
            <w:r>
              <w:rPr>
                <w:color w:val="1C3A36"/>
                <w:sz w:val="17"/>
              </w:rPr>
              <w:t>12,669</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4,872</w:t>
            </w:r>
          </w:p>
        </w:tc>
        <w:tc>
          <w:tcPr>
            <w:tcW w:type="dxa" w:w="1210"/>
          </w:tcPr>
          <w:p>
            <w:pPr>
              <w:spacing w:after="20"/>
              <w:jc w:val="right"/>
            </w:pPr>
            <w:r>
              <w:rPr>
                <w:color w:val="1C3A36"/>
                <w:sz w:val="17"/>
              </w:rPr>
              <w:t>5,424</w:t>
            </w:r>
          </w:p>
        </w:tc>
        <w:tc>
          <w:tcPr>
            <w:tcW w:type="dxa" w:w="1210"/>
          </w:tcPr>
          <w:p>
            <w:pPr>
              <w:spacing w:after="20"/>
              <w:jc w:val="right"/>
            </w:pPr>
            <w:r>
              <w:rPr>
                <w:color w:val="1C3A36"/>
                <w:sz w:val="17"/>
              </w:rPr>
              <w:t>5,917</w:t>
            </w:r>
          </w:p>
        </w:tc>
        <w:tc>
          <w:tcPr>
            <w:tcW w:type="dxa" w:w="1210"/>
          </w:tcPr>
          <w:p>
            <w:pPr>
              <w:spacing w:after="20"/>
              <w:jc w:val="right"/>
            </w:pPr>
            <w:r>
              <w:rPr>
                <w:color w:val="1C3A36"/>
                <w:sz w:val="17"/>
              </w:rPr>
              <w:t>6,389</w:t>
            </w:r>
          </w:p>
        </w:tc>
        <w:tc>
          <w:tcPr>
            <w:tcW w:type="dxa" w:w="1210"/>
          </w:tcPr>
          <w:p>
            <w:pPr>
              <w:spacing w:after="20"/>
              <w:jc w:val="right"/>
            </w:pPr>
            <w:r>
              <w:rPr>
                <w:color w:val="1C3A36"/>
                <w:sz w:val="17"/>
              </w:rPr>
              <w:t>6,861</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1,449</w:t>
            </w:r>
          </w:p>
        </w:tc>
        <w:tc>
          <w:tcPr>
            <w:tcW w:type="dxa" w:w="1210"/>
          </w:tcPr>
          <w:p>
            <w:pPr>
              <w:spacing w:after="20"/>
              <w:jc w:val="right"/>
            </w:pPr>
            <w:r>
              <w:rPr>
                <w:color w:val="1C3A36"/>
                <w:sz w:val="17"/>
              </w:rPr>
              <w:t>1,608</w:t>
            </w:r>
          </w:p>
        </w:tc>
        <w:tc>
          <w:tcPr>
            <w:tcW w:type="dxa" w:w="1210"/>
          </w:tcPr>
          <w:p>
            <w:pPr>
              <w:spacing w:after="20"/>
              <w:jc w:val="right"/>
            </w:pPr>
            <w:r>
              <w:rPr>
                <w:color w:val="1C3A36"/>
                <w:sz w:val="17"/>
              </w:rPr>
              <w:t>1,735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1,945</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3,457</w:t>
            </w:r>
          </w:p>
        </w:tc>
        <w:tc>
          <w:tcPr>
            <w:tcW w:type="dxa" w:w="1210"/>
            <w:shd w:val="clear" w:color="auto" w:fill="F6F1E6"/>
          </w:tcPr>
          <w:p>
            <w:pPr>
              <w:spacing w:after="20"/>
              <w:jc w:val="right"/>
            </w:pPr>
            <w:r>
              <w:rPr>
                <w:b/>
                <w:color w:val="1C3A36"/>
                <w:sz w:val="17"/>
              </w:rPr>
              <w:t>3,354</w:t>
            </w:r>
          </w:p>
        </w:tc>
        <w:tc>
          <w:tcPr>
            <w:tcW w:type="dxa" w:w="1210"/>
            <w:shd w:val="clear" w:color="auto" w:fill="F6F1E6"/>
          </w:tcPr>
          <w:p>
            <w:pPr>
              <w:spacing w:after="20"/>
              <w:jc w:val="right"/>
            </w:pPr>
            <w:r>
              <w:rPr>
                <w:b/>
                <w:color w:val="1C3A36"/>
                <w:sz w:val="17"/>
              </w:rPr>
              <w:t>3,277</w:t>
            </w:r>
          </w:p>
        </w:tc>
        <w:tc>
          <w:tcPr>
            <w:tcW w:type="dxa" w:w="1210"/>
            <w:shd w:val="clear" w:color="auto" w:fill="F6F1E6"/>
          </w:tcPr>
          <w:p>
            <w:pPr>
              <w:spacing w:after="20"/>
              <w:jc w:val="right"/>
            </w:pPr>
            <w:r>
              <w:rPr>
                <w:b/>
                <w:color w:val="1C3A36"/>
                <w:sz w:val="17"/>
              </w:rPr>
              <w:t>3,374</w:t>
            </w:r>
          </w:p>
        </w:tc>
        <w:tc>
          <w:tcPr>
            <w:tcW w:type="dxa" w:w="1210"/>
            <w:shd w:val="clear" w:color="auto" w:fill="F6F1E6"/>
          </w:tcPr>
          <w:p>
            <w:pPr>
              <w:spacing w:after="20"/>
              <w:jc w:val="right"/>
            </w:pPr>
            <w:r>
              <w:rPr>
                <w:b/>
                <w:color w:val="1C3A36"/>
                <w:sz w:val="17"/>
              </w:rPr>
              <w:t>3,610</w:t>
            </w:r>
          </w:p>
        </w:tc>
        <w:tc>
          <w:tcPr>
            <w:tcW w:type="dxa" w:w="1210"/>
            <w:shd w:val="clear" w:color="auto" w:fill="F6F1E6"/>
          </w:tcPr>
          <w:p>
            <w:pPr>
              <w:spacing w:after="20"/>
              <w:jc w:val="right"/>
            </w:pPr>
            <w:r>
              <w:rPr>
                <w:b/>
                <w:color w:val="1C3A36"/>
                <w:sz w:val="17"/>
              </w:rPr>
              <w:t>3,863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38.0%</w:t>
            </w:r>
          </w:p>
        </w:tc>
        <w:tc>
          <w:tcPr>
            <w:tcW w:type="dxa" w:w="1210"/>
          </w:tcPr>
          <w:p>
            <w:pPr>
              <w:spacing w:after="20"/>
              <w:jc w:val="right"/>
            </w:pPr>
            <w:r>
              <w:rPr>
                <w:color w:val="1C3A36"/>
                <w:sz w:val="17"/>
              </w:rPr>
              <w:t>34.7%</w:t>
            </w:r>
          </w:p>
        </w:tc>
        <w:tc>
          <w:tcPr>
            <w:tcW w:type="dxa" w:w="1210"/>
          </w:tcPr>
          <w:p>
            <w:pPr>
              <w:spacing w:after="20"/>
              <w:jc w:val="right"/>
            </w:pPr>
            <w:r>
              <w:rPr>
                <w:color w:val="1C3A36"/>
                <w:sz w:val="17"/>
              </w:rPr>
              <w:t>31.8%</w:t>
            </w:r>
          </w:p>
        </w:tc>
        <w:tc>
          <w:tcPr>
            <w:tcW w:type="dxa" w:w="1210"/>
          </w:tcPr>
          <w:p>
            <w:pPr>
              <w:spacing w:after="20"/>
              <w:jc w:val="right"/>
            </w:pPr>
            <w:r>
              <w:rPr>
                <w:color w:val="1C3A36"/>
                <w:sz w:val="17"/>
              </w:rPr>
              <w:t>30.6%</w:t>
            </w:r>
          </w:p>
        </w:tc>
        <w:tc>
          <w:tcPr>
            <w:tcW w:type="dxa" w:w="1210"/>
          </w:tcPr>
          <w:p>
            <w:pPr>
              <w:spacing w:after="20"/>
              <w:jc w:val="right"/>
            </w:pPr>
            <w:r>
              <w:rPr>
                <w:color w:val="1C3A36"/>
                <w:sz w:val="17"/>
              </w:rPr>
              <w:t>30.5%</w:t>
            </w:r>
          </w:p>
        </w:tc>
        <w:tc>
          <w:tcPr>
            <w:tcW w:type="dxa" w:w="1210"/>
          </w:tcPr>
          <w:p>
            <w:pPr>
              <w:spacing w:after="20"/>
              <w:jc w:val="right"/>
            </w:pPr>
            <w:r>
              <w:rPr>
                <w:color w:val="1C3A36"/>
                <w:sz w:val="17"/>
              </w:rPr>
              <w:t>30.5%</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9,091</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+0.02%</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3,457</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+0.06%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6,394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22.31%.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22.31%</w:t>
            </w:r>
          </w:p>
        </w:tc>
        <w:tc>
          <w:tcPr>
            <w:tcW w:type="dxa" w:w="2808"/>
          </w:tcPr>
          <w:p>
            <w:pPr>
              <w:spacing w:after="20"/>
              <w:jc w:val="right"/>
            </w:pPr>
            <w:r>
              <w:rPr>
                <w:color w:val="1C3A36"/>
                <w:sz w:val="18"/>
              </w:rPr>
              <w:t>12.50%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18.91%</w:t>
            </w:r>
          </w:p>
        </w:tc>
        <w:tc>
          <w:tcPr>
            <w:tcW w:type="dxa" w:w="2808"/>
          </w:tcPr>
          <w:p>
            <w:pPr>
              <w:spacing w:after="20"/>
              <w:jc w:val="right"/>
            </w:pPr>
            <w:r>
              <w:rPr>
                <w:color w:val="1C3A36"/>
                <w:sz w:val="18"/>
              </w:rPr>
              <w:t>12.50%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28.32%</w:t>
            </w:r>
          </w:p>
        </w:tc>
        <w:tc>
          <w:tcPr>
            <w:tcW w:type="dxa" w:w="2808"/>
          </w:tcPr>
          <w:p>
            <w:pPr>
              <w:spacing w:after="20"/>
              <w:jc w:val="right"/>
            </w:pPr>
            <w:r>
              <w:rPr>
                <w:color w:val="1C3A36"/>
                <w:sz w:val="18"/>
              </w:rPr>
              <w:t>20.86%</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16.66%</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0.66%</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28.24%</w:t>
            </w:r>
          </w:p>
        </w:tc>
        <w:tc>
          <w:tcPr>
            <w:tcW w:type="dxa" w:w="2808"/>
          </w:tcPr>
          <w:p>
            <w:pPr>
              <w:spacing w:after="20"/>
              <w:jc w:val="right"/>
            </w:pPr>
            <w:r>
              <w:rPr>
                <w:color w:val="1C3A36"/>
                <w:sz w:val="18"/>
              </w:rPr>
              <w:t>19.01%</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31.72%,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83.08</w:t>
            </w:r>
          </w:p>
        </w:tc>
        <w:tc>
          <w:tcPr>
            <w:tcW w:type="dxa" w:w="1267"/>
          </w:tcPr>
          <w:p>
            <w:pPr>
              <w:spacing w:after="20"/>
              <w:jc w:val="right"/>
            </w:pPr>
            <w:r>
              <w:rPr>
                <w:color w:val="1C3A36"/>
                <w:sz w:val="18"/>
              </w:rPr>
              <w:t>76.95</w:t>
            </w:r>
          </w:p>
        </w:tc>
        <w:tc>
          <w:tcPr>
            <w:tcW w:type="dxa" w:w="1656"/>
          </w:tcPr>
          <w:p>
            <w:pPr>
              <w:spacing w:after="20"/>
              <w:jc w:val="right"/>
            </w:pPr>
            <w:r>
              <w:rPr>
                <w:color w:val="1C3A36"/>
                <w:sz w:val="18"/>
              </w:rPr>
              <w:t>75.96</w:t>
            </w:r>
          </w:p>
        </w:tc>
        <w:tc>
          <w:tcPr>
            <w:tcW w:type="dxa" w:w="1267"/>
          </w:tcPr>
          <w:p>
            <w:pPr>
              <w:spacing w:after="20"/>
              <w:jc w:val="right"/>
            </w:pPr>
            <w:r>
              <w:rPr>
                <w:color w:val="1C3A36"/>
                <w:sz w:val="18"/>
              </w:rPr>
              <w:t>72.01</w:t>
            </w:r>
          </w:p>
        </w:tc>
        <w:tc>
          <w:tcPr>
            <w:tcW w:type="dxa" w:w="1267"/>
          </w:tcPr>
          <w:p>
            <w:pPr>
              <w:spacing w:after="20"/>
              <w:jc w:val="right"/>
            </w:pPr>
            <w:r>
              <w:rPr>
                <w:color w:val="1C3A36"/>
                <w:sz w:val="18"/>
              </w:rPr>
              <w:t>66.19</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25.24%</w:t>
            </w:r>
          </w:p>
        </w:tc>
        <w:tc>
          <w:tcPr>
            <w:tcW w:type="dxa" w:w="1411"/>
          </w:tcPr>
          <w:p>
            <w:pPr>
              <w:spacing w:after="20"/>
              <w:jc w:val="right"/>
            </w:pPr>
            <w:r>
              <w:rPr>
                <w:color w:val="1C3A36"/>
                <w:sz w:val="18"/>
              </w:rPr>
              <w:t>69.34</w:t>
            </w:r>
          </w:p>
        </w:tc>
        <w:tc>
          <w:tcPr>
            <w:tcW w:type="dxa" w:w="1411"/>
          </w:tcPr>
          <w:p>
            <w:pPr>
              <w:spacing w:after="20"/>
              <w:jc w:val="right"/>
            </w:pPr>
            <w:r>
              <w:rPr>
                <w:color w:val="1C3A36"/>
                <w:sz w:val="18"/>
              </w:rPr>
              <w:t>71.54</w:t>
            </w:r>
          </w:p>
        </w:tc>
        <w:tc>
          <w:tcPr>
            <w:tcW w:type="dxa" w:w="1411"/>
          </w:tcPr>
          <w:p>
            <w:pPr>
              <w:spacing w:after="20"/>
              <w:jc w:val="right"/>
            </w:pPr>
            <w:r>
              <w:rPr>
                <w:color w:val="1C3A36"/>
                <w:sz w:val="18"/>
              </w:rPr>
              <w:t>74.05</w:t>
            </w:r>
          </w:p>
        </w:tc>
        <w:tc>
          <w:tcPr>
            <w:tcW w:type="dxa" w:w="1411"/>
          </w:tcPr>
          <w:p>
            <w:pPr>
              <w:spacing w:after="20"/>
              <w:jc w:val="right"/>
            </w:pPr>
            <w:r>
              <w:rPr>
                <w:color w:val="1C3A36"/>
                <w:sz w:val="18"/>
              </w:rPr>
              <w:t>76.95</w:t>
            </w:r>
          </w:p>
        </w:tc>
        <w:tc>
          <w:tcPr>
            <w:tcW w:type="dxa" w:w="1411"/>
          </w:tcPr>
          <w:p>
            <w:pPr>
              <w:spacing w:after="20"/>
              <w:jc w:val="right"/>
            </w:pPr>
            <w:r>
              <w:rPr>
                <w:color w:val="1C3A36"/>
                <w:sz w:val="18"/>
              </w:rPr>
              <w:t>80.31</w:t>
            </w:r>
          </w:p>
        </w:tc>
      </w:tr>
      <w:tr>
        <w:tc>
          <w:tcPr>
            <w:tcW w:type="dxa" w:w="2736"/>
          </w:tcPr>
          <w:p>
            <w:pPr>
              <w:spacing w:after="20"/>
            </w:pPr>
            <w:r>
              <w:rPr>
                <w:color w:val="1C3A36"/>
                <w:sz w:val="18"/>
              </w:rPr>
              <w:t>26.74%</w:t>
            </w:r>
          </w:p>
        </w:tc>
        <w:tc>
          <w:tcPr>
            <w:tcW w:type="dxa" w:w="1411"/>
          </w:tcPr>
          <w:p>
            <w:pPr>
              <w:spacing w:after="20"/>
              <w:jc w:val="right"/>
            </w:pPr>
            <w:r>
              <w:rPr>
                <w:color w:val="1C3A36"/>
                <w:sz w:val="18"/>
              </w:rPr>
              <w:t>68.42</w:t>
            </w:r>
          </w:p>
        </w:tc>
        <w:tc>
          <w:tcPr>
            <w:tcW w:type="dxa" w:w="1411"/>
          </w:tcPr>
          <w:p>
            <w:pPr>
              <w:spacing w:after="20"/>
              <w:jc w:val="right"/>
            </w:pPr>
            <w:r>
              <w:rPr>
                <w:color w:val="1C3A36"/>
                <w:sz w:val="18"/>
              </w:rPr>
              <w:t>70.57</w:t>
            </w:r>
          </w:p>
        </w:tc>
        <w:tc>
          <w:tcPr>
            <w:tcW w:type="dxa" w:w="1411"/>
          </w:tcPr>
          <w:p>
            <w:pPr>
              <w:spacing w:after="20"/>
              <w:jc w:val="right"/>
            </w:pPr>
            <w:r>
              <w:rPr>
                <w:color w:val="1C3A36"/>
                <w:sz w:val="18"/>
              </w:rPr>
              <w:t>73.02</w:t>
            </w:r>
          </w:p>
        </w:tc>
        <w:tc>
          <w:tcPr>
            <w:tcW w:type="dxa" w:w="1411"/>
          </w:tcPr>
          <w:p>
            <w:pPr>
              <w:spacing w:after="20"/>
              <w:jc w:val="right"/>
            </w:pPr>
            <w:r>
              <w:rPr>
                <w:color w:val="1C3A36"/>
                <w:sz w:val="18"/>
              </w:rPr>
              <w:t>75.84</w:t>
            </w:r>
          </w:p>
        </w:tc>
        <w:tc>
          <w:tcPr>
            <w:tcW w:type="dxa" w:w="1411"/>
          </w:tcPr>
          <w:p>
            <w:pPr>
              <w:spacing w:after="20"/>
              <w:jc w:val="right"/>
            </w:pPr>
            <w:r>
              <w:rPr>
                <w:color w:val="1C3A36"/>
                <w:sz w:val="18"/>
              </w:rPr>
              <w:t>79.12</w:t>
            </w:r>
          </w:p>
        </w:tc>
      </w:tr>
      <w:tr>
        <w:tc>
          <w:tcPr>
            <w:tcW w:type="dxa" w:w="2736"/>
          </w:tcPr>
          <w:p>
            <w:pPr>
              <w:spacing w:after="20"/>
            </w:pPr>
            <w:r>
              <w:rPr>
                <w:color w:val="1C3A36"/>
                <w:sz w:val="18"/>
              </w:rPr>
              <w:t>28.24%</w:t>
            </w:r>
          </w:p>
        </w:tc>
        <w:tc>
          <w:tcPr>
            <w:tcW w:type="dxa" w:w="1411"/>
          </w:tcPr>
          <w:p>
            <w:pPr>
              <w:spacing w:after="20"/>
              <w:jc w:val="right"/>
            </w:pPr>
            <w:r>
              <w:rPr>
                <w:color w:val="1C3A36"/>
                <w:sz w:val="18"/>
              </w:rPr>
              <w:t>67.53</w:t>
            </w:r>
          </w:p>
        </w:tc>
        <w:tc>
          <w:tcPr>
            <w:tcW w:type="dxa" w:w="1411"/>
          </w:tcPr>
          <w:p>
            <w:pPr>
              <w:spacing w:after="20"/>
              <w:jc w:val="right"/>
            </w:pPr>
            <w:r>
              <w:rPr>
                <w:color w:val="1C3A36"/>
                <w:sz w:val="18"/>
              </w:rPr>
              <w:t>69.63</w:t>
            </w:r>
          </w:p>
        </w:tc>
        <w:tc>
          <w:tcPr>
            <w:tcW w:type="dxa" w:w="1411"/>
          </w:tcPr>
          <w:p>
            <w:pPr>
              <w:spacing w:after="20"/>
              <w:jc w:val="right"/>
            </w:pPr>
            <w:r>
              <w:rPr>
                <w:color w:val="1C3A36"/>
                <w:sz w:val="18"/>
              </w:rPr>
              <w:t>72.01</w:t>
            </w:r>
          </w:p>
        </w:tc>
        <w:tc>
          <w:tcPr>
            <w:tcW w:type="dxa" w:w="1411"/>
          </w:tcPr>
          <w:p>
            <w:pPr>
              <w:spacing w:after="20"/>
              <w:jc w:val="right"/>
            </w:pPr>
            <w:r>
              <w:rPr>
                <w:color w:val="1C3A36"/>
                <w:sz w:val="18"/>
              </w:rPr>
              <w:t>74.76</w:t>
            </w:r>
          </w:p>
        </w:tc>
        <w:tc>
          <w:tcPr>
            <w:tcW w:type="dxa" w:w="1411"/>
          </w:tcPr>
          <w:p>
            <w:pPr>
              <w:spacing w:after="20"/>
              <w:jc w:val="right"/>
            </w:pPr>
            <w:r>
              <w:rPr>
                <w:color w:val="1C3A36"/>
                <w:sz w:val="18"/>
              </w:rPr>
              <w:t>77.96</w:t>
            </w:r>
          </w:p>
        </w:tc>
      </w:tr>
      <w:tr>
        <w:tc>
          <w:tcPr>
            <w:tcW w:type="dxa" w:w="2736"/>
          </w:tcPr>
          <w:p>
            <w:pPr>
              <w:spacing w:after="20"/>
            </w:pPr>
            <w:r>
              <w:rPr>
                <w:color w:val="1C3A36"/>
                <w:sz w:val="18"/>
              </w:rPr>
              <w:t>29.74%</w:t>
            </w:r>
          </w:p>
        </w:tc>
        <w:tc>
          <w:tcPr>
            <w:tcW w:type="dxa" w:w="1411"/>
          </w:tcPr>
          <w:p>
            <w:pPr>
              <w:spacing w:after="20"/>
              <w:jc w:val="right"/>
            </w:pPr>
            <w:r>
              <w:rPr>
                <w:color w:val="1C3A36"/>
                <w:sz w:val="18"/>
              </w:rPr>
              <w:t>66.67</w:t>
            </w:r>
          </w:p>
        </w:tc>
        <w:tc>
          <w:tcPr>
            <w:tcW w:type="dxa" w:w="1411"/>
          </w:tcPr>
          <w:p>
            <w:pPr>
              <w:spacing w:after="20"/>
              <w:jc w:val="right"/>
            </w:pPr>
            <w:r>
              <w:rPr>
                <w:color w:val="1C3A36"/>
                <w:sz w:val="18"/>
              </w:rPr>
              <w:t>68.71</w:t>
            </w:r>
          </w:p>
        </w:tc>
        <w:tc>
          <w:tcPr>
            <w:tcW w:type="dxa" w:w="1411"/>
          </w:tcPr>
          <w:p>
            <w:pPr>
              <w:spacing w:after="20"/>
              <w:jc w:val="right"/>
            </w:pPr>
            <w:r>
              <w:rPr>
                <w:color w:val="1C3A36"/>
                <w:sz w:val="18"/>
              </w:rPr>
              <w:t>71.04</w:t>
            </w:r>
          </w:p>
        </w:tc>
        <w:tc>
          <w:tcPr>
            <w:tcW w:type="dxa" w:w="1411"/>
          </w:tcPr>
          <w:p>
            <w:pPr>
              <w:spacing w:after="20"/>
              <w:jc w:val="right"/>
            </w:pPr>
            <w:r>
              <w:rPr>
                <w:color w:val="1C3A36"/>
                <w:sz w:val="18"/>
              </w:rPr>
              <w:t>73.72</w:t>
            </w:r>
          </w:p>
        </w:tc>
        <w:tc>
          <w:tcPr>
            <w:tcW w:type="dxa" w:w="1411"/>
          </w:tcPr>
          <w:p>
            <w:pPr>
              <w:spacing w:after="20"/>
              <w:jc w:val="right"/>
            </w:pPr>
            <w:r>
              <w:rPr>
                <w:color w:val="1C3A36"/>
                <w:sz w:val="18"/>
              </w:rPr>
              <w:t>76.84</w:t>
            </w:r>
          </w:p>
        </w:tc>
      </w:tr>
      <w:tr>
        <w:tc>
          <w:tcPr>
            <w:tcW w:type="dxa" w:w="2736"/>
          </w:tcPr>
          <w:p>
            <w:pPr>
              <w:spacing w:after="20"/>
            </w:pPr>
            <w:r>
              <w:rPr>
                <w:color w:val="1C3A36"/>
                <w:sz w:val="18"/>
              </w:rPr>
              <w:t>31.24%</w:t>
            </w:r>
          </w:p>
        </w:tc>
        <w:tc>
          <w:tcPr>
            <w:tcW w:type="dxa" w:w="1411"/>
          </w:tcPr>
          <w:p>
            <w:pPr>
              <w:spacing w:after="20"/>
              <w:jc w:val="right"/>
            </w:pPr>
            <w:r>
              <w:rPr>
                <w:color w:val="1C3A36"/>
                <w:sz w:val="18"/>
              </w:rPr>
              <w:t>65.84</w:t>
            </w:r>
          </w:p>
        </w:tc>
        <w:tc>
          <w:tcPr>
            <w:tcW w:type="dxa" w:w="1411"/>
          </w:tcPr>
          <w:p>
            <w:pPr>
              <w:spacing w:after="20"/>
              <w:jc w:val="right"/>
            </w:pPr>
            <w:r>
              <w:rPr>
                <w:color w:val="1C3A36"/>
                <w:sz w:val="18"/>
              </w:rPr>
              <w:t>67.83</w:t>
            </w:r>
          </w:p>
        </w:tc>
        <w:tc>
          <w:tcPr>
            <w:tcW w:type="dxa" w:w="1411"/>
          </w:tcPr>
          <w:p>
            <w:pPr>
              <w:spacing w:after="20"/>
              <w:jc w:val="right"/>
            </w:pPr>
            <w:r>
              <w:rPr>
                <w:color w:val="1C3A36"/>
                <w:sz w:val="18"/>
              </w:rPr>
              <w:t>70.10</w:t>
            </w:r>
          </w:p>
        </w:tc>
        <w:tc>
          <w:tcPr>
            <w:tcW w:type="dxa" w:w="1411"/>
          </w:tcPr>
          <w:p>
            <w:pPr>
              <w:spacing w:after="20"/>
              <w:jc w:val="right"/>
            </w:pPr>
            <w:r>
              <w:rPr>
                <w:color w:val="1C3A36"/>
                <w:sz w:val="18"/>
              </w:rPr>
              <w:t>72.71</w:t>
            </w:r>
          </w:p>
        </w:tc>
        <w:tc>
          <w:tcPr>
            <w:tcW w:type="dxa" w:w="1411"/>
          </w:tcPr>
          <w:p>
            <w:pPr>
              <w:spacing w:after="20"/>
              <w:jc w:val="right"/>
            </w:pPr>
            <w:r>
              <w:rPr>
                <w:color w:val="1C3A36"/>
                <w:sz w:val="18"/>
              </w:rPr>
              <w:t>75.76</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4,894</w:t>
            </w:r>
          </w:p>
        </w:tc>
        <w:tc>
          <w:tcPr>
            <w:tcW w:type="dxa" w:w="1411"/>
            <w:shd w:val="clear" w:color="auto" w:fill="EAF0EE"/>
          </w:tcPr>
          <w:p>
            <w:pPr>
              <w:spacing w:after="20"/>
            </w:pPr>
            <w:r>
              <w:rPr>
                <w:b/>
                <w:color w:val="1C3A36"/>
                <w:sz w:val="18"/>
              </w:rPr>
              <w:t>5,644</w:t>
            </w:r>
          </w:p>
        </w:tc>
        <w:tc>
          <w:tcPr>
            <w:tcW w:type="dxa" w:w="1411"/>
            <w:shd w:val="clear" w:color="auto" w:fill="EAF0EE"/>
          </w:tcPr>
          <w:p>
            <w:pPr>
              <w:spacing w:after="20"/>
            </w:pPr>
            <w:r>
              <w:rPr>
                <w:b/>
                <w:color w:val="1C3A36"/>
                <w:sz w:val="18"/>
              </w:rPr>
              <w:t>6,394</w:t>
            </w:r>
          </w:p>
        </w:tc>
        <w:tc>
          <w:tcPr>
            <w:tcW w:type="dxa" w:w="1411"/>
            <w:shd w:val="clear" w:color="auto" w:fill="EAF0EE"/>
          </w:tcPr>
          <w:p>
            <w:pPr>
              <w:spacing w:after="20"/>
            </w:pPr>
            <w:r>
              <w:rPr>
                <w:b/>
                <w:color w:val="1C3A36"/>
                <w:sz w:val="18"/>
              </w:rPr>
              <w:t>7,144</w:t>
            </w:r>
          </w:p>
        </w:tc>
        <w:tc>
          <w:tcPr>
            <w:tcW w:type="dxa" w:w="1411"/>
            <w:shd w:val="clear" w:color="auto" w:fill="EAF0EE"/>
          </w:tcPr>
          <w:p>
            <w:pPr>
              <w:spacing w:after="20"/>
            </w:pPr>
            <w:r>
              <w:rPr>
                <w:b/>
                <w:color w:val="1C3A36"/>
                <w:sz w:val="18"/>
              </w:rPr>
              <w:t>7,894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66.26</w:t>
            </w:r>
          </w:p>
        </w:tc>
        <w:tc>
          <w:tcPr>
            <w:tcW w:type="dxa" w:w="1411"/>
          </w:tcPr>
          <w:p>
            <w:pPr>
              <w:spacing w:after="20"/>
              <w:jc w:val="right"/>
            </w:pPr>
            <w:r>
              <w:rPr>
                <w:color w:val="1C3A36"/>
                <w:sz w:val="18"/>
              </w:rPr>
              <w:t>69.14</w:t>
            </w:r>
          </w:p>
        </w:tc>
        <w:tc>
          <w:tcPr>
            <w:tcW w:type="dxa" w:w="1411"/>
          </w:tcPr>
          <w:p>
            <w:pPr>
              <w:spacing w:after="20"/>
              <w:jc w:val="right"/>
            </w:pPr>
            <w:r>
              <w:rPr>
                <w:color w:val="1C3A36"/>
                <w:sz w:val="18"/>
              </w:rPr>
              <w:t>72.01</w:t>
            </w:r>
          </w:p>
        </w:tc>
        <w:tc>
          <w:tcPr>
            <w:tcW w:type="dxa" w:w="1411"/>
          </w:tcPr>
          <w:p>
            <w:pPr>
              <w:spacing w:after="20"/>
              <w:jc w:val="right"/>
            </w:pPr>
            <w:r>
              <w:rPr>
                <w:color w:val="1C3A36"/>
                <w:sz w:val="18"/>
              </w:rPr>
              <w:t>74.89</w:t>
            </w:r>
          </w:p>
        </w:tc>
        <w:tc>
          <w:tcPr>
            <w:tcW w:type="dxa" w:w="1411"/>
          </w:tcPr>
          <w:p>
            <w:pPr>
              <w:spacing w:after="20"/>
              <w:jc w:val="right"/>
            </w:pPr>
            <w:r>
              <w:rPr>
                <w:color w:val="1C3A36"/>
                <w:sz w:val="18"/>
              </w:rPr>
              <w:t>77.76</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63.63</w:t>
            </w:r>
          </w:p>
        </w:tc>
        <w:tc>
          <w:tcPr>
            <w:tcW w:type="dxa" w:w="1411"/>
          </w:tcPr>
          <w:p>
            <w:pPr>
              <w:spacing w:after="20"/>
              <w:jc w:val="right"/>
            </w:pPr>
            <w:r>
              <w:rPr>
                <w:color w:val="1C3A36"/>
                <w:sz w:val="18"/>
              </w:rPr>
              <w:t>67.81</w:t>
            </w:r>
          </w:p>
        </w:tc>
        <w:tc>
          <w:tcPr>
            <w:tcW w:type="dxa" w:w="1411"/>
          </w:tcPr>
          <w:p>
            <w:pPr>
              <w:spacing w:after="20"/>
              <w:jc w:val="right"/>
            </w:pPr>
            <w:r>
              <w:rPr>
                <w:color w:val="1C3A36"/>
                <w:sz w:val="18"/>
              </w:rPr>
              <w:t>72.01</w:t>
            </w:r>
          </w:p>
        </w:tc>
        <w:tc>
          <w:tcPr>
            <w:tcW w:type="dxa" w:w="1411"/>
          </w:tcPr>
          <w:p>
            <w:pPr>
              <w:spacing w:after="20"/>
              <w:jc w:val="right"/>
            </w:pPr>
            <w:r>
              <w:rPr>
                <w:color w:val="1C3A36"/>
                <w:sz w:val="18"/>
              </w:rPr>
              <w:t>75.51</w:t>
            </w:r>
          </w:p>
        </w:tc>
        <w:tc>
          <w:tcPr>
            <w:tcW w:type="dxa" w:w="1411"/>
          </w:tcPr>
          <w:p>
            <w:pPr>
              <w:spacing w:after="20"/>
              <w:jc w:val="right"/>
            </w:pPr>
            <w:r>
              <w:rPr>
                <w:color w:val="1C3A36"/>
                <w:sz w:val="18"/>
              </w:rPr>
              <w:t>78.15</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79.00 on 6 August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The distribution below is ILLUSTRATIVE ONLY and is materially too wide. Measured against a random-walk benchmark over the last five years, this security's distribution scores -12.8% — worse than the benchmark, not better — and covers 76% of outcomes inside a band meant to hold 50%. The cause is diagnosed and specific: on a security that does not trade every session, the benchmark's own volatility estimate collapses during quiet stretches, and the band drawn here stays wide enough for the jumps that follow. It should not be read with the confidence attached to a liquid name.</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four lenses describe a company whose plant is worth more than its cash flows justify. That is the ordinary condition of a good asset in a bad market, and it is worth saying plainly rather than resolving by arithmetic.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411"/>
        <w:gridCol w:w="1224"/>
        <w:gridCol w:w="4752"/>
      </w:tblGrid>
      <w:tr>
        <w:tc>
          <w:tcPr>
            <w:tcW w:type="dxa" w:w="2333"/>
            <w:shd w:val="clear" w:color="auto" w:fill="EAF0EE"/>
          </w:tcPr>
          <w:p>
            <w:pPr>
              <w:spacing w:after="20"/>
            </w:pPr>
            <w:r>
              <w:rPr>
                <w:b/>
                <w:color w:val="1C3A36"/>
                <w:sz w:val="18"/>
              </w:rPr>
              <w:t>Lens</w:t>
            </w:r>
          </w:p>
        </w:tc>
        <w:tc>
          <w:tcPr>
            <w:tcW w:type="dxa" w:w="1411"/>
            <w:shd w:val="clear" w:color="auto" w:fill="EAF0EE"/>
          </w:tcPr>
          <w:p>
            <w:pPr>
              <w:spacing w:after="20"/>
            </w:pPr>
            <w:r>
              <w:rPr>
                <w:b/>
                <w:color w:val="1C3A36"/>
                <w:sz w:val="18"/>
              </w:rPr>
              <w:t>Value (EGP)</w:t>
            </w:r>
          </w:p>
        </w:tc>
        <w:tc>
          <w:tcPr>
            <w:tcW w:type="dxa" w:w="1224"/>
            <w:shd w:val="clear" w:color="auto" w:fill="EAF0EE"/>
          </w:tcPr>
          <w:p>
            <w:pPr>
              <w:spacing w:after="20"/>
            </w:pPr>
            <w:r>
              <w:rPr>
                <w:b/>
                <w:color w:val="1C3A36"/>
                <w:sz w:val="18"/>
              </w:rPr>
              <w:t>Versus spot</w:t>
            </w:r>
          </w:p>
        </w:tc>
        <w:tc>
          <w:tcPr>
            <w:tcW w:type="dxa" w:w="4752"/>
            <w:shd w:val="clear" w:color="auto" w:fill="EAF0EE"/>
          </w:tcPr>
          <w:p>
            <w:pPr>
              <w:spacing w:after="20"/>
            </w:pPr>
            <w:r>
              <w:rPr>
                <w:b/>
                <w:color w:val="1C3A36"/>
                <w:sz w:val="18"/>
              </w:rPr>
              <w:t>What would have to be true for it to be right</w:t>
            </w:r>
          </w:p>
        </w:tc>
      </w:tr>
      <w:tr>
        <w:tc>
          <w:tcPr>
            <w:tcW w:type="dxa" w:w="2333"/>
          </w:tcPr>
          <w:p>
            <w:pPr>
              <w:spacing w:after="20"/>
            </w:pPr>
            <w:r>
              <w:rPr>
                <w:color w:val="1C3A36"/>
                <w:sz w:val="18"/>
              </w:rPr>
              <w:t>Discounted cash flow</w:t>
            </w:r>
          </w:p>
        </w:tc>
        <w:tc>
          <w:tcPr>
            <w:tcW w:type="dxa" w:w="1411"/>
          </w:tcPr>
          <w:p>
            <w:pPr>
              <w:spacing w:after="20"/>
              <w:jc w:val="right"/>
            </w:pPr>
            <w:r>
              <w:rPr>
                <w:color w:val="1C3A36"/>
                <w:sz w:val="18"/>
              </w:rPr>
              <w:t>75.35</w:t>
            </w:r>
          </w:p>
        </w:tc>
        <w:tc>
          <w:tcPr>
            <w:tcW w:type="dxa" w:w="1224"/>
          </w:tcPr>
          <w:p>
            <w:pPr>
              <w:spacing w:after="20"/>
              <w:jc w:val="right"/>
            </w:pPr>
            <w:r>
              <w:rPr>
                <w:color w:val="1C3A36"/>
                <w:sz w:val="18"/>
              </w:rPr>
              <w:t>-4.6%</w:t>
            </w:r>
          </w:p>
        </w:tc>
        <w:tc>
          <w:tcPr>
            <w:tcW w:type="dxa" w:w="4752"/>
          </w:tcPr>
          <w:p>
            <w:pPr>
              <w:spacing w:after="20"/>
              <w:jc w:val="right"/>
            </w:pPr>
            <w:r>
              <w:rPr>
                <w:color w:val="1C3A36"/>
                <w:sz w:val="18"/>
              </w:rPr>
              <w:t>Prices normalise in real terms as dormant capacity restarts</w:t>
            </w:r>
          </w:p>
        </w:tc>
      </w:tr>
      <w:tr>
        <w:tc>
          <w:tcPr>
            <w:tcW w:type="dxa" w:w="2333"/>
          </w:tcPr>
          <w:p>
            <w:pPr>
              <w:spacing w:after="20"/>
            </w:pPr>
            <w:r>
              <w:rPr>
                <w:color w:val="1C3A36"/>
                <w:sz w:val="18"/>
              </w:rPr>
              <w:t>Relative multiples</w:t>
            </w:r>
          </w:p>
        </w:tc>
        <w:tc>
          <w:tcPr>
            <w:tcW w:type="dxa" w:w="1411"/>
          </w:tcPr>
          <w:p>
            <w:pPr>
              <w:spacing w:after="20"/>
              <w:jc w:val="right"/>
            </w:pPr>
            <w:r>
              <w:rPr>
                <w:color w:val="1C3A36"/>
                <w:sz w:val="18"/>
              </w:rPr>
              <w:t>61.49</w:t>
            </w:r>
          </w:p>
        </w:tc>
        <w:tc>
          <w:tcPr>
            <w:tcW w:type="dxa" w:w="1224"/>
          </w:tcPr>
          <w:p>
            <w:pPr>
              <w:spacing w:after="20"/>
              <w:jc w:val="right"/>
            </w:pPr>
            <w:r>
              <w:rPr>
                <w:color w:val="1C3A36"/>
                <w:sz w:val="18"/>
              </w:rPr>
              <w:t>-22.2%</w:t>
            </w:r>
          </w:p>
        </w:tc>
        <w:tc>
          <w:tcPr>
            <w:tcW w:type="dxa" w:w="4752"/>
          </w:tcPr>
          <w:p>
            <w:pPr>
              <w:spacing w:after="20"/>
              <w:jc w:val="right"/>
            </w:pPr>
            <w:r>
              <w:rPr>
                <w:color w:val="1C3A36"/>
                <w:sz w:val="18"/>
              </w:rPr>
              <w:t>Peers stay near 5x EBITDA and the mid-cycle margin holds</w:t>
            </w:r>
          </w:p>
        </w:tc>
      </w:tr>
      <w:tr>
        <w:tc>
          <w:tcPr>
            <w:tcW w:type="dxa" w:w="2333"/>
          </w:tcPr>
          <w:p>
            <w:pPr>
              <w:spacing w:after="20"/>
            </w:pPr>
            <w:r>
              <w:rPr>
                <w:color w:val="1C3A36"/>
                <w:sz w:val="18"/>
              </w:rPr>
              <w:t>Normalised earnings</w:t>
            </w:r>
          </w:p>
        </w:tc>
        <w:tc>
          <w:tcPr>
            <w:tcW w:type="dxa" w:w="1411"/>
          </w:tcPr>
          <w:p>
            <w:pPr>
              <w:spacing w:after="20"/>
              <w:jc w:val="right"/>
            </w:pPr>
            <w:r>
              <w:rPr>
                <w:color w:val="1C3A36"/>
                <w:sz w:val="18"/>
              </w:rPr>
              <w:t>69.86</w:t>
            </w:r>
          </w:p>
        </w:tc>
        <w:tc>
          <w:tcPr>
            <w:tcW w:type="dxa" w:w="1224"/>
          </w:tcPr>
          <w:p>
            <w:pPr>
              <w:spacing w:after="20"/>
              <w:jc w:val="right"/>
            </w:pPr>
            <w:r>
              <w:rPr>
                <w:color w:val="1C3A36"/>
                <w:sz w:val="18"/>
              </w:rPr>
              <w:t>-11.6%</w:t>
            </w:r>
          </w:p>
        </w:tc>
        <w:tc>
          <w:tcPr>
            <w:tcW w:type="dxa" w:w="4752"/>
          </w:tcPr>
          <w:p>
            <w:pPr>
              <w:spacing w:after="20"/>
              <w:jc w:val="right"/>
            </w:pPr>
            <w:r>
              <w:rPr>
                <w:color w:val="1C3A36"/>
                <w:sz w:val="18"/>
              </w:rPr>
              <w:t>2025 was a cyclical peak, not a new operating level</w:t>
            </w:r>
          </w:p>
        </w:tc>
      </w:tr>
      <w:tr>
        <w:tc>
          <w:tcPr>
            <w:tcW w:type="dxa" w:w="2333"/>
          </w:tcPr>
          <w:p>
            <w:pPr>
              <w:spacing w:after="20"/>
            </w:pPr>
            <w:r>
              <w:rPr>
                <w:color w:val="1C3A36"/>
                <w:sz w:val="18"/>
              </w:rPr>
              <w:t>Asset / replacement cost</w:t>
            </w:r>
          </w:p>
        </w:tc>
        <w:tc>
          <w:tcPr>
            <w:tcW w:type="dxa" w:w="1411"/>
          </w:tcPr>
          <w:p>
            <w:pPr>
              <w:spacing w:after="20"/>
              <w:jc w:val="right"/>
            </w:pPr>
            <w:r>
              <w:rPr>
                <w:color w:val="1C3A36"/>
                <w:sz w:val="18"/>
              </w:rPr>
              <w:t>92.99</w:t>
            </w:r>
          </w:p>
        </w:tc>
        <w:tc>
          <w:tcPr>
            <w:tcW w:type="dxa" w:w="1224"/>
          </w:tcPr>
          <w:p>
            <w:pPr>
              <w:spacing w:after="20"/>
              <w:jc w:val="right"/>
            </w:pPr>
            <w:r>
              <w:rPr>
                <w:color w:val="1C3A36"/>
                <w:sz w:val="18"/>
              </w:rPr>
              <w:t>+17.7%</w:t>
            </w:r>
          </w:p>
        </w:tc>
        <w:tc>
          <w:tcPr>
            <w:tcW w:type="dxa" w:w="4752"/>
          </w:tcPr>
          <w:p>
            <w:pPr>
              <w:spacing w:after="20"/>
              <w:jc w:val="right"/>
            </w:pPr>
            <w:r>
              <w:rPr>
                <w:color w:val="1C3A36"/>
                <w:sz w:val="18"/>
              </w:rPr>
              <w:t>Capacity is scarce enough that build cost anchors value</w:t>
            </w:r>
          </w:p>
        </w:tc>
      </w:tr>
    </w:tbl>
    <w:p>
      <w:pPr>
        <w:spacing w:after="40"/>
      </w:pPr>
    </w:p>
    <w:p>
      <w:pPr>
        <w:spacing w:after="200" w:before="0"/>
      </w:pPr>
      <w:r>
        <w:rPr>
          <w:b w:val="0"/>
          <w:i/>
          <w:color w:val="6E7B77"/>
          <w:sz w:val="17"/>
        </w:rPr>
        <w:t>Table 16 — What each lens is betting on.</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yet the balance sheet arithmetic implies a substantial FY2025 distribution. A declared payout would resolve the largest single uncertainty in the equity bridge.</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earnings lenses</w:t>
            </w:r>
          </w:p>
        </w:tc>
        <w:tc>
          <w:tcPr>
            <w:tcW w:type="dxa" w:w="2088"/>
          </w:tcPr>
          <w:p>
            <w:pPr>
              <w:spacing w:after="20"/>
              <w:jc w:val="right"/>
            </w:pPr>
            <w:r>
              <w:rPr>
                <w:color w:val="1C3A36"/>
                <w:sz w:val="18"/>
              </w:rPr>
              <w:t>under 69.86</w:t>
            </w:r>
          </w:p>
        </w:tc>
        <w:tc>
          <w:tcPr>
            <w:tcW w:type="dxa" w:w="4680"/>
          </w:tcPr>
          <w:p>
            <w:pPr>
              <w:spacing w:after="20"/>
              <w:jc w:val="right"/>
            </w:pPr>
            <w:r>
              <w:rPr>
                <w:color w:val="1C3A36"/>
                <w:sz w:val="18"/>
              </w:rPr>
              <w:t>The market has come to agree that 2025 was a peak and that new supply compresses margins from here</w:t>
            </w:r>
          </w:p>
        </w:tc>
      </w:tr>
      <w:tr>
        <w:tc>
          <w:tcPr>
            <w:tcW w:type="dxa" w:w="2952"/>
          </w:tcPr>
          <w:p>
            <w:pPr>
              <w:spacing w:after="20"/>
            </w:pPr>
            <w:r>
              <w:rPr>
                <w:color w:val="1C3A36"/>
                <w:sz w:val="18"/>
              </w:rPr>
              <w:t>Between the earnings and asset lenses</w:t>
            </w:r>
          </w:p>
        </w:tc>
        <w:tc>
          <w:tcPr>
            <w:tcW w:type="dxa" w:w="2088"/>
          </w:tcPr>
          <w:p>
            <w:pPr>
              <w:spacing w:after="20"/>
              <w:jc w:val="right"/>
            </w:pPr>
            <w:r>
              <w:rPr>
                <w:color w:val="1C3A36"/>
                <w:sz w:val="18"/>
              </w:rPr>
              <w:t>69.86 – 92.99</w:t>
            </w:r>
          </w:p>
        </w:tc>
        <w:tc>
          <w:tcPr>
            <w:tcW w:type="dxa" w:w="4680"/>
          </w:tcPr>
          <w:p>
            <w:pPr>
              <w:spacing w:after="20"/>
              <w:jc w:val="right"/>
            </w:pPr>
            <w:r>
              <w:rPr>
                <w:color w:val="1C3A36"/>
                <w:sz w:val="18"/>
              </w:rPr>
              <w:t>Where the price sits today: the plant is valued above its cash flows but below its build cost</w:t>
            </w:r>
          </w:p>
        </w:tc>
      </w:tr>
      <w:tr>
        <w:tc>
          <w:tcPr>
            <w:tcW w:type="dxa" w:w="2952"/>
          </w:tcPr>
          <w:p>
            <w:pPr>
              <w:spacing w:after="20"/>
            </w:pPr>
            <w:r>
              <w:rPr>
                <w:color w:val="1C3A36"/>
                <w:sz w:val="18"/>
              </w:rPr>
              <w:t>Above the asset lens</w:t>
            </w:r>
          </w:p>
        </w:tc>
        <w:tc>
          <w:tcPr>
            <w:tcW w:type="dxa" w:w="2088"/>
          </w:tcPr>
          <w:p>
            <w:pPr>
              <w:spacing w:after="20"/>
              <w:jc w:val="right"/>
            </w:pPr>
            <w:r>
              <w:rPr>
                <w:color w:val="1C3A36"/>
                <w:sz w:val="18"/>
              </w:rPr>
              <w:t>over 92.99</w:t>
            </w:r>
          </w:p>
        </w:tc>
        <w:tc>
          <w:tcPr>
            <w:tcW w:type="dxa" w:w="4680"/>
          </w:tcPr>
          <w:p>
            <w:pPr>
              <w:spacing w:after="20"/>
              <w:jc w:val="right"/>
            </w:pPr>
            <w:r>
              <w:rPr>
                <w:color w:val="1C3A36"/>
                <w:sz w:val="18"/>
              </w:rPr>
              <w:t>The market is paying replacement cost or more for capacity in a market that has a structural surplus of it</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audited statements could not be obtained. </w:t>
      </w:r>
      <w:r>
        <w:rPr>
          <w:color w:val="1C3A36"/>
          <w:sz w:val="21"/>
        </w:rPr>
        <w:t>Revenue and profit after tax are carried as disclosed through reporting of the company's exchange filings. Every line between them — EBITDA, depreciation, operating profit and treasury income — is DERIVED by closing the disclosed profit, and is labelled as derived in the financial statements appendix. The margin structure rests on a single disclosed EBITDA figure for FY2024.</w:t>
      </w:r>
    </w:p>
    <w:p>
      <w:pPr>
        <w:pStyle w:val="ListBullet"/>
        <w:spacing w:after="60"/>
      </w:pPr>
      <w:r>
        <w:rPr>
          <w:b/>
          <w:color w:val="1C3A36"/>
          <w:sz w:val="21"/>
        </w:rPr>
        <w:t xml:space="preserve">The balance sheet still does not fully reconcile. </w:t>
      </w:r>
      <w:r>
        <w:rPr>
          <w:color w:val="1C3A36"/>
          <w:sz w:val="21"/>
        </w:rPr>
        <w:t>Rolling FY2024 equity of EGP 4,775 million forward by FY2025 profit with no distribution gives EGP 7,060 million, against a reported figure of about EGP 6,020 million. The EGP 1,039 million difference implies a FY2025 distribution that no obtainable source reports. It is carried as a disclosed uncertainty rather than plugged, and it bears directly on the cash balance the valuation adds back.</w:t>
      </w:r>
    </w:p>
    <w:p>
      <w:pPr>
        <w:pStyle w:val="ListBullet"/>
        <w:spacing w:after="60"/>
      </w:pPr>
      <w:r>
        <w:rPr>
          <w:b/>
          <w:color w:val="1C3A36"/>
          <w:sz w:val="21"/>
        </w:rPr>
        <w:t xml:space="preserve">The cash balance is now reported, and sensitised. </w:t>
      </w:r>
      <w:r>
        <w:rPr>
          <w:color w:val="1C3A36"/>
          <w:sz w:val="21"/>
        </w:rPr>
        <w:t>An earlier draft inferred it from the treasury income the profit bridge implied, divided by a deposit yield, and then grew it by an undisclosed multiplier. It is now the reported FY2025 balance of EGP 4,762 million, rolled forward to the valuation date on the elapsed share of FY2026 free cash flow. It is 33% of fair equity value, so it carries its own sensitivity grid in section 1.9 rather than being asserted.</w:t>
      </w:r>
    </w:p>
    <w:p>
      <w:pPr>
        <w:pStyle w:val="ListBullet"/>
        <w:spacing w:after="60"/>
      </w:pPr>
      <w:r>
        <w:rPr>
          <w:b/>
          <w:color w:val="1C3A36"/>
          <w:sz w:val="21"/>
        </w:rPr>
        <w:t xml:space="preserve">The EBITDA margin is an output, and that changed the answer. </w:t>
      </w:r>
      <w:r>
        <w:rPr>
          <w:color w:val="1C3A36"/>
          <w:sz w:val="21"/>
        </w:rPr>
        <w:t>An earlier draft set the FY2026 EBITDA margin at 30.5% — above the FY2025 outturn it simultaneously described as a cyclical peak. Rebuilding the operating line from the cost stack puts FY2026 at 34.7% falling to 30.5%, and moved the weighted central materially lower.</w:t>
      </w:r>
    </w:p>
    <w:p>
      <w:pPr>
        <w:pStyle w:val="ListBullet"/>
        <w:spacing w:after="60"/>
      </w:pPr>
      <w:r>
        <w:rPr>
          <w:b/>
          <w:color w:val="1C3A36"/>
          <w:sz w:val="21"/>
        </w:rPr>
        <w:t xml:space="preserve">The fixed cost block is calibrated, not observed. </w:t>
      </w:r>
      <w:r>
        <w:rPr>
          <w:color w:val="1C3A36"/>
          <w:sz w:val="21"/>
        </w:rPr>
        <w:t>Variable costs are built from independent physical norms, but the fixed block — labour, maintenance, insurance, security and administration — is set at USD 14.6 per tonne of installed capacity, the level the FY2025 reconciliation implies against that variable stack. It sits inside the USD 10-20 industry band, but it is the one cost line the build does not independently evidence.</w:t>
      </w:r>
    </w:p>
    <w:p>
      <w:pPr>
        <w:pStyle w:val="ListBullet"/>
        <w:spacing w:after="60"/>
      </w:pPr>
      <w:r>
        <w:rPr>
          <w:b/>
          <w:color w:val="1C3A36"/>
          <w:sz w:val="21"/>
        </w:rPr>
        <w:t xml:space="preserve">Capital expenditure is a top-down assumption. </w:t>
      </w:r>
      <w:r>
        <w:rPr>
          <w:color w:val="1C3A36"/>
          <w:sz w:val="21"/>
        </w:rPr>
        <w:t>The company publishes no capital-expenditure figure, guidance or investment plan that could be retrieved. Capex is set at 4.5% to 5.0% of revenue as maintenance for a mature two-line plant plus decarbonisation spending, and is sensitised.</w:t>
      </w:r>
    </w:p>
    <w:p>
      <w:pPr>
        <w:pStyle w:val="ListBullet"/>
        <w:spacing w:after="60"/>
      </w:pPr>
      <w:r>
        <w:rPr>
          <w:b/>
          <w:color w:val="1C3A36"/>
          <w:sz w:val="21"/>
        </w:rPr>
        <w:t xml:space="preserve">The FY2024 disposal gain is estimated, not disclosed. </w:t>
      </w:r>
      <w:r>
        <w:rPr>
          <w:color w:val="1C3A36"/>
          <w:sz w:val="21"/>
        </w:rPr>
        <w:t>The EUR 30 million consideration and the completion date are reported, but the carrying value of the stake is not. It is estimated at EGP 100 million on the reasoning that a 1990s-vintage holding carried at historic cost in pre-devaluation pounds is small. A different carrying value shifts the split between the FY2024 disposal gain and FY2024 treasury income, but not the FY2025 or forecast figures.</w:t>
      </w:r>
    </w:p>
    <w:p>
      <w:pPr>
        <w:pStyle w:val="ListBullet"/>
        <w:spacing w:after="60"/>
      </w:pPr>
      <w:r>
        <w:rPr>
          <w:b/>
          <w:color w:val="1C3A36"/>
          <w:sz w:val="21"/>
        </w:rPr>
        <w:t xml:space="preserve">The price distribution is not calibrated for this security. </w:t>
      </w:r>
      <w:r>
        <w:rPr>
          <w:color w:val="1C3A36"/>
          <w:sz w:val="21"/>
        </w:rPr>
        <w:t>Measured over five years it scores worse than a random walk and is materially too wide. It is published with that stated, and it carries no weight in the fundamental valuation.</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confirmation that the cash balance is smaller than the profit bridge implies.</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9,676</w:t>
            </w:r>
          </w:p>
        </w:tc>
        <w:tc>
          <w:tcPr>
            <w:tcW w:type="dxa" w:w="864"/>
          </w:tcPr>
          <w:p>
            <w:pPr>
              <w:spacing w:after="20"/>
              <w:jc w:val="right"/>
            </w:pPr>
            <w:r>
              <w:rPr>
                <w:color w:val="1C3A36"/>
                <w:sz w:val="16"/>
              </w:rPr>
              <w:t>10,309</w:t>
            </w:r>
          </w:p>
        </w:tc>
        <w:tc>
          <w:tcPr>
            <w:tcW w:type="dxa" w:w="864"/>
          </w:tcPr>
          <w:p>
            <w:pPr>
              <w:spacing w:after="20"/>
              <w:jc w:val="right"/>
            </w:pPr>
            <w:r>
              <w:rPr>
                <w:color w:val="1C3A36"/>
                <w:sz w:val="16"/>
              </w:rPr>
              <w:t>11,026</w:t>
            </w:r>
          </w:p>
        </w:tc>
        <w:tc>
          <w:tcPr>
            <w:tcW w:type="dxa" w:w="864"/>
          </w:tcPr>
          <w:p>
            <w:pPr>
              <w:spacing w:after="20"/>
              <w:jc w:val="right"/>
            </w:pPr>
            <w:r>
              <w:rPr>
                <w:color w:val="1C3A36"/>
                <w:sz w:val="16"/>
              </w:rPr>
              <w:t>11,842</w:t>
            </w:r>
          </w:p>
        </w:tc>
        <w:tc>
          <w:tcPr>
            <w:tcW w:type="dxa" w:w="864"/>
          </w:tcPr>
          <w:p>
            <w:pPr>
              <w:spacing w:after="20"/>
              <w:jc w:val="right"/>
            </w:pPr>
            <w:r>
              <w:rPr>
                <w:color w:val="1C3A36"/>
                <w:sz w:val="16"/>
              </w:rPr>
              <w:t>12,669</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3,354</w:t>
            </w:r>
          </w:p>
        </w:tc>
        <w:tc>
          <w:tcPr>
            <w:tcW w:type="dxa" w:w="864"/>
          </w:tcPr>
          <w:p>
            <w:pPr>
              <w:spacing w:after="20"/>
              <w:jc w:val="right"/>
            </w:pPr>
            <w:r>
              <w:rPr>
                <w:color w:val="1C3A36"/>
                <w:sz w:val="16"/>
              </w:rPr>
              <w:t>3,277</w:t>
            </w:r>
          </w:p>
        </w:tc>
        <w:tc>
          <w:tcPr>
            <w:tcW w:type="dxa" w:w="864"/>
          </w:tcPr>
          <w:p>
            <w:pPr>
              <w:spacing w:after="20"/>
              <w:jc w:val="right"/>
            </w:pPr>
            <w:r>
              <w:rPr>
                <w:color w:val="1C3A36"/>
                <w:sz w:val="16"/>
              </w:rPr>
              <w:t>3,374</w:t>
            </w:r>
          </w:p>
        </w:tc>
        <w:tc>
          <w:tcPr>
            <w:tcW w:type="dxa" w:w="864"/>
          </w:tcPr>
          <w:p>
            <w:pPr>
              <w:spacing w:after="20"/>
              <w:jc w:val="right"/>
            </w:pPr>
            <w:r>
              <w:rPr>
                <w:color w:val="1C3A36"/>
                <w:sz w:val="16"/>
              </w:rPr>
              <w:t>3,610</w:t>
            </w:r>
          </w:p>
        </w:tc>
        <w:tc>
          <w:tcPr>
            <w:tcW w:type="dxa" w:w="864"/>
          </w:tcPr>
          <w:p>
            <w:pPr>
              <w:spacing w:after="20"/>
              <w:jc w:val="right"/>
            </w:pPr>
            <w:r>
              <w:rPr>
                <w:color w:val="1C3A36"/>
                <w:sz w:val="16"/>
              </w:rPr>
              <w:t>3,863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34.7%</w:t>
            </w:r>
          </w:p>
        </w:tc>
        <w:tc>
          <w:tcPr>
            <w:tcW w:type="dxa" w:w="864"/>
          </w:tcPr>
          <w:p>
            <w:pPr>
              <w:spacing w:after="20"/>
              <w:jc w:val="right"/>
            </w:pPr>
            <w:r>
              <w:rPr>
                <w:color w:val="1C3A36"/>
                <w:sz w:val="16"/>
              </w:rPr>
              <w:t>31.8%</w:t>
            </w:r>
          </w:p>
        </w:tc>
        <w:tc>
          <w:tcPr>
            <w:tcW w:type="dxa" w:w="864"/>
          </w:tcPr>
          <w:p>
            <w:pPr>
              <w:spacing w:after="20"/>
              <w:jc w:val="right"/>
            </w:pPr>
            <w:r>
              <w:rPr>
                <w:color w:val="1C3A36"/>
                <w:sz w:val="16"/>
              </w:rPr>
              <w:t>30.6%</w:t>
            </w:r>
          </w:p>
        </w:tc>
        <w:tc>
          <w:tcPr>
            <w:tcW w:type="dxa" w:w="864"/>
          </w:tcPr>
          <w:p>
            <w:pPr>
              <w:spacing w:after="20"/>
              <w:jc w:val="right"/>
            </w:pPr>
            <w:r>
              <w:rPr>
                <w:color w:val="1C3A36"/>
                <w:sz w:val="16"/>
              </w:rPr>
              <w:t>30.5%</w:t>
            </w:r>
          </w:p>
        </w:tc>
        <w:tc>
          <w:tcPr>
            <w:tcW w:type="dxa" w:w="864"/>
          </w:tcPr>
          <w:p>
            <w:pPr>
              <w:spacing w:after="20"/>
              <w:jc w:val="right"/>
            </w:pPr>
            <w:r>
              <w:rPr>
                <w:color w:val="1C3A36"/>
                <w:sz w:val="16"/>
              </w:rPr>
              <w:t>30.5%</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149</w:t>
            </w:r>
          </w:p>
        </w:tc>
        <w:tc>
          <w:tcPr>
            <w:tcW w:type="dxa" w:w="864"/>
          </w:tcPr>
          <w:p>
            <w:pPr>
              <w:spacing w:after="20"/>
              <w:jc w:val="right"/>
            </w:pPr>
            <w:r>
              <w:rPr>
                <w:color w:val="1C3A36"/>
                <w:sz w:val="16"/>
              </w:rPr>
              <w:t>165</w:t>
            </w:r>
          </w:p>
        </w:tc>
        <w:tc>
          <w:tcPr>
            <w:tcW w:type="dxa" w:w="864"/>
          </w:tcPr>
          <w:p>
            <w:pPr>
              <w:spacing w:after="20"/>
              <w:jc w:val="right"/>
            </w:pPr>
            <w:r>
              <w:rPr>
                <w:color w:val="1C3A36"/>
                <w:sz w:val="16"/>
              </w:rPr>
              <w:t>182</w:t>
            </w:r>
          </w:p>
        </w:tc>
        <w:tc>
          <w:tcPr>
            <w:tcW w:type="dxa" w:w="864"/>
          </w:tcPr>
          <w:p>
            <w:pPr>
              <w:spacing w:after="20"/>
              <w:jc w:val="right"/>
            </w:pPr>
            <w:r>
              <w:rPr>
                <w:color w:val="1C3A36"/>
                <w:sz w:val="16"/>
              </w:rPr>
              <w:t>200</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3,220</w:t>
            </w:r>
          </w:p>
        </w:tc>
        <w:tc>
          <w:tcPr>
            <w:tcW w:type="dxa" w:w="864"/>
          </w:tcPr>
          <w:p>
            <w:pPr>
              <w:spacing w:after="20"/>
              <w:jc w:val="right"/>
            </w:pPr>
            <w:r>
              <w:rPr>
                <w:color w:val="1C3A36"/>
                <w:sz w:val="16"/>
              </w:rPr>
              <w:t>3,127</w:t>
            </w:r>
          </w:p>
        </w:tc>
        <w:tc>
          <w:tcPr>
            <w:tcW w:type="dxa" w:w="864"/>
          </w:tcPr>
          <w:p>
            <w:pPr>
              <w:spacing w:after="20"/>
              <w:jc w:val="right"/>
            </w:pPr>
            <w:r>
              <w:rPr>
                <w:color w:val="1C3A36"/>
                <w:sz w:val="16"/>
              </w:rPr>
              <w:t>3,209</w:t>
            </w:r>
          </w:p>
        </w:tc>
        <w:tc>
          <w:tcPr>
            <w:tcW w:type="dxa" w:w="864"/>
          </w:tcPr>
          <w:p>
            <w:pPr>
              <w:spacing w:after="20"/>
              <w:jc w:val="right"/>
            </w:pPr>
            <w:r>
              <w:rPr>
                <w:color w:val="1C3A36"/>
                <w:sz w:val="16"/>
              </w:rPr>
              <w:t>3,428</w:t>
            </w:r>
          </w:p>
        </w:tc>
        <w:tc>
          <w:tcPr>
            <w:tcW w:type="dxa" w:w="864"/>
          </w:tcPr>
          <w:p>
            <w:pPr>
              <w:spacing w:after="20"/>
              <w:jc w:val="right"/>
            </w:pPr>
            <w:r>
              <w:rPr>
                <w:color w:val="1C3A36"/>
                <w:sz w:val="16"/>
              </w:rPr>
              <w:t>3,662</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983</w:t>
            </w:r>
          </w:p>
        </w:tc>
        <w:tc>
          <w:tcPr>
            <w:tcW w:type="dxa" w:w="864"/>
          </w:tcPr>
          <w:p>
            <w:pPr>
              <w:spacing w:after="20"/>
              <w:jc w:val="right"/>
            </w:pPr>
            <w:r>
              <w:rPr>
                <w:color w:val="1C3A36"/>
                <w:sz w:val="16"/>
              </w:rPr>
              <w:t>1,016</w:t>
            </w:r>
          </w:p>
        </w:tc>
        <w:tc>
          <w:tcPr>
            <w:tcW w:type="dxa" w:w="864"/>
          </w:tcPr>
          <w:p>
            <w:pPr>
              <w:spacing w:after="20"/>
              <w:jc w:val="right"/>
            </w:pPr>
            <w:r>
              <w:rPr>
                <w:color w:val="1C3A36"/>
                <w:sz w:val="16"/>
              </w:rPr>
              <w:t>1,050</w:t>
            </w:r>
          </w:p>
        </w:tc>
        <w:tc>
          <w:tcPr>
            <w:tcW w:type="dxa" w:w="864"/>
          </w:tcPr>
          <w:p>
            <w:pPr>
              <w:spacing w:after="20"/>
              <w:jc w:val="right"/>
            </w:pPr>
            <w:r>
              <w:rPr>
                <w:color w:val="1C3A36"/>
                <w:sz w:val="16"/>
              </w:rPr>
              <w:t>1,105</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3,197</w:t>
            </w:r>
          </w:p>
        </w:tc>
        <w:tc>
          <w:tcPr>
            <w:tcW w:type="dxa" w:w="864"/>
          </w:tcPr>
          <w:p>
            <w:pPr>
              <w:spacing w:after="20"/>
              <w:jc w:val="right"/>
            </w:pPr>
            <w:r>
              <w:rPr>
                <w:color w:val="1C3A36"/>
                <w:sz w:val="16"/>
              </w:rPr>
              <w:t>3,186</w:t>
            </w:r>
          </w:p>
        </w:tc>
        <w:tc>
          <w:tcPr>
            <w:tcW w:type="dxa" w:w="864"/>
          </w:tcPr>
          <w:p>
            <w:pPr>
              <w:spacing w:after="20"/>
              <w:jc w:val="right"/>
            </w:pPr>
            <w:r>
              <w:rPr>
                <w:color w:val="1C3A36"/>
                <w:sz w:val="16"/>
              </w:rPr>
              <w:t>3,274</w:t>
            </w:r>
          </w:p>
        </w:tc>
        <w:tc>
          <w:tcPr>
            <w:tcW w:type="dxa" w:w="864"/>
          </w:tcPr>
          <w:p>
            <w:pPr>
              <w:spacing w:after="20"/>
              <w:jc w:val="right"/>
            </w:pPr>
            <w:r>
              <w:rPr>
                <w:color w:val="1C3A36"/>
                <w:sz w:val="16"/>
              </w:rPr>
              <w:t>3,470</w:t>
            </w:r>
          </w:p>
        </w:tc>
        <w:tc>
          <w:tcPr>
            <w:tcW w:type="dxa" w:w="864"/>
          </w:tcPr>
          <w:p>
            <w:pPr>
              <w:spacing w:after="20"/>
              <w:jc w:val="right"/>
            </w:pPr>
            <w:r>
              <w:rPr>
                <w:color w:val="1C3A36"/>
                <w:sz w:val="16"/>
              </w:rPr>
              <w:t>3,695</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12.26</w:t>
            </w:r>
          </w:p>
        </w:tc>
        <w:tc>
          <w:tcPr>
            <w:tcW w:type="dxa" w:w="864"/>
          </w:tcPr>
          <w:p>
            <w:pPr>
              <w:spacing w:after="20"/>
              <w:jc w:val="right"/>
            </w:pPr>
            <w:r>
              <w:rPr>
                <w:color w:val="1C3A36"/>
                <w:sz w:val="16"/>
              </w:rPr>
              <w:t>12.21</w:t>
            </w:r>
          </w:p>
        </w:tc>
        <w:tc>
          <w:tcPr>
            <w:tcW w:type="dxa" w:w="864"/>
          </w:tcPr>
          <w:p>
            <w:pPr>
              <w:spacing w:after="20"/>
              <w:jc w:val="right"/>
            </w:pPr>
            <w:r>
              <w:rPr>
                <w:color w:val="1C3A36"/>
                <w:sz w:val="16"/>
              </w:rPr>
              <w:t>12.55</w:t>
            </w:r>
          </w:p>
        </w:tc>
        <w:tc>
          <w:tcPr>
            <w:tcW w:type="dxa" w:w="864"/>
          </w:tcPr>
          <w:p>
            <w:pPr>
              <w:spacing w:after="20"/>
              <w:jc w:val="right"/>
            </w:pPr>
            <w:r>
              <w:rPr>
                <w:color w:val="1C3A36"/>
                <w:sz w:val="16"/>
              </w:rPr>
              <w:t>13.30</w:t>
            </w:r>
          </w:p>
        </w:tc>
        <w:tc>
          <w:tcPr>
            <w:tcW w:type="dxa" w:w="864"/>
          </w:tcPr>
          <w:p>
            <w:pPr>
              <w:spacing w:after="20"/>
              <w:jc w:val="right"/>
            </w:pPr>
            <w:r>
              <w:rPr>
                <w:color w:val="1C3A36"/>
                <w:sz w:val="16"/>
              </w:rPr>
              <w:t>14.17</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2,291</w:t>
            </w:r>
          </w:p>
        </w:tc>
        <w:tc>
          <w:tcPr>
            <w:tcW w:type="dxa" w:w="864"/>
          </w:tcPr>
          <w:p>
            <w:pPr>
              <w:spacing w:after="20"/>
              <w:jc w:val="right"/>
            </w:pPr>
            <w:r>
              <w:rPr>
                <w:color w:val="1C3A36"/>
                <w:sz w:val="16"/>
              </w:rPr>
              <w:t>6,547</w:t>
            </w:r>
          </w:p>
        </w:tc>
        <w:tc>
          <w:tcPr>
            <w:tcW w:type="dxa" w:w="864"/>
          </w:tcPr>
          <w:p>
            <w:pPr>
              <w:spacing w:after="20"/>
              <w:jc w:val="right"/>
            </w:pPr>
            <w:r>
              <w:rPr>
                <w:color w:val="1C3A36"/>
                <w:sz w:val="16"/>
              </w:rPr>
              <w:t>6,547</w:t>
            </w:r>
          </w:p>
        </w:tc>
        <w:tc>
          <w:tcPr>
            <w:tcW w:type="dxa" w:w="864"/>
          </w:tcPr>
          <w:p>
            <w:pPr>
              <w:spacing w:after="20"/>
              <w:jc w:val="right"/>
            </w:pPr>
            <w:r>
              <w:rPr>
                <w:color w:val="1C3A36"/>
                <w:sz w:val="16"/>
              </w:rPr>
              <w:t>5,783</w:t>
            </w:r>
          </w:p>
        </w:tc>
        <w:tc>
          <w:tcPr>
            <w:tcW w:type="dxa" w:w="864"/>
          </w:tcPr>
          <w:p>
            <w:pPr>
              <w:spacing w:after="20"/>
              <w:jc w:val="right"/>
            </w:pPr>
            <w:r>
              <w:rPr>
                <w:color w:val="1C3A36"/>
                <w:sz w:val="16"/>
              </w:rPr>
              <w:t>6,773</w:t>
            </w:r>
          </w:p>
        </w:tc>
        <w:tc>
          <w:tcPr>
            <w:tcW w:type="dxa" w:w="864"/>
          </w:tcPr>
          <w:p>
            <w:pPr>
              <w:spacing w:after="20"/>
              <w:jc w:val="right"/>
            </w:pPr>
            <w:r>
              <w:rPr>
                <w:color w:val="1C3A36"/>
                <w:sz w:val="16"/>
              </w:rPr>
              <w:t>7,776</w:t>
            </w:r>
          </w:p>
        </w:tc>
        <w:tc>
          <w:tcPr>
            <w:tcW w:type="dxa" w:w="864"/>
          </w:tcPr>
          <w:p>
            <w:pPr>
              <w:spacing w:after="20"/>
              <w:jc w:val="right"/>
            </w:pPr>
            <w:r>
              <w:rPr>
                <w:color w:val="1C3A36"/>
                <w:sz w:val="16"/>
              </w:rPr>
              <w:t>8,842</w:t>
            </w:r>
          </w:p>
        </w:tc>
        <w:tc>
          <w:tcPr>
            <w:tcW w:type="dxa" w:w="864"/>
          </w:tcPr>
          <w:p>
            <w:pPr>
              <w:spacing w:after="20"/>
              <w:jc w:val="right"/>
            </w:pPr>
            <w:r>
              <w:rPr>
                <w:color w:val="1C3A36"/>
                <w:sz w:val="16"/>
              </w:rPr>
              <w:t>9,990</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2,154</w:t>
            </w:r>
          </w:p>
        </w:tc>
        <w:tc>
          <w:tcPr>
            <w:tcW w:type="dxa" w:w="864"/>
          </w:tcPr>
          <w:p>
            <w:pPr>
              <w:spacing w:after="20"/>
              <w:jc w:val="right"/>
            </w:pPr>
            <w:r>
              <w:rPr>
                <w:color w:val="1C3A36"/>
                <w:sz w:val="16"/>
              </w:rPr>
              <w:t>6,409</w:t>
            </w:r>
          </w:p>
        </w:tc>
        <w:tc>
          <w:tcPr>
            <w:tcW w:type="dxa" w:w="864"/>
          </w:tcPr>
          <w:p>
            <w:pPr>
              <w:spacing w:after="20"/>
              <w:jc w:val="right"/>
            </w:pPr>
            <w:r>
              <w:rPr>
                <w:color w:val="1C3A36"/>
                <w:sz w:val="16"/>
              </w:rPr>
              <w:t>6,394</w:t>
            </w:r>
          </w:p>
        </w:tc>
        <w:tc>
          <w:tcPr>
            <w:tcW w:type="dxa" w:w="864"/>
          </w:tcPr>
          <w:p>
            <w:pPr>
              <w:spacing w:after="20"/>
              <w:jc w:val="right"/>
            </w:pPr>
            <w:r>
              <w:rPr>
                <w:color w:val="1C3A36"/>
                <w:sz w:val="16"/>
              </w:rPr>
              <w:t>5,646</w:t>
            </w:r>
          </w:p>
        </w:tc>
        <w:tc>
          <w:tcPr>
            <w:tcW w:type="dxa" w:w="864"/>
          </w:tcPr>
          <w:p>
            <w:pPr>
              <w:spacing w:after="20"/>
              <w:jc w:val="right"/>
            </w:pPr>
            <w:r>
              <w:rPr>
                <w:color w:val="1C3A36"/>
                <w:sz w:val="16"/>
              </w:rPr>
              <w:t>6,635</w:t>
            </w:r>
          </w:p>
        </w:tc>
        <w:tc>
          <w:tcPr>
            <w:tcW w:type="dxa" w:w="864"/>
          </w:tcPr>
          <w:p>
            <w:pPr>
              <w:spacing w:after="20"/>
              <w:jc w:val="right"/>
            </w:pPr>
            <w:r>
              <w:rPr>
                <w:color w:val="1C3A36"/>
                <w:sz w:val="16"/>
              </w:rPr>
              <w:t>7,639</w:t>
            </w:r>
          </w:p>
        </w:tc>
        <w:tc>
          <w:tcPr>
            <w:tcW w:type="dxa" w:w="864"/>
          </w:tcPr>
          <w:p>
            <w:pPr>
              <w:spacing w:after="20"/>
              <w:jc w:val="right"/>
            </w:pPr>
            <w:r>
              <w:rPr>
                <w:color w:val="1C3A36"/>
                <w:sz w:val="16"/>
              </w:rPr>
              <w:t>8,704</w:t>
            </w:r>
          </w:p>
        </w:tc>
        <w:tc>
          <w:tcPr>
            <w:tcW w:type="dxa" w:w="864"/>
          </w:tcPr>
          <w:p>
            <w:pPr>
              <w:spacing w:after="20"/>
              <w:jc w:val="right"/>
            </w:pPr>
            <w:r>
              <w:rPr>
                <w:color w:val="1C3A36"/>
                <w:sz w:val="16"/>
              </w:rPr>
              <w:t>9,853</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1,703</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7,299</w:t>
            </w:r>
          </w:p>
        </w:tc>
        <w:tc>
          <w:tcPr>
            <w:tcW w:type="dxa" w:w="864"/>
          </w:tcPr>
          <w:p>
            <w:pPr>
              <w:spacing w:after="20"/>
              <w:jc w:val="right"/>
            </w:pPr>
            <w:r>
              <w:rPr>
                <w:color w:val="1C3A36"/>
                <w:sz w:val="16"/>
              </w:rPr>
              <w:t>8,573</w:t>
            </w:r>
          </w:p>
        </w:tc>
        <w:tc>
          <w:tcPr>
            <w:tcW w:type="dxa" w:w="864"/>
          </w:tcPr>
          <w:p>
            <w:pPr>
              <w:spacing w:after="20"/>
              <w:jc w:val="right"/>
            </w:pPr>
            <w:r>
              <w:rPr>
                <w:color w:val="1C3A36"/>
                <w:sz w:val="16"/>
              </w:rPr>
              <w:t>9,883</w:t>
            </w:r>
          </w:p>
        </w:tc>
        <w:tc>
          <w:tcPr>
            <w:tcW w:type="dxa" w:w="864"/>
          </w:tcPr>
          <w:p>
            <w:pPr>
              <w:spacing w:after="20"/>
              <w:jc w:val="right"/>
            </w:pPr>
            <w:r>
              <w:rPr>
                <w:color w:val="1C3A36"/>
                <w:sz w:val="16"/>
              </w:rPr>
              <w:t>11,271</w:t>
            </w:r>
          </w:p>
        </w:tc>
        <w:tc>
          <w:tcPr>
            <w:tcW w:type="dxa" w:w="864"/>
          </w:tcPr>
          <w:p>
            <w:pPr>
              <w:spacing w:after="20"/>
              <w:jc w:val="right"/>
            </w:pPr>
            <w:r>
              <w:rPr>
                <w:color w:val="1C3A36"/>
                <w:sz w:val="16"/>
              </w:rPr>
              <w:t>12,749</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6.53</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27.99</w:t>
            </w:r>
          </w:p>
        </w:tc>
        <w:tc>
          <w:tcPr>
            <w:tcW w:type="dxa" w:w="864"/>
          </w:tcPr>
          <w:p>
            <w:pPr>
              <w:spacing w:after="20"/>
              <w:jc w:val="right"/>
            </w:pPr>
            <w:r>
              <w:rPr>
                <w:color w:val="1C3A36"/>
                <w:sz w:val="16"/>
              </w:rPr>
              <w:t>32.87</w:t>
            </w:r>
          </w:p>
        </w:tc>
        <w:tc>
          <w:tcPr>
            <w:tcW w:type="dxa" w:w="864"/>
          </w:tcPr>
          <w:p>
            <w:pPr>
              <w:spacing w:after="20"/>
              <w:jc w:val="right"/>
            </w:pPr>
            <w:r>
              <w:rPr>
                <w:color w:val="1C3A36"/>
                <w:sz w:val="16"/>
              </w:rPr>
              <w:t>37.89</w:t>
            </w:r>
          </w:p>
        </w:tc>
        <w:tc>
          <w:tcPr>
            <w:tcW w:type="dxa" w:w="864"/>
          </w:tcPr>
          <w:p>
            <w:pPr>
              <w:spacing w:after="20"/>
              <w:jc w:val="right"/>
            </w:pPr>
            <w:r>
              <w:rPr>
                <w:color w:val="1C3A36"/>
                <w:sz w:val="16"/>
              </w:rPr>
              <w:t>43.21</w:t>
            </w:r>
          </w:p>
        </w:tc>
        <w:tc>
          <w:tcPr>
            <w:tcW w:type="dxa" w:w="864"/>
          </w:tcPr>
          <w:p>
            <w:pPr>
              <w:spacing w:after="20"/>
              <w:jc w:val="right"/>
            </w:pPr>
            <w:r>
              <w:rPr>
                <w:color w:val="1C3A36"/>
                <w:sz w:val="16"/>
              </w:rPr>
              <w:t>48.88</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2,495</w:t>
            </w:r>
          </w:p>
        </w:tc>
        <w:tc>
          <w:tcPr>
            <w:tcW w:type="dxa" w:w="1238"/>
          </w:tcPr>
          <w:p>
            <w:pPr>
              <w:spacing w:after="20"/>
              <w:jc w:val="right"/>
            </w:pPr>
            <w:r>
              <w:rPr>
                <w:color w:val="1C3A36"/>
                <w:sz w:val="18"/>
              </w:rPr>
              <w:t>2,424</w:t>
            </w:r>
          </w:p>
        </w:tc>
        <w:tc>
          <w:tcPr>
            <w:tcW w:type="dxa" w:w="1238"/>
          </w:tcPr>
          <w:p>
            <w:pPr>
              <w:spacing w:after="20"/>
              <w:jc w:val="right"/>
            </w:pPr>
            <w:r>
              <w:rPr>
                <w:color w:val="1C3A36"/>
                <w:sz w:val="18"/>
              </w:rPr>
              <w:t>2,487</w:t>
            </w:r>
          </w:p>
        </w:tc>
        <w:tc>
          <w:tcPr>
            <w:tcW w:type="dxa" w:w="1238"/>
          </w:tcPr>
          <w:p>
            <w:pPr>
              <w:spacing w:after="20"/>
              <w:jc w:val="right"/>
            </w:pPr>
            <w:r>
              <w:rPr>
                <w:color w:val="1C3A36"/>
                <w:sz w:val="18"/>
              </w:rPr>
              <w:t>2,656</w:t>
            </w:r>
          </w:p>
        </w:tc>
        <w:tc>
          <w:tcPr>
            <w:tcW w:type="dxa" w:w="1238"/>
          </w:tcPr>
          <w:p>
            <w:pPr>
              <w:spacing w:after="20"/>
              <w:jc w:val="right"/>
            </w:pPr>
            <w:r>
              <w:rPr>
                <w:color w:val="1C3A36"/>
                <w:sz w:val="18"/>
              </w:rPr>
              <w:t>2,838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149</w:t>
            </w:r>
          </w:p>
        </w:tc>
        <w:tc>
          <w:tcPr>
            <w:tcW w:type="dxa" w:w="1238"/>
          </w:tcPr>
          <w:p>
            <w:pPr>
              <w:spacing w:after="20"/>
              <w:jc w:val="right"/>
            </w:pPr>
            <w:r>
              <w:rPr>
                <w:color w:val="1C3A36"/>
                <w:sz w:val="18"/>
              </w:rPr>
              <w:t>165</w:t>
            </w:r>
          </w:p>
        </w:tc>
        <w:tc>
          <w:tcPr>
            <w:tcW w:type="dxa" w:w="1238"/>
          </w:tcPr>
          <w:p>
            <w:pPr>
              <w:spacing w:after="20"/>
              <w:jc w:val="right"/>
            </w:pPr>
            <w:r>
              <w:rPr>
                <w:color w:val="1C3A36"/>
                <w:sz w:val="18"/>
              </w:rPr>
              <w:t>182</w:t>
            </w:r>
          </w:p>
        </w:tc>
        <w:tc>
          <w:tcPr>
            <w:tcW w:type="dxa" w:w="1238"/>
          </w:tcPr>
          <w:p>
            <w:pPr>
              <w:spacing w:after="20"/>
              <w:jc w:val="right"/>
            </w:pPr>
            <w:r>
              <w:rPr>
                <w:color w:val="1C3A36"/>
                <w:sz w:val="18"/>
              </w:rPr>
              <w:t>200</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-346</w:t>
            </w:r>
          </w:p>
        </w:tc>
        <w:tc>
          <w:tcPr>
            <w:tcW w:type="dxa" w:w="1238"/>
          </w:tcPr>
          <w:p>
            <w:pPr>
              <w:spacing w:after="20"/>
              <w:jc w:val="right"/>
            </w:pPr>
            <w:r>
              <w:rPr>
                <w:color w:val="1C3A36"/>
                <w:sz w:val="18"/>
              </w:rPr>
              <w:t>-384</w:t>
            </w:r>
          </w:p>
        </w:tc>
        <w:tc>
          <w:tcPr>
            <w:tcW w:type="dxa" w:w="1238"/>
          </w:tcPr>
          <w:p>
            <w:pPr>
              <w:spacing w:after="20"/>
              <w:jc w:val="right"/>
            </w:pPr>
            <w:r>
              <w:rPr>
                <w:color w:val="1C3A36"/>
                <w:sz w:val="18"/>
              </w:rPr>
              <w:t>-414</w:t>
            </w:r>
          </w:p>
        </w:tc>
        <w:tc>
          <w:tcPr>
            <w:tcW w:type="dxa" w:w="1238"/>
          </w:tcPr>
          <w:p>
            <w:pPr>
              <w:spacing w:after="20"/>
              <w:jc w:val="right"/>
            </w:pPr>
            <w:r>
              <w:rPr>
                <w:color w:val="1C3A36"/>
                <w:sz w:val="18"/>
              </w:rPr>
              <w:t>-440</w:t>
            </w:r>
          </w:p>
        </w:tc>
        <w:tc>
          <w:tcPr>
            <w:tcW w:type="dxa" w:w="1238"/>
          </w:tcPr>
          <w:p>
            <w:pPr>
              <w:spacing w:after="20"/>
              <w:jc w:val="right"/>
            </w:pPr>
            <w:r>
              <w:rPr>
                <w:color w:val="1C3A36"/>
                <w:sz w:val="18"/>
              </w:rPr>
              <w:t>-464</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-47</w:t>
            </w:r>
          </w:p>
        </w:tc>
        <w:tc>
          <w:tcPr>
            <w:tcW w:type="dxa" w:w="1238"/>
          </w:tcPr>
          <w:p>
            <w:pPr>
              <w:spacing w:after="20"/>
              <w:jc w:val="right"/>
            </w:pPr>
            <w:r>
              <w:rPr>
                <w:color w:val="1C3A36"/>
                <w:sz w:val="18"/>
              </w:rPr>
              <w:t>-51</w:t>
            </w:r>
          </w:p>
        </w:tc>
        <w:tc>
          <w:tcPr>
            <w:tcW w:type="dxa" w:w="1238"/>
          </w:tcPr>
          <w:p>
            <w:pPr>
              <w:spacing w:after="20"/>
              <w:jc w:val="right"/>
            </w:pPr>
            <w:r>
              <w:rPr>
                <w:color w:val="1C3A36"/>
                <w:sz w:val="18"/>
              </w:rPr>
              <w:t>-57</w:t>
            </w:r>
          </w:p>
        </w:tc>
        <w:tc>
          <w:tcPr>
            <w:tcW w:type="dxa" w:w="1238"/>
          </w:tcPr>
          <w:p>
            <w:pPr>
              <w:spacing w:after="20"/>
              <w:jc w:val="right"/>
            </w:pPr>
            <w:r>
              <w:rPr>
                <w:color w:val="1C3A36"/>
                <w:sz w:val="18"/>
              </w:rPr>
              <w:t>-65</w:t>
            </w:r>
          </w:p>
        </w:tc>
        <w:tc>
          <w:tcPr>
            <w:tcW w:type="dxa" w:w="1238"/>
          </w:tcPr>
          <w:p>
            <w:pPr>
              <w:spacing w:after="20"/>
              <w:jc w:val="right"/>
            </w:pPr>
            <w:r>
              <w:rPr>
                <w:color w:val="1C3A36"/>
                <w:sz w:val="18"/>
              </w:rPr>
              <w:t>-66</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933</w:t>
            </w:r>
          </w:p>
        </w:tc>
        <w:tc>
          <w:tcPr>
            <w:tcW w:type="dxa" w:w="1238"/>
            <w:shd w:val="clear" w:color="auto" w:fill="F6F1E6"/>
          </w:tcPr>
          <w:p>
            <w:pPr>
              <w:spacing w:after="20"/>
              <w:jc w:val="right"/>
            </w:pPr>
            <w:r>
              <w:rPr>
                <w:b/>
                <w:color w:val="1C3A36"/>
                <w:sz w:val="18"/>
              </w:rPr>
              <w:t>2,139</w:t>
            </w:r>
          </w:p>
        </w:tc>
        <w:tc>
          <w:tcPr>
            <w:tcW w:type="dxa" w:w="1238"/>
            <w:shd w:val="clear" w:color="auto" w:fill="F6F1E6"/>
          </w:tcPr>
          <w:p>
            <w:pPr>
              <w:spacing w:after="20"/>
              <w:jc w:val="right"/>
            </w:pPr>
            <w:r>
              <w:rPr>
                <w:b/>
                <w:color w:val="1C3A36"/>
                <w:sz w:val="18"/>
              </w:rPr>
              <w:t>2,181</w:t>
            </w:r>
          </w:p>
        </w:tc>
        <w:tc>
          <w:tcPr>
            <w:tcW w:type="dxa" w:w="1238"/>
            <w:shd w:val="clear" w:color="auto" w:fill="F6F1E6"/>
          </w:tcPr>
          <w:p>
            <w:pPr>
              <w:spacing w:after="20"/>
              <w:jc w:val="right"/>
            </w:pPr>
            <w:r>
              <w:rPr>
                <w:b/>
                <w:color w:val="1C3A36"/>
                <w:sz w:val="18"/>
              </w:rPr>
              <w:t>2,334</w:t>
            </w:r>
          </w:p>
        </w:tc>
        <w:tc>
          <w:tcPr>
            <w:tcW w:type="dxa" w:w="1238"/>
            <w:shd w:val="clear" w:color="auto" w:fill="F6F1E6"/>
          </w:tcPr>
          <w:p>
            <w:pPr>
              <w:spacing w:after="20"/>
              <w:jc w:val="right"/>
            </w:pPr>
            <w:r>
              <w:rPr>
                <w:b/>
                <w:color w:val="1C3A36"/>
                <w:sz w:val="18"/>
              </w:rPr>
              <w:t>2,509</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-1,918</w:t>
            </w:r>
          </w:p>
        </w:tc>
        <w:tc>
          <w:tcPr>
            <w:tcW w:type="dxa" w:w="1238"/>
          </w:tcPr>
          <w:p>
            <w:pPr>
              <w:spacing w:after="20"/>
              <w:jc w:val="right"/>
            </w:pPr>
            <w:r>
              <w:rPr>
                <w:color w:val="1C3A36"/>
                <w:sz w:val="18"/>
              </w:rPr>
              <w:t>-1,911</w:t>
            </w:r>
          </w:p>
        </w:tc>
        <w:tc>
          <w:tcPr>
            <w:tcW w:type="dxa" w:w="1238"/>
          </w:tcPr>
          <w:p>
            <w:pPr>
              <w:spacing w:after="20"/>
              <w:jc w:val="right"/>
            </w:pPr>
            <w:r>
              <w:rPr>
                <w:color w:val="1C3A36"/>
                <w:sz w:val="18"/>
              </w:rPr>
              <w:t>-1,964</w:t>
            </w:r>
          </w:p>
        </w:tc>
        <w:tc>
          <w:tcPr>
            <w:tcW w:type="dxa" w:w="1238"/>
          </w:tcPr>
          <w:p>
            <w:pPr>
              <w:spacing w:after="20"/>
              <w:jc w:val="right"/>
            </w:pPr>
            <w:r>
              <w:rPr>
                <w:color w:val="1C3A36"/>
                <w:sz w:val="18"/>
              </w:rPr>
              <w:t>-2,082</w:t>
            </w:r>
          </w:p>
        </w:tc>
        <w:tc>
          <w:tcPr>
            <w:tcW w:type="dxa" w:w="1238"/>
          </w:tcPr>
          <w:p>
            <w:pPr>
              <w:spacing w:after="20"/>
              <w:jc w:val="right"/>
            </w:pPr>
            <w:r>
              <w:rPr>
                <w:color w:val="1C3A36"/>
                <w:sz w:val="18"/>
              </w:rPr>
              <w:t>-2,217</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82.10 to EGP 103.87, central EGP 92.99 (+17.7% against the market price of EGP 79.00).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75/t.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63.32 to EGP 76.40, central EGP 69.86 (-11.6% against the market price of EGP 79.00).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59.25 to EGP 79.35, central EGP 67.07 (-15.1% against the market price of EGP 79.00).</w:t>
      </w:r>
    </w:p>
    <w:p>
      <w:pPr>
        <w:spacing w:after="120" w:before="0"/>
      </w:pPr>
      <w:r>
        <w:rPr>
          <w:b w:val="0"/>
          <w:i w:val="0"/>
          <w:color w:val="1C3A36"/>
          <w:sz w:val="21"/>
        </w:rPr>
        <w:t>Starts from the balance sheet. Net cash of EGP 6.4bn is 31% of the market capitalisation and 33% of fair equity value. Terminal return on capital of 12.1% sits below the 19.0%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82.10</w:t>
            </w:r>
          </w:p>
        </w:tc>
        <w:tc>
          <w:tcPr>
            <w:tcW w:type="dxa" w:w="1656"/>
          </w:tcPr>
          <w:p>
            <w:pPr>
              <w:spacing w:after="20"/>
              <w:jc w:val="right"/>
            </w:pPr>
            <w:r>
              <w:rPr>
                <w:color w:val="1C3A36"/>
                <w:sz w:val="18"/>
              </w:rPr>
              <w:t>92.99</w:t>
            </w:r>
          </w:p>
        </w:tc>
        <w:tc>
          <w:tcPr>
            <w:tcW w:type="dxa" w:w="1469"/>
          </w:tcPr>
          <w:p>
            <w:pPr>
              <w:spacing w:after="20"/>
              <w:jc w:val="right"/>
            </w:pPr>
            <w:r>
              <w:rPr>
                <w:color w:val="1C3A36"/>
                <w:sz w:val="18"/>
              </w:rPr>
              <w:t>103.87</w:t>
            </w:r>
          </w:p>
        </w:tc>
        <w:tc>
          <w:tcPr>
            <w:tcW w:type="dxa" w:w="1354"/>
          </w:tcPr>
          <w:p>
            <w:pPr>
              <w:spacing w:after="20"/>
              <w:jc w:val="right"/>
            </w:pPr>
            <w:r>
              <w:rPr>
                <w:color w:val="1C3A36"/>
                <w:sz w:val="18"/>
              </w:rPr>
              <w:t>+17.7%</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63.32</w:t>
            </w:r>
          </w:p>
        </w:tc>
        <w:tc>
          <w:tcPr>
            <w:tcW w:type="dxa" w:w="1656"/>
          </w:tcPr>
          <w:p>
            <w:pPr>
              <w:spacing w:after="20"/>
              <w:jc w:val="right"/>
            </w:pPr>
            <w:r>
              <w:rPr>
                <w:color w:val="1C3A36"/>
                <w:sz w:val="18"/>
              </w:rPr>
              <w:t>69.86</w:t>
            </w:r>
          </w:p>
        </w:tc>
        <w:tc>
          <w:tcPr>
            <w:tcW w:type="dxa" w:w="1469"/>
          </w:tcPr>
          <w:p>
            <w:pPr>
              <w:spacing w:after="20"/>
              <w:jc w:val="right"/>
            </w:pPr>
            <w:r>
              <w:rPr>
                <w:color w:val="1C3A36"/>
                <w:sz w:val="18"/>
              </w:rPr>
              <w:t>76.40</w:t>
            </w:r>
          </w:p>
        </w:tc>
        <w:tc>
          <w:tcPr>
            <w:tcW w:type="dxa" w:w="1354"/>
          </w:tcPr>
          <w:p>
            <w:pPr>
              <w:spacing w:after="20"/>
              <w:jc w:val="right"/>
            </w:pPr>
            <w:r>
              <w:rPr>
                <w:color w:val="1C3A36"/>
                <w:sz w:val="18"/>
              </w:rPr>
              <w:t>-11.6%</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59.25</w:t>
            </w:r>
          </w:p>
        </w:tc>
        <w:tc>
          <w:tcPr>
            <w:tcW w:type="dxa" w:w="1656"/>
          </w:tcPr>
          <w:p>
            <w:pPr>
              <w:spacing w:after="20"/>
              <w:jc w:val="right"/>
            </w:pPr>
            <w:r>
              <w:rPr>
                <w:color w:val="1C3A36"/>
                <w:sz w:val="18"/>
              </w:rPr>
              <w:t>67.07</w:t>
            </w:r>
          </w:p>
        </w:tc>
        <w:tc>
          <w:tcPr>
            <w:tcW w:type="dxa" w:w="1469"/>
          </w:tcPr>
          <w:p>
            <w:pPr>
              <w:spacing w:after="20"/>
              <w:jc w:val="right"/>
            </w:pPr>
            <w:r>
              <w:rPr>
                <w:color w:val="1C3A36"/>
                <w:sz w:val="18"/>
              </w:rPr>
              <w:t>79.35</w:t>
            </w:r>
          </w:p>
        </w:tc>
        <w:tc>
          <w:tcPr>
            <w:tcW w:type="dxa" w:w="1354"/>
          </w:tcPr>
          <w:p>
            <w:pPr>
              <w:spacing w:after="20"/>
              <w:jc w:val="right"/>
            </w:pPr>
            <w:r>
              <w:rPr>
                <w:color w:val="1C3A36"/>
                <w:sz w:val="18"/>
              </w:rPr>
              <w:t>-15.1%</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69.86</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-11.6%</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