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CellMar>
          <w:top w:w="90" w:type="dxa"/>
          <w:left w:w="160" w:type="dxa"/>
          <w:bottom w:w="90" w:type="dxa"/>
          <w:right w:w="160" w:type="dxa"/>
        </w:tblCellMar>
      </w:tblPr>
      <w:tblGrid>
        <w:gridCol w:w="10080"/>
      </w:tblGrid>
      <w:tr>
        <w:tc>
          <w:tcPr>
            <w:tcW w:type="dxa" w:w="10080"/>
            <w:shd w:val="clear" w:color="auto" w:fill="1C3A36"/>
          </w:tcPr>
          <w:p>
            <w:r>
              <w:rPr>
                <w:b/>
                <w:color w:val="FFFFFF"/>
                <w:sz w:val="22"/>
              </w:rPr>
              <w:t>Testahil · Independent Valuation Study — Educational Analysis</w:t>
            </w:r>
            <w:r>
              <w:rPr>
                <w:color w:val="9FB0AC"/>
                <w:sz w:val="19"/>
              </w:rPr>
              <w:t xml:space="preserve">   Not investment advice</w:t>
            </w:r>
          </w:p>
        </w:tc>
      </w:tr>
    </w:tbl>
    <w:p>
      <w:pPr>
        <w:spacing w:after="0"/>
      </w:pPr>
    </w:p>
    <w:p>
      <w:pPr>
        <w:spacing w:after="40" w:before="0"/>
      </w:pPr>
      <w:r>
        <w:rPr>
          <w:b/>
          <w:i w:val="0"/>
          <w:color w:val="1C3A36"/>
          <w:sz w:val="40"/>
        </w:rPr>
        <w:t>Modon Holding PSC — bibliography and input register</w:t>
      </w:r>
    </w:p>
    <w:p>
      <w:pPr>
        <w:spacing w:after="200" w:before="0"/>
      </w:pPr>
      <w:r>
        <w:rPr>
          <w:b w:val="0"/>
          <w:i w:val="0"/>
          <w:color w:val="6E7B77"/>
          <w:sz w:val="21"/>
        </w:rPr>
        <w:t>Companion to the 9 August 2026 valuation study · ADX: MODON</w:t>
      </w:r>
    </w:p>
    <w:p>
      <w:pPr>
        <w:spacing w:after="120" w:before="280"/>
      </w:pPr>
      <w:r>
        <w:rPr>
          <w:b/>
          <w:i w:val="0"/>
          <w:color w:val="1C3A36"/>
          <w:sz w:val="30"/>
        </w:rPr>
        <w:t>1 · Primary documents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4176"/>
        <w:gridCol w:w="1512"/>
        <w:gridCol w:w="2304"/>
        <w:gridCol w:w="2016"/>
      </w:tblGrid>
      <w:tr>
        <w:tc>
          <w:tcPr>
            <w:tcW w:type="dxa" w:w="417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Document</w:t>
            </w:r>
          </w:p>
        </w:tc>
        <w:tc>
          <w:tcPr>
            <w:tcW w:type="dxa" w:w="1512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Period</w:t>
            </w:r>
          </w:p>
        </w:tc>
        <w:tc>
          <w:tcPr>
            <w:tcW w:type="dxa" w:w="230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Retrieved from</w:t>
            </w:r>
          </w:p>
        </w:tc>
        <w:tc>
          <w:tcPr>
            <w:tcW w:type="dxa" w:w="201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Used for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Audited consolidated financial statements, Modon Holding PSC (signed 18 Feb 2026)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FY2025 + FY2024 comparatives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modon.com investor relations (fy-2025-adx.pdf)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all FY2025/FY2024 statement lines, notes 1–36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Audited consolidated financial statements, Modon Holding PSC (scanned original)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FY2024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modon.com investor relations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cross-check only (no text layer; figures from the FY2025 comparatives)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Audited consolidated financial statements, Q Holding PSC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FY2023 + FY2022 comparatives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modon.com investor relations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FY2023/FY2022 statement lines (predecessor perimeter)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Interim condensed consolidated financial statements (reviewed)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H1-2026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modon.com investor relations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study-year actuals; 31-Dec-2025 comparative cross-checks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Annual Report 2025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FY2025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modon.com investor relations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segment KPIs, masterplan disclosures, sales/units, backlog composition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FY2025 results announcement (18 Feb 2026)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FY2025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modon.com media centre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backlog AED 46.0bn, adjusted EBITDA, net-cash definition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ADX disclosure portal copies of the above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various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apigateway.adx.ae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availability confirmed; not needed as the company site served everything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UAE MoF/CBUAE dirham treasury auction results (July 2026)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Jul-2026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wam.ae (state news agency reporting the official auction)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AED sovereign yield 4.48% (Jan-2031 tranche)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Damodaran country risk dataset (ctryprem), January 2026 update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Jan-2026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pages.stern.nyu.edu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UAE Aa2 row: default spread 0.42%, ERP 4.87%; Egypt row for the stress case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ADREC Abu Dhabi Real Estate Market Report 2025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2025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adrec.gov.ae / mediaoffice.abudhabi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market size, growth, off-plan share, foreign-buyer share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Aldar Q4-FY25 results release · Emaar FY2025 release · Emaar Development FY2025 release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FY2025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aldar.com / emaar.com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peer fundamentals (cross-check only)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Turner &amp; Townsend UAE Market Intelligence 2025; MEED/Currie &amp; Brown 2026 outlooks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2025-26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public summaries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construction-cost escalator (~3-4.5%/yr)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CBUAE EIBOR fixings (31 Mar 2026 set)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Mar-2026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secondary mirrors (CBUAE page returned HTTP 403 at this session's network; logged)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6M EIBOR 3.71%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H1-2026 results announcement (29 Jul 2026)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H1-2026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modon.com media centre (verified via official-release syndication)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backlog 65.4bn/95% dev; H1 sales 26bn; net debt 912; unrestricted cash 8.6bn; adj. EBITDA 3.0bn; 3,613 keys/16 hotels — the revision-2 restrike anchors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Damodaran emerging-markets industry betas (betaemerg.xls, saved 07-Jan-2026)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Jan-2026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pages.stern.nyu.edu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industry-beta cross-check (RE Development unlevered 0.45; rejected as primary, receipt in the study)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Uploaded ADX daily price history for MODON (1,577 sessions, Dec-2017 – Aug-2026)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to 7 Aug 2026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user-supplied export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price anchor, volatility model, technical read, beta regression (against the official index below)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FTSE ADX General Index daily history (3,884 sessions, Jan-2011 – Jul-2026)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to 24 Jul 2026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user-supplied export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beta regressor — the stock's own local index; screened for data quality (249.7 sessions a year on ADX's calendar, no impossible moves, no repairs needed)</w:t>
            </w:r>
          </w:p>
        </w:tc>
      </w:tr>
    </w:tbl>
    <w:p>
      <w:pPr>
        <w:spacing w:after="40"/>
      </w:pPr>
    </w:p>
    <w:p>
      <w:pPr>
        <w:spacing w:after="120" w:before="280"/>
      </w:pPr>
      <w:r>
        <w:rPr>
          <w:b/>
          <w:i w:val="0"/>
          <w:color w:val="1C3A36"/>
          <w:sz w:val="30"/>
        </w:rPr>
        <w:t>2 · Negative results — searched, not found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2736"/>
        <w:gridCol w:w="3384"/>
        <w:gridCol w:w="3888"/>
      </w:tblGrid>
      <w:tr>
        <w:tc>
          <w:tcPr>
            <w:tcW w:type="dxa" w:w="27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What was sought</w:t>
            </w:r>
          </w:p>
        </w:tc>
        <w:tc>
          <w:tcPr>
            <w:tcW w:type="dxa" w:w="338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Where</w:t>
            </w:r>
          </w:p>
        </w:tc>
        <w:tc>
          <w:tcPr>
            <w:tcW w:type="dxa" w:w="3888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Outcome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FTSE ADX General Index daily history (beta regressor)</w:t>
            </w:r>
          </w:p>
        </w:tc>
        <w:tc>
          <w:tcPr>
            <w:tcW w:type="dxa" w:w="338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stooq (^adx, ^adi, adsmi — JS challenge); Yahoo Finance FADGI.FGI / FADX15.FGI / ^ADI / ^ADSMI (v8 and v2, rate-limited); investing.com page + API; TradingEconomics chart API; WSJ/MarketWatch charting API; FMP; adx.ae + apigateway.adx.ae</w:t>
            </w:r>
          </w:p>
        </w:tc>
        <w:tc>
          <w:tcPr>
            <w:tcW w:type="dxa" w:w="388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CLOSED at revision 3 — ten sources failed over two sessions and the series was supplied directly by the requester on 10-Aug-2026 (3,884 sessions, 02-Jan-2011 to 24-Jul-2026). Beta is now the tier-1 own-stock regression against the official index; the proxy composite is retired. The failure was not cosmetic: the proxy under-read beta at every window (5y 1.118 vs 1.278 official), because the official index is 1.30x less volatile than the composite at a similar correlation. Logged here because a negative result that is later closed is evidence about how much the substitute cost.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UAE sovereign CDS spread (for a CDS-basis equity premium)</w:t>
            </w:r>
          </w:p>
        </w:tc>
        <w:tc>
          <w:tcPr>
            <w:tcW w:type="dxa" w:w="338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Damodaran ctryprem, January 2026</w:t>
            </w:r>
          </w:p>
        </w:tc>
        <w:tc>
          <w:tcPr>
            <w:tcW w:type="dxa" w:w="388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Published as NA for the UAE — no CDS-basis cost of capital can be built; the rating basis stands alone.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Quantified remaining-performance-obligation (backlog) table inside the audited statements</w:t>
            </w:r>
          </w:p>
        </w:tc>
        <w:tc>
          <w:tcPr>
            <w:tcW w:type="dxa" w:w="338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FY2025 financial statements</w:t>
            </w:r>
          </w:p>
        </w:tc>
        <w:tc>
          <w:tcPr>
            <w:tcW w:type="dxa" w:w="388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Not disclosed at that level in the notes; the AED 46.0bn backlog and its 93% development share come from the results announcement and annual report.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Per-project volumes and prices</w:t>
            </w:r>
          </w:p>
        </w:tc>
        <w:tc>
          <w:tcPr>
            <w:tcW w:type="dxa" w:w="338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annual report, results releases</w:t>
            </w:r>
          </w:p>
        </w:tc>
        <w:tc>
          <w:tcPr>
            <w:tcW w:type="dxa" w:w="388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Disclosed only as totals (units and value by geography); the revenue build therefore stops at segment level with unit-level anchors, and says so.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 dividend policy</w:t>
            </w:r>
          </w:p>
        </w:tc>
        <w:tc>
          <w:tcPr>
            <w:tcW w:type="dxa" w:w="338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FY2025 results release, annual report, statements</w:t>
            </w:r>
          </w:p>
        </w:tc>
        <w:tc>
          <w:tcPr>
            <w:tcW w:type="dxa" w:w="388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None paid to owners in FY2024–25, none proposed — the zero in the model is sourced.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Real-estate/events technology substitution risk</w:t>
            </w:r>
          </w:p>
        </w:tc>
        <w:tc>
          <w:tcPr>
            <w:tcW w:type="dxa" w:w="338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sector press 2025-26</w:t>
            </w:r>
          </w:p>
        </w:tc>
        <w:tc>
          <w:tcPr>
            <w:tcW w:type="dxa" w:w="388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Nothing material found.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Sanctions or supply-chain exposure relevant to the model</w:t>
            </w:r>
          </w:p>
        </w:tc>
        <w:tc>
          <w:tcPr>
            <w:tcW w:type="dxa" w:w="338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sector press 2025-26</w:t>
            </w:r>
          </w:p>
        </w:tc>
        <w:tc>
          <w:tcPr>
            <w:tcW w:type="dxa" w:w="388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Nothing material found.</w:t>
            </w:r>
          </w:p>
        </w:tc>
      </w:tr>
    </w:tbl>
    <w:p>
      <w:pPr>
        <w:spacing w:after="40"/>
      </w:pPr>
    </w:p>
    <w:p>
      <w:pPr>
        <w:spacing w:after="120" w:before="280"/>
      </w:pPr>
      <w:r>
        <w:rPr>
          <w:b/>
          <w:i w:val="0"/>
          <w:color w:val="1C3A36"/>
          <w:sz w:val="30"/>
        </w:rPr>
        <w:t>3 · Judgements — and what would overturn each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2880"/>
        <w:gridCol w:w="3528"/>
        <w:gridCol w:w="3600"/>
      </w:tblGrid>
      <w:tr>
        <w:tc>
          <w:tcPr>
            <w:tcW w:type="dxa" w:w="288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Judgement</w:t>
            </w:r>
          </w:p>
        </w:tc>
        <w:tc>
          <w:tcPr>
            <w:tcW w:type="dxa" w:w="3528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Basis</w:t>
            </w:r>
          </w:p>
        </w:tc>
        <w:tc>
          <w:tcPr>
            <w:tcW w:type="dxa" w:w="36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What would overturn it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Base sales path: post-H1 new sales AED 12bn (H2-26), then 30bn fading to 21bn/yr — every year below the 52bn annualised H1 pace</w:t>
            </w:r>
          </w:p>
        </w:tc>
        <w:tc>
          <w:tcPr>
            <w:tcW w:type="dxa" w:w="352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H1-2026 ACTUAL sales of 26bn; ADREC structural demand; Modon share of Abu Dhabi residential</w:t>
            </w:r>
          </w:p>
        </w:tc>
        <w:tc>
          <w:tcPr>
            <w:tcW w:type="dxa" w:w="3600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two consecutive halves of new sales below AED 8bn, or an Abu Dhabi residential downturn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Development margin glide 41% → 38%</w:t>
            </w:r>
          </w:p>
        </w:tc>
        <w:tc>
          <w:tcPr>
            <w:tcW w:type="dxa" w:w="352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FY2025 43.7% and H1-2026 41.3% actuals; construction escalator vs price escalation</w:t>
            </w:r>
          </w:p>
        </w:tc>
        <w:tc>
          <w:tcPr>
            <w:tcW w:type="dxa" w:w="3600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arms-length land sales clearing below 20% gross margin; tender inflation &gt;6%/yr sustained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Working capital: component build absorbs through FY2028, releases only late</w:t>
            </w:r>
          </w:p>
        </w:tc>
        <w:tc>
          <w:tcPr>
            <w:tcW w:type="dxa" w:w="352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receivable days 440 at both audited anchors; advances cover 1.86x and declining; land-bank draw vs new-WIP add — calibrated at 31-Dec-25 and 30-Jun-26</w:t>
            </w:r>
          </w:p>
        </w:tc>
        <w:tc>
          <w:tcPr>
            <w:tcW w:type="dxa" w:w="3600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FY2026 statements showing receivable days rising above ~470, or advances cover falling faster than assumed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Tax at 15.5% (DMTT floor + foreign uplift)</w:t>
            </w:r>
          </w:p>
        </w:tc>
        <w:tc>
          <w:tcPr>
            <w:tcW w:type="dxa" w:w="352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note 11 (DMTT charged from 2025); H1-2026 effective 15.4%</w:t>
            </w:r>
          </w:p>
        </w:tc>
        <w:tc>
          <w:tcPr>
            <w:tcW w:type="dxa" w:w="3600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 DMTT carve-out, or foreign profits growing beyond ~1/4 of the mix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Beta 1.746 — own-stock weekly regression vs the exchange's published index (FTSE ADX General), thin-trading corrected</w:t>
            </w:r>
          </w:p>
        </w:tc>
        <w:tc>
          <w:tcPr>
            <w:tcW w:type="dxa" w:w="352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253 weekly observations over 4.9 years to 17-Jul-2026: SE 0.397, R² 0.128, 90% range 1.09-2.40, usability gate PASS. The thin-trading correction is worth +0.35 of beta (uncorrected 1.394 on the same weeks) and is warranted by a float with 84.75% in one holder. Long-run-adjusted cross-check 1.497; industry route rejected as primary</w:t>
            </w:r>
          </w:p>
        </w:tc>
        <w:tc>
          <w:tcPr>
            <w:tcW w:type="dxa" w:w="3600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the wide interval resolving low — at the bottom of the 90% range the cash-flow lens is worth materially more; equally, a longer index history or a less thinly traded float could move it either way. This is the study's largest single exposure to one input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Terminal ROIC 8.5% — between the FY2025 clean 6.1% and the model's own forward path (~15%)</w:t>
            </w:r>
          </w:p>
        </w:tc>
        <w:tc>
          <w:tcPr>
            <w:tcW w:type="dxa" w:w="352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at-cost land bank converting to recognised profit; deliberate mean-reversion below the path</w:t>
            </w:r>
          </w:p>
        </w:tc>
        <w:tc>
          <w:tcPr>
            <w:tcW w:type="dxa" w:w="3600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land monetisation stalling: at the clean achieved return the terminal value falls ~16% and the DCF ~11% (computed, not estimated)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No conflict premium in the cost of equity (mid-2026 regional practice was +1pt)</w:t>
            </w:r>
          </w:p>
        </w:tc>
        <w:tc>
          <w:tcPr>
            <w:tcW w:type="dxa" w:w="352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July-2026 AED sovereign auction at ~4bp over US Treasuries</w:t>
            </w:r>
          </w:p>
        </w:tc>
        <w:tc>
          <w:tcPr>
            <w:tcW w:type="dxa" w:w="3600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regional escalation reflected in the sovereign curve — re-add the point (strip shown)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Lens weights 40/20/20/20</w:t>
            </w:r>
          </w:p>
        </w:tc>
        <w:tc>
          <w:tcPr>
            <w:tcW w:type="dxa" w:w="352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contracted backlog justifies a DCF anchor; tight float keeps market lenses honest</w:t>
            </w:r>
          </w:p>
        </w:tc>
        <w:tc>
          <w:tcPr>
            <w:tcW w:type="dxa" w:w="3600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 float event or dividend policy would raise the market lenses' weight</w:t>
            </w:r>
          </w:p>
        </w:tc>
      </w:tr>
    </w:tbl>
    <w:p>
      <w:pPr>
        <w:spacing w:after="40"/>
      </w:pPr>
    </w:p>
    <w:p>
      <w:pPr>
        <w:spacing w:after="120" w:before="280"/>
      </w:pPr>
      <w:r>
        <w:rPr>
          <w:b/>
          <w:i w:val="0"/>
          <w:color w:val="1C3A36"/>
          <w:sz w:val="30"/>
        </w:rPr>
        <w:t>3b · Corrections adopted at revisions 2 and 3 (external audits, re-audit, official index)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1944"/>
        <w:gridCol w:w="2520"/>
        <w:gridCol w:w="2808"/>
        <w:gridCol w:w="2880"/>
      </w:tblGrid>
      <w:tr>
        <w:tc>
          <w:tcPr>
            <w:tcW w:type="dxa" w:w="19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Item</w:t>
            </w:r>
          </w:p>
        </w:tc>
        <w:tc>
          <w:tcPr>
            <w:tcW w:type="dxa" w:w="252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First edition</w:t>
            </w:r>
          </w:p>
        </w:tc>
        <w:tc>
          <w:tcPr>
            <w:tcW w:type="dxa" w:w="2808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Revision 2</w:t>
            </w:r>
          </w:p>
        </w:tc>
        <w:tc>
          <w:tcPr>
            <w:tcW w:type="dxa" w:w="288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Why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Development backlog driver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42,600 (31-Dec-25)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62,130 (30-Jun-26, 65.4bn × 95%)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H1-2026 release superseded the anchor 11 days before publication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FY2026 new development sales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26,000 assumed for the full year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AED 26bn H1 ACTUAL + 12bn H2 assumption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the assumption was already achieved in six months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Bridge cash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gross 12,642 incl. ~4.0bn escrow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available 8,600 (disclosed)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escrow funds completion of the backlog being valued — double-count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Bridge date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31-Dec-2025 rolled 219 days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30-Jun-2026 rolled 38 days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the balance sheet moved against the roll across that window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debt weight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assumed 15%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derived from the model's own FY2030E (~8%)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internal coherence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Working capital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assumed release schedule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component build (days/cover/land-bank), absorbing through FY2028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H1 actuals show absorption while growth runs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D&amp;A driver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4.2% of revenue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3.4% on the average asset base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asset-base charge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Beta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1.0 assumed (tier-3)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1.03 regressed vs panel proxy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evidence obtained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Beta (revision 3)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1.03 vs a self-built composite of covered names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1.746 vs the exchange's published index, thin-trading corrected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the official index was obtained; a composite of covered names is a coverage artefact, not a market. Two separate corrections, both upward: the benchmark swap (+0.36, the index is less volatile than the composite) and the thin-trading correction (+0.35, 84.75% of the float is held by one entity)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Peer table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mixed bases/vintages; multiples irreconcilable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one attributable basis, every multiple = printed numerator/denominator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Aldar backlog was the 9M-2025 vintage; Emaar Dev backlog was the parent's figure; Emaar NP was disclosed, not n/d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Relative lens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silent average of two legs 43% apart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P/E leg only; EV/EBITDA a labelled unanchored cross-check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method disagreement was hidden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NCI in the bridge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book 847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capitalised max(book, 2% of equity value)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consolidated premium implies NCI premium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Expert 3 multiple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6.5x called the "centre"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6.2x = the stated mean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the statistic now matches its label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Expert 1 land mark-up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35% called "half of 67%"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33.7% = exactly half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wording-number mismatch (self-found)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Sensitivity grid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centre cell ≠ base case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rebuilt; centre = base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convention mismatch between grid and base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Prose corrections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"worth about AED 1/sh" (WC); "roughly halves" (terminal); "just below the resistance"; MACD at 2dp; conversion-direction caption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each restated with the computed number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audit findings, all verified</w:t>
            </w:r>
          </w:p>
        </w:tc>
      </w:tr>
    </w:tbl>
    <w:p>
      <w:pPr>
        <w:spacing w:after="40"/>
      </w:pPr>
    </w:p>
    <w:p>
      <w:pPr>
        <w:spacing w:after="120" w:before="280"/>
      </w:pPr>
      <w:r>
        <w:rPr>
          <w:b/>
          <w:i w:val="0"/>
          <w:color w:val="1C3A36"/>
          <w:sz w:val="30"/>
        </w:rPr>
        <w:t>4 · Aggregator-discrepancy notes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1872"/>
        <w:gridCol w:w="3096"/>
        <w:gridCol w:w="2808"/>
        <w:gridCol w:w="2232"/>
      </w:tblGrid>
      <w:tr>
        <w:tc>
          <w:tcPr>
            <w:tcW w:type="dxa" w:w="1872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Item</w:t>
            </w:r>
          </w:p>
        </w:tc>
        <w:tc>
          <w:tcPr>
            <w:tcW w:type="dxa" w:w="309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Primary figure</w:t>
            </w:r>
          </w:p>
        </w:tc>
        <w:tc>
          <w:tcPr>
            <w:tcW w:type="dxa" w:w="2808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Aggregator figure</w:t>
            </w:r>
          </w:p>
        </w:tc>
        <w:tc>
          <w:tcPr>
            <w:tcW w:type="dxa" w:w="2232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Resolution</w:t>
            </w:r>
          </w:p>
        </w:tc>
      </w:tr>
      <w:tr>
        <w:tc>
          <w:tcPr>
            <w:tcW w:type="dxa" w:w="1872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MODON trailing P/E</w:t>
            </w:r>
          </w:p>
        </w:tc>
        <w:tc>
          <w:tcPr>
            <w:tcW w:type="dxa" w:w="309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computed 11.78x (46,262/3,926, group profit basis)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stockanalysis.com shows 11.33x (attributable basis)</w:t>
            </w:r>
          </w:p>
        </w:tc>
        <w:tc>
          <w:tcPr>
            <w:tcW w:type="dxa" w:w="223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both stated; the study quotes its own computed basis and labels it</w:t>
            </w:r>
          </w:p>
        </w:tc>
      </w:tr>
      <w:tr>
        <w:tc>
          <w:tcPr>
            <w:tcW w:type="dxa" w:w="1872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FY2024 net profit</w:t>
            </w:r>
          </w:p>
        </w:tc>
        <w:tc>
          <w:tcPr>
            <w:tcW w:type="dxa" w:w="309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AED 9,389mn as reported (incl. AED 9,192mn bargain gain)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some feeds show ~AED 197mn ("adjusted")</w:t>
            </w:r>
          </w:p>
        </w:tc>
        <w:tc>
          <w:tcPr>
            <w:tcW w:type="dxa" w:w="223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both framings carried throughout (dual-framed)</w:t>
            </w:r>
          </w:p>
        </w:tc>
      </w:tr>
      <w:tr>
        <w:tc>
          <w:tcPr>
            <w:tcW w:type="dxa" w:w="1872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Shares outstanding</w:t>
            </w:r>
          </w:p>
        </w:tc>
        <w:tc>
          <w:tcPr>
            <w:tcW w:type="dxa" w:w="309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16,347,080 thousand (note 23)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16.35bn (rounded)</w:t>
            </w:r>
          </w:p>
        </w:tc>
        <w:tc>
          <w:tcPr>
            <w:tcW w:type="dxa" w:w="223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note 23 figure used everywhere</w:t>
            </w:r>
          </w:p>
        </w:tc>
      </w:tr>
      <w:tr>
        <w:tc>
          <w:tcPr>
            <w:tcW w:type="dxa" w:w="1872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EIBOR</w:t>
            </w:r>
          </w:p>
        </w:tc>
        <w:tc>
          <w:tcPr>
            <w:tcW w:type="dxa" w:w="309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CBUAE official page unreachable (403) this session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mirrors quote 3M 3.66% / 6M 3.71% (31-Mar-2026 set)</w:t>
            </w:r>
          </w:p>
        </w:tc>
        <w:tc>
          <w:tcPr>
            <w:tcW w:type="dxa" w:w="223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mirror figures used, dated, and flagged as secondary</w:t>
            </w:r>
          </w:p>
        </w:tc>
      </w:tr>
    </w:tbl>
    <w:p>
      <w:pPr>
        <w:spacing w:after="40"/>
      </w:pPr>
    </w:p>
    <w:p>
      <w:pPr>
        <w:spacing w:after="120" w:before="280"/>
      </w:pPr>
      <w:r>
        <w:rPr>
          <w:b/>
          <w:i w:val="0"/>
          <w:color w:val="1C3A36"/>
          <w:sz w:val="30"/>
        </w:rPr>
        <w:t>5 · The full input register</w:t>
      </w:r>
    </w:p>
    <w:p>
      <w:pPr>
        <w:spacing w:after="120" w:before="0"/>
      </w:pPr>
      <w:r>
        <w:rPr>
          <w:b w:val="0"/>
          <w:i w:val="0"/>
          <w:color w:val="1C3A36"/>
          <w:sz w:val="19"/>
        </w:rPr>
        <w:t>Every input the model consumes — 214 entries — with value, source and date, grouped by research layer. Values are AED million unless the label says otherwise.</w:t>
      </w:r>
    </w:p>
    <w:p>
      <w:pPr>
        <w:spacing w:after="80" w:before="200"/>
      </w:pPr>
      <w:r>
        <w:rPr>
          <w:b/>
          <w:i w:val="0"/>
          <w:color w:val="1C3A36"/>
          <w:sz w:val="24"/>
        </w:rPr>
        <w:t>Market layer — 1 inputs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1800"/>
        <w:gridCol w:w="1656"/>
        <w:gridCol w:w="5616"/>
        <w:gridCol w:w="1080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Value</w:t>
            </w:r>
          </w:p>
        </w:tc>
        <w:tc>
          <w:tcPr>
            <w:tcW w:type="dxa" w:w="561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Source</w:t>
            </w:r>
          </w:p>
        </w:tc>
        <w:tc>
          <w:tcPr>
            <w:tcW w:type="dxa" w:w="108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Date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spot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2.83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Uploaded ADX daily price history, last close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</w:tbl>
    <w:p>
      <w:pPr>
        <w:spacing w:after="40"/>
      </w:pPr>
    </w:p>
    <w:p>
      <w:pPr>
        <w:spacing w:after="80" w:before="200"/>
      </w:pPr>
      <w:r>
        <w:rPr>
          <w:b/>
          <w:i w:val="0"/>
          <w:color w:val="1C3A36"/>
          <w:sz w:val="24"/>
        </w:rPr>
        <w:t>Company layer — 152 inputs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1800"/>
        <w:gridCol w:w="1656"/>
        <w:gridCol w:w="5616"/>
        <w:gridCol w:w="1080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Value</w:t>
            </w:r>
          </w:p>
        </w:tc>
        <w:tc>
          <w:tcPr>
            <w:tcW w:type="dxa" w:w="561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Source</w:t>
            </w:r>
          </w:p>
        </w:tc>
        <w:tc>
          <w:tcPr>
            <w:tcW w:type="dxa" w:w="108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Date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shares_mn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16,347.08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Share capital note 23: 16,347,080 thousand shares of AED 1 each,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limad_stake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0.8475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L'imad Holding Company PJSC's holding, computed from the disclosed share count; the FY2025 results release rounds the same holding to 84.76% and both readings are published rather than one chosen.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limad_stake_rounded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0.8476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the same holding as the company announcement rounds it, published beside the computed figure rather than instead of it.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rev_fy23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994.293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Consolidated statement of profit or loss (revenue from contracts 473.338 + rental 409.058 + dividends 111.897),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rev_fy24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6,511.182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Consolidated statement of profit or loss,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rev_fy25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13,828.869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Consolidated statement of profit or loss,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gp_fy24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2,316.507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Gross profit,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gp_fy25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5,025.259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Gross profit,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fin_inc_fy25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262.923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Finance income note 9,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fin_cost_fy25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390.389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Finance costs note 10,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fin_inc_fy24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126.776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Finance income,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fin_cost_fy24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283.443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Finance costs,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assoc_fy25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263.592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Share of profit from associates and joint ventures note 17,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assoc_fy24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115.114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Share of profit from associates and JVs,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ebt_fy25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4,421.195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before tax incl. discontinued 0.182,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ebt_fy24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9,488.267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before tax incl. discontinued,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ebt_fy23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653.455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before tax incl. discontinued 4.051,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tax_fy25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495.49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Income tax expense note 11 (incl. DMTT 350.356),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tax_fy24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98.815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Income tax expense,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tax_fy23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79.504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Income tax expense,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pat_fy25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3,925.705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for the year,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pat_fy24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9,389.452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for the year,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pat_fy23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573.951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for the year after tax,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npa_fy25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4,020.102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attributable to owners of the Parent,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npa_fy24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9,423.191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attributable to owners,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npa_fy23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461.269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attributable to owners of the Parent,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bargain_fy24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9,192.243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Bargain purchase gain on acquisition of subsidiaries, note 4.2,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dna_fy25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610.483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Depreciation on PP&amp;E 468.264 + amortisation 76.645 + right-of-use depreciation 65.574, cash flow statement adjustments,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dna_fy24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265.122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Same three lines,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dna_fy23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27.719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Depreciation and amortisation lines, cash flow statement,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ga_fy25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1,547.476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General and administrative expenses note 7,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sm_fy25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266.211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Selling and marketing expenses,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invinc_fy25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338.26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 and other income note 8,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fv_ip_fy25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343.426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Fair value gain on revaluation of investment properties note 16,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fv_fvtpl_fy25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221.952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Change in fair value of investments at FVTPL note 18,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disp_assoc_fy25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169.677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Gain on disposal of an associate note 17(ii),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fin_net_fy23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8.518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Finance income (costs), net, note 10,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assoc_fy23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-0.697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Share of loss from associates and JVs,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adj_ebitda_fy25_release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4,900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Group adjusted EBITDA as the FY2025 results release states it, AED 4.9bn. Modon FY2025 results announcement, modon.com media centre, 18-Feb-2026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adj_ebitda_margin_release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0.352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the adjusted EBITDA margin as the FY2025 results release states it. NOT derivable from this study's registered revenue -- 4,900 over 13,828.869 is 35.4% -- so the company computes it on a base this study does not carry, and the release figure is recorded rather than reconstructed. Modon FY2025 results announcement, modon.com media centre, 18-Feb-2026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impair_fy24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1,024.726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Impairment of PP&amp;E 539.922 + development WIP 406.663 + goodwill 78.141,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ppe_fy25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8,812.397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Property, plant and equipment,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ip_fy25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9,461.777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 properties,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intang_fy25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952.423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Intangible assets and goodwill,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rou_fy25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530.349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Right-of-use assets,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assoc_bv_fy25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3,723.897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Investments in associates and JVs,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finass_fy25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394.305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Investments in financial assets, non-current 339.620 + current 54.685,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inv_fy25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27,297.588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Inventories (land plots 26,610.771 + properties 635.198 + spares 51.619),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dwip_fy25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6,111.794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Development work-in-progress,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recv_fy25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8,703.594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Trade and other receivables, NC + C,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duefr_fy25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7,931.529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Amounts due from related parties, NC + C (incl. Department of Finance 5,998.151),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cash_fy25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12,641.987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Cash and bank balances (incl. escrow 3,311.941 + restricted 735.174),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dta_fy25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469.345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Deferred tax assets,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assets_fy25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87,030.985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Total assets,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eqp_fy25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53,902.504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Equity attributable to owners of the Parent,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nci_fy25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847.48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Non-controlling interests,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loans_fy25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5,136.373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Loans and borrowings, NC 2,943.416 + C 2,192.957, note 29,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rploan_fy25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1,652.713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Loan from a related party, note 30,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lease_fy25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623.766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Lease liabilities, NC + C,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pay_fy25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21,407.874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Trade and other payables, NC + C,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dueto_fy25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1,693.721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Amounts due to related parties, NC + C,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taxpay_fy25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468.089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Income tax payable,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dtl_fy25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1,131.012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Deferred tax liabilities,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eosb_fy25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167.453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Employees' end of service benefits,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liab_fy25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32,281.001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Total liabilities,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ppe_fy24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7,593.191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PP&amp;E,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ip_fy24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9,336.725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 properties,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inv_fy24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29,586.274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Inventories,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dwip_fy24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2,461.672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Development WIP,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recv_fy24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3,529.025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Trade and other receivables,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duefr_fy24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9,314.779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Amounts due from related parties,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cash_fy24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7,009.67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Cash and bank balances,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assets_fy24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75,925.281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Total assets,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eqp_fy24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49,676.408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Equity attributable to owners,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nci_fy24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1,186.183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Non-controlling interests,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loans_fy24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3,711.397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Loans and borrowings, FY2024, note 29,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rploan_fy24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1,652.713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Loan from a related party,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lease_fy24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511.977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Lease liabilities,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pay_fy24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8,248.542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Trade and other payables,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dueto_fy24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9,781.37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Amounts due to related parties,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assoc_bv_fy24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2,242.891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Investments in associates and JVs,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assets_fy23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21,311.081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Total assets,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eqp_fy23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13,769.094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Equity attributable to owners,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nci_fy23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1,149.566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Non-controlling interests,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loans_fy23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1,976.135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Loans and borrowings, NC + C,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cash_fy23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2,259.902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Cash and bank balances,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ip_fy23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7,536.858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 properties,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inv_fy23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2,246.917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Inventory properties,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netcash_company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1,800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Net cash AED 1.8bn on the company definition (available cash incl. qualifying escrow less total debt incl. the related-party loan), Modon FY2025 results announcement, modon.com media centre, 18-Feb-2026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ocf_fy25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3,860.373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Net cash generated from operating activities,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ocf_fy24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3,231.447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Net cash from operating activities,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capex_fy25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1,260.566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Purchases of PP&amp;E 1,072.497 + intangibles 25.513 + investment properties 162.556, cash flow statement,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capex_fy24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1,247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Same three lines,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h1_26_rev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9,188.304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Revenues,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h1_26_gp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3,201.275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Gross profit,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h1_26_pbt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2,601.227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before tax, continuing,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h1_26_pat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2,202.138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for the period,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h1_26_npa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2,162.966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attributable to owners,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h1_26_tax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401.202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Income tax expense,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h1_26_ga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685.124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General and administrative expenses,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h1_26_ocf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-3,921.027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Net cash used in operating activities (receivables and related-party balances built up AED 5.4bn),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h1_26_loans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8,541.685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Loans and borrowings NC 3,821.289 + C 4,720.396,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h1_26_rploan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1,000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Loan from a related party, current,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h1_26_cash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12,303.24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Cash and bank balances,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h1_26_eqp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56,396.629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Equity attributable to owners,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seg_red_rev25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7,403.313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revenues,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seg_aim_rev25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654.658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revenues,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seg_hosp_rev25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791.771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revenues,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seg_ect_rev25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5,008.749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revenues,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seg_oth_rev25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-29.622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Others segment (corporate, eliminations),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seg_red_gp25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3,232.891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gross profit,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seg_aim_gp25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421.083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gross profit,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seg_hosp_gp25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210.893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gross profit,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seg_ect_gp25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1,325.029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gross profit,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seg_oth_gp25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-164.637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Others segment gross loss,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seg_pbt25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red: 2,547.573; aim: 685.082; hosp: -69.15; ect: 1,061.602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profit before tax,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seg_assets25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red: 55,738.581; aim: 11,095.849; hosp: 4,601.757; ect: 14,118.268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assets,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seg_rev24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red: 2,869.294; aim: 578.358; hosp: 569.87; ect: 2,493.66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revenues FY2024, note 33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h1_seg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rev: red: 5,675.275; aim: 360.966; hosp: 388.398; ect: 2,775.402; gp: red: 2,342.842; aim: 258.38; hosp: 105.504; ect: 552.062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table, note 28,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sales25_total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36,300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Total real estate sales AED 36.3bn across 6,358 units, Modon Annual Report 2025,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2026-03-31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units25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6,358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Units sold across launches, Modon Annual Report 2025,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2026-03-31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sales25_uae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29,800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UAE sales (incl. JV) AED 29.8bn across 4,243 units, Modon Annual Report 2025,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2026-03-31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units25_uae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4,243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UAE units, Modon Annual Report 2025,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2026-03-31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sales25_intl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6,600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International sales (Egypt+Spain+JV) AED 6.6bn across 2,115 units, Modon Annual Report 2025,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2026-03-31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units25_intl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2,115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International units, Modon Annual Report 2025,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2026-03-31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backlog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46,000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Revenue backlog AED 46.0bn, 93% development sales, Modon FY2025 results announcement, modon.com media centre, 18-Feb-2026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dev_backlog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42,600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Development backlog (UAE + Egypt) AED 42.6bn, Modon Annual Report 2025,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2026-03-31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h1_backlog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65,400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Group revenue backlog AED 65.4bn, doubling y/y, +42% vs FY2025; Modon H1-2026 results announcement, modon.com media centre, 29-Jul-2026 (verified via Zawya/WAM syndication of the official release)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2026-07-29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h1_dev_share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0.95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Development projects across the UAE and Egypt = 95% of the total backlog; Modon H1-2026 results announcement, modon.com media centre, 29-Jul-2026 (verified via Zawya/WAM syndication of the official release)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2026-07-29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h1_sales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26,000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H1-2026 real estate sales AED 26bn (2.6x H1-2025), incl. AED 23bn Abu Dhabi; Hudayriyat Golf Estates AED 13bn within days; Modon H1-2026 results announcement, modon.com media centre, 29-Jul-2026 (verified via Zawya/WAM syndication of the official release)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2026-07-29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h1_netdebt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912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Net debt AED 912mn (0.02x equity) at 30-Jun-2026, company definition; Modon H1-2026 results announcement, modon.com media centre, 29-Jul-2026 (verified via Zawya/WAM syndication of the official release)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2026-07-29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h1_avail_cash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8,600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AED 8.6bn of unrestricted cash plus AED 1.5bn undrawn committed facilities; Modon H1-2026 results announcement, modon.com media centre, 29-Jul-2026 (verified via Zawya/WAM syndication of the official release)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2026-07-29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h1_adj_ebitda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2,995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H1-2026 Group Adjusted EBITDA AED 3.0bn, margin 32.6% (32.6% x 9,188 = 2,995); Modon H1-2026 results announcement, modon.com media centre, 29-Jul-2026 (verified via Zawya/WAM syndication of the official release)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2026-07-29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h1_keys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3,613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Hospitality portfolio 3,613 keys across 16 owned, operated and JV hotels (narrower perimeter than the FY2025 report's 7,137 keys across 27 hotels incl. managed); Modon H1-2026 results announcement, modon.com media centre, 29-Jul-2026 (verified via Zawya/WAM syndication of the official release)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2026-07-29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h1_recurring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3,500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Recurring revenues +22% y/y to AED 3.5bn = 38% of Group revenues; Modon H1-2026 results announcement, modon.com media centre, 29-Jul-2026 (verified via Zawya/WAM syndication of the official release)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2026-07-29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h1_lease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644.799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Lease liabilities NC + C,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h1_assoc_bv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2,826.454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Investments in associates and JVs,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h1_finass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392.972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Investments in financial assets, NC + C,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h1_nci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922.342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Non-controlling interests,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h1_recv_total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22,155.68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Trade and other receivables (NC+C) + amounts due from related parties (NC+C), 30-Jun-2026,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h1_inv_dwip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34,087.289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Inventories + development work-in-progress, 30-Jun-2026,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h1_pay_total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22,289.32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Trade and other payables (NC+C, incl. customer advances/contract liabilities) + amounts due to related parties, 30-Jun-2026,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asset_base_30jun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19,736.134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Depreciable base at 30-Jun-2026: PP&amp;E 8,702.928 + investment properties 9,496.084 + right-of-use 529.636 + intangibles 1,007.486,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beta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1.746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TIER 1 — own-stock weekly regression against the PUBLISHED INDEX OF THE EXCHANGE THE STOCK IS LISTED ON (FTSE ADX General, raw_indices/AE/FADGI.csv, as of 2026-07-24), produced by the house regression module and passed through the beta-provenance gate, not by a study-local script. Dimson lead-lag corrected, which matters here: 84.75% of the shares sit with a single holder, and non-synchronous trading biases a naive beta DOWNWARD — the correction is worth +0.352 of beta (1.394 naive on the same weeks). Diagnostics: SE 0.397, R2 0.128, n 253, 90% CI [1.092, 2.399], usability gate PASS. Blume cross-check 1.497. THE CONFIDENCE INTERVAL IS WIDE — this beta is quoted with its interval everywhere it supports a conclusion, never as a precise point. SUPERSEDES both earlier regressors: revision 2 used an equal-weight composite of the house UAE library (1.03 adopted) and an intermediate revision-3 pass used a study-local naive regression on the official series (1.278). A constituent composite is not a substitute and not a tier. The Damodaran EM industry route (business-weighted unlevered 0.50 -&gt; relevered 0.56-0.59) stays REJECTED as a primary: the 786-firm Real-Estate-Development row is dominated by highly-levered Chinese developers (D/E 1.97) unrepresentative of a UAE state platform; it is retained as a lower-bound cross-check. Sensitised in steps of one standard error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2026-08-10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beta_record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beta: 1.7458; se: 0.3972; r2: 0.1285; n: 253; ci90: 1.0924 · 2.3991; usable: 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Full beta provenance record as returned by the house regression module and accepted by the beta-provenance gate: regressor, as-of date, diagnostics, confidence interval and conformance flag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2026-08-10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beta_naive_same_weeks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beta: 1.3943; se: 0.2383; r2: 0.1192; n: 255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The same regression WITHOUT the Dimson thin-trading correction, on the same weeks, so the correction is visible rather than buried in a default argument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2026-08-10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lease_int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Annual interest on lease liabilities (H1-2026 actual ~18 per half), now an explicit input rather than an embedded numeral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fgn_share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0.1708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Revenue OUTSIDE the UAE, FY2025 audited geographic split, note 5 (11,466.934 within / 2,361.935 outside) — recognised REVENUE, not contracted sales; one external audit asserted this split is unpublished; it is note 5 of the audited statements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recurring_base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6,455.178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Recurring/operating legs base = FY2025 AIM + Hospitality + ECT segment revenue (6,455.178), grown 15% to mid-cycle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land_bv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26,610.771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Land plots at cost, note 19,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dwip_bv_h1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6,487.697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Development WIP at 30-Jun-2026,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rp_book_h1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10,755.509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Amounts due from related parties NC + C, 30-Jun-2026,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</w:tbl>
    <w:p>
      <w:pPr>
        <w:spacing w:after="40"/>
      </w:pPr>
    </w:p>
    <w:p>
      <w:pPr>
        <w:spacing w:after="80" w:before="200"/>
      </w:pPr>
      <w:r>
        <w:rPr>
          <w:b/>
          <w:i w:val="0"/>
          <w:color w:val="1C3A36"/>
          <w:sz w:val="24"/>
        </w:rPr>
        <w:t>Company/House layer — 2 inputs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1800"/>
        <w:gridCol w:w="1656"/>
        <w:gridCol w:w="5616"/>
        <w:gridCol w:w="1080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Value</w:t>
            </w:r>
          </w:p>
        </w:tc>
        <w:tc>
          <w:tcPr>
            <w:tcW w:type="dxa" w:w="561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Source</w:t>
            </w:r>
          </w:p>
        </w:tc>
        <w:tc>
          <w:tcPr>
            <w:tcW w:type="dxa" w:w="108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Date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gp_fy23_house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599.559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House proxy: revenue less contract costs 394.734 (P&amp;L by nature carries no gross-profit line),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kd_margin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0.0165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Blended forward margin over 6M EIBOR from the note-29 tranche table (+0.60% newest large AED tranche to +2.5% construction; SONIA +0.95-2.05% GBP)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</w:tbl>
    <w:p>
      <w:pPr>
        <w:spacing w:after="40"/>
      </w:pPr>
    </w:p>
    <w:p>
      <w:pPr>
        <w:spacing w:after="80" w:before="200"/>
      </w:pPr>
      <w:r>
        <w:rPr>
          <w:b/>
          <w:i w:val="0"/>
          <w:color w:val="1C3A36"/>
          <w:sz w:val="24"/>
        </w:rPr>
        <w:t>Country layer — 7 inputs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1800"/>
        <w:gridCol w:w="1656"/>
        <w:gridCol w:w="5616"/>
        <w:gridCol w:w="1080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Value</w:t>
            </w:r>
          </w:p>
        </w:tc>
        <w:tc>
          <w:tcPr>
            <w:tcW w:type="dxa" w:w="561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Source</w:t>
            </w:r>
          </w:p>
        </w:tc>
        <w:tc>
          <w:tcPr>
            <w:tcW w:type="dxa" w:w="108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Date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0.0448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AED sovereign anchor: Jan-2031 dirham T-Bond, 4.48% YTM, July-2026 auction, ~4bp over UST (UAE MoF via WAM) — the longest liquid AED government tranche; the tenor choice (4.4y vs a perpetual stream) is stated as a limitation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2026-07-30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sov_spread_rating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0.0042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Damodaran adjusted default spread, UAE (Aa2), rating basis, January-2026 ctryprem (the July-2026 refresh carries the same UAE parameters per independent verification; vintage stated)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2026-01-05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erp_rating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0.0487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Damodaran total ERP, UAE row, rating basis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2026-01-05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erp_cds_na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NA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No UAE sovereign CDS row is published — the CDS-basis WACC cannot be built; rating basis stands alone, stated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2026-01-05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eibor6m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0.0371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EIBOR 6M 3.71% (31-Mar-2026 published set; the CBUAE page again refused this session — fixing retained WITH ITS DATE; a 25bp EIBOR move is ~3bp of WACC)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2026-03-31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cash_yield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0.035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Yield on cash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2026-06-17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egy_crp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0.0971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Damodaran CRP, Egypt (Caa1), Jan-2026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2026-01-05</w:t>
            </w:r>
          </w:p>
        </w:tc>
      </w:tr>
    </w:tbl>
    <w:p>
      <w:pPr>
        <w:spacing w:after="40"/>
      </w:pPr>
    </w:p>
    <w:p>
      <w:pPr>
        <w:spacing w:after="80" w:before="200"/>
      </w:pPr>
      <w:r>
        <w:rPr>
          <w:b/>
          <w:i w:val="0"/>
          <w:color w:val="1C3A36"/>
          <w:sz w:val="24"/>
        </w:rPr>
        <w:t>Industry layer — 2 inputs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1800"/>
        <w:gridCol w:w="1656"/>
        <w:gridCol w:w="5616"/>
        <w:gridCol w:w="1080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Value</w:t>
            </w:r>
          </w:p>
        </w:tc>
        <w:tc>
          <w:tcPr>
            <w:tcW w:type="dxa" w:w="561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Source</w:t>
            </w:r>
          </w:p>
        </w:tc>
        <w:tc>
          <w:tcPr>
            <w:tcW w:type="dxa" w:w="108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Date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beta_industry_check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unlevered_weighted: 0.501; relevered_fy25: 0.563; relevered_h1: 0.588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Damodaran January-2026 EM industry betas (betaemerg.xls, saved 07-Jan-2026): RE Development unlevered 0.452 (cash-corrected, 786 firms, D/E 1.97), RE Operations 0.590, Hotel/Gaming 0.580; gross-profit-weighted and relevered at Modon's structure. Cross-check only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2026-01-07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peers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ALDAR: name: Aldar Properties (ADX); spot: 7.78; shares_mn: 7,862.6; mcap: 61,171; np_attr: 7,548; eps: 0.96; EMAAR: name: Emaar Properties (DFM); spot: 11.5; shares_mn: 8,838; mcap: 101,650; np_attr: 17,599; eps: None; EMAARDEV: name: Emaar Development (DFM); spot: 13.38; shares_mn: 4,000; mcap: 53,520; np_attr: 11,316; eps: None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Peer table REBUILT at revision 2 on one attributable-earnings basis from the peers' own audited filings/releases (figures per the external audits' primary-source checks, adopted after verification); market caps from prices at 07-Aug-2026. Cross-check only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</w:tbl>
    <w:p>
      <w:pPr>
        <w:spacing w:after="40"/>
      </w:pPr>
    </w:p>
    <w:p>
      <w:pPr>
        <w:spacing w:after="80" w:before="200"/>
      </w:pPr>
      <w:r>
        <w:rPr>
          <w:b/>
          <w:i w:val="0"/>
          <w:color w:val="1C3A36"/>
          <w:sz w:val="24"/>
        </w:rPr>
        <w:t>House layer — 50 inputs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1800"/>
        <w:gridCol w:w="1656"/>
        <w:gridCol w:w="5616"/>
        <w:gridCol w:w="1080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Value</w:t>
            </w:r>
          </w:p>
        </w:tc>
        <w:tc>
          <w:tcPr>
            <w:tcW w:type="dxa" w:w="561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Source</w:t>
            </w:r>
          </w:p>
        </w:tc>
        <w:tc>
          <w:tcPr>
            <w:tcW w:type="dxa" w:w="108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Date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ke_rev2_published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0.0908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Cost of equity as revision 2 published it, on the composite-index beta this study has since replaced. Superseded; recorded so the change can be stated without typing the old number.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2026-08-10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central_rev2_published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3.38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The weighted central as revision 2 published it, on the composite-index beta. Superseded; recorded for the same reason.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2026-08-10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conv_path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0.105 · 0.25 · 0.28 · 0.3 · 0.32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Backlog conversion on opening development backlog (H2-2026 is a half-year rate). Anchor: H1-2026 realised development revenue ex-land 4,237 = 9.9% of the 42,600 opening — a ~20-23% annualised pace on a growing base, stepping up as the record construction book mobilises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new_sales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12,000 · 30,000 · 26,000 · 23,000 · 21,000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New development sales, BASE path, POST-H1 (the AED 26bn H1-2026 actual is already inside the opening backlog): H2-2026 12bn (no assumed repeat of the 13bn Golf Estates launch), then fading 30-&gt;21bn/yr — still below the 52bn annualised H1 run-rate throughout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land_rev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700 · 1,400 · 1,300 · 1,200 · 1,100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Point-in-time land and plot sales: H1-2026 actual was 1,438; tapering path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red_margin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0.41 · 0.4 · 0.39 · 0.385 · 0.38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RED gross margin: FY2025 43.7%, H1-2026 actual 41.3%; glides to 38% as related-party land mix fades and the ~4% tender-price escalator runs ahead of ~2% realised-price escalation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aim_growth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None · 0.09 · 0.085 · 0.08 · 0.08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AIM revenue growth off the FY2026E base; H2-2026E set directly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aim_h2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385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AIM H2-2026E revenue: H1 actual 361 with contracted occupancy 96% and GLA additions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aim_margin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0.68 · 0.66 · 0.65 · 0.64 · 0.64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AIM gross margin: FY2025 64.3%, H1-2026 actual 71.6%; held near the blend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hosp_growth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None · 0.07 · 0.07 · 0.06 · 0.06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Hospitality growth off FY2026E; H2 set directly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hosp_h2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452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Hospitality H2-2026E: H1 actual 388 plus the winter-season weighting (H2-2025 was 52% of the year)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hosp_margin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0.29 · 0.28 · 0.29 · 0.3 · 0.3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Hospitality gross margin: H1-2026 actual 27.2%, recovering to 30%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ect_growth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None · 0.045 · 0.043 · 0.041 · 0.039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ECT growth off FY2026E; H2 set directly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ect_h2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3,000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ECT H2-2026E: H1 actual 2,775 plus the H2-weighted events season (ADNEC calendar; Arena full-period)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ect_margin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0.29 · 0.27 · 0.275 · 0.28 · 0.28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ECT gross margin: H1-2026 actual 19.9% (temporary-infrastructure mix), recovering toward the FY2025 26.5% as the events season carries H2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oth_rev_f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-30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Others / eliminations, full-year rate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oth_gp_f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-120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Others gross loss, full-year rate (H1-2026 actual -57.5)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ga_pct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0.083 · 0.088 · 0.087 · 0.086 · 0.085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G&amp;A / revenue. Anchors stated: FY2025 11.19%; H1-2026 headline 7.46% flattered by a -77.9 ECL reversal — ex-reversal 8.30%. The path glides 8.3% -&gt; 8.5-8.8%, i.e. BELOW FY2025 on realised operating leverage but ABOVE the flattered H1 print. The first edition's conservatism claim is withdrawn: this is a generous assumption relative to FY2025 and is now labelled as such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sm_pct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0.017 · 0.018 · 0.017 · 0.017 · 0.016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S&amp;M / revenue: FY2025 1.93%, H1-2026 1.64%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invinc_f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80 · 165 · 170 · 175 · 180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 and other income, recurring component (H1-2026 actual 71 incl. one-offs)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assoc_f_path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95 · 210 · 227 · 245 · 264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Associate/JV income: H1-2026 actual 88.3 post the Q2 JV disposal; ~8%/yr thereafter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dna_rate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0.034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Depreciation &amp; amortisation as a rate on the AVERAGE depreciable asset base (PP&amp;E + investment properties + right-of-use + intangibles): FY2025 charge 610.5 on an average base of ~17,940 = 3.4%. Respecified off the asset base at revision 2 — the first edition drove D&amp;A off revenue, a mis-specified driver both external audits flagged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capex_f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700 · 1,500 · 1,550 · 1,600 · 1,650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Capital expenditure (H2 stub then annual): H1-2026 actual 312.5 (PP&amp;E 206.9 + intangibles 63.5 + IP 42.0); rising with Olympia and venue pipeline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tax_f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0.155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Effective tax: DMTT 15% floor + foreign uplift; H1-2026 actual 15.4%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nci_pct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NCI share of profit: H1-2026 actual 1.8%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dso_path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440 · 430 · 410 · 390 · 370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Receivable days (trade + contract + related-party receivables over revenue): FY2025 439 days, 30-Jun-2026 440 days — held flat through 2026 then declining as Department-of-Finance balances collect. THE collection caveat in one driver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inv_addition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New-project WIP added per dirham of new development sales (mobilisation, infrastructure)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inv_consumption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Share of RED direct costs drawn from the existing land bank / WIP (land content of cost of sales)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pay_cover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1.86 · 1.7 · 1.55 · 1.45 · 1.4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Trade payables + customer advances + related-party payables as a multiple of annual direct costs: FY2025 2.62x (advance-heavy), 30-Jun-2026 1.86x; declining as handovers recognise advances. This is the presale-funding mechanism: customers, not the balance sheet, fund construction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beta_retired_regressors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rev2_proxy_composite: 1.03; rev3_naive_on_official: 1.278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Retired regressors, kept so the swap can be priced: the revision-2 equal-weight composite of the house UAE library, and the intermediate study-local naive regression on the official series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2026-08-10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beta_rev2_published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1.03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The beta PUBLISHED at revision 2 (proxy composite). Registered so the correction can be stated against what readers actually saw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g_term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0.025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Terminal growth 2.5%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roic_term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0.085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Terminal ROIC 8.5% — deliberately BELOW the model's own forecast path (which reaches ~15% by FY2030E as invested capital shrinks while NOPAT grows): a mean-reversion margin of safety on the block that carries ~70% of EV, and above the FY2025 clean achieved 6.1% because the at-cost land bank converts. Both anchors stated; the step-down is a choice, priced in sensitivity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debt_path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10,300 · 10,500 · 9,700 · 8,800 · 7,900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Gross debt path incl. related-party loan from the 30-Jun-2026 actual 9,542: construction peak then amortising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wd_term_derived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0.0802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Terminal debt weight DERIVED from the model's own FY2030E balance sheet: gross debt / (gross debt + book equity). Assumed-15% retired at revision 2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anchor_days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Days from the 30-Jun-2026 valuation date (reviewed balance sheet) to the 7-Aug-2026 price anchor — the first edition's 219-day accretion from 31-Dec-2025 is retired with the restrike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new_sales_runoff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8,000 · 15,000 · 11,000 · 9,000 · 8,000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RUN-OFF path, post-H1: launches halve from the realised pace and fade — now a stress reading, not a live alternative: the H1-2026 disclosure (26bn in six months) falsified the first edition's run-off premise as a central scenario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red_margin_runoff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0.4 · 0.385 · 0.37 · 0.36 · 0.35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Run-off margins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new_sales_bull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15,000 · 34,000 · 34,000 · 34,000 · 34,000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GROWTH-HOLD path: sales hold near the realised H1-2026 annualised pace less the launch effect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red_margin_bull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0.42 · 0.42 · 0.41 · 0.41 · 0.4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Growth-hold margins (published in full at revision 2 — the first edition left this vector undisclosed)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pe_just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7.5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Justified P/E on FY2026E attributable profit: peer attributable trailing set 4.7x / 5.8x / 8.1x (EmaarDev / Emaar / Aldar). 7.5x = parity-minus with the sector leader: the growth and recurring-income premium and the 15%-float/related-party discount are treated as offsetting, stated as a judgement. (The first edition's 8.0x was described as a premium to Aldar off a broken peer table)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ev_ebitda_just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EV/EBITDA 7.0x — HOUSE JUDGEMENT WITHOUT A PEER ANCHOR (no peer EV/EBITDA is computable from reachable disclosures: peer net debt not held). Shown as a cross-check only; EXCLUDED from the lens average at revision 2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norm_sales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20,000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Through-cycle development sales raised 18bn -&gt; 20bn: the realised H1-2026 26bn lifts the cycle evidence; still far below the 38bn FY2026E in-year pace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norm_margin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0.115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Through-cycle net margin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norm_pe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8.5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Through-cycle P/E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roe_sust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0.075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Sustainable ROE 7.5%. Receipts, one cleaning only: mechanical FY2025 clean ROE (ex the 735.1 of fair-value/disposal gains, tax-effected) = 6.6%; the model's own forward attributable ROE path runs 7.8% -&gt; 9.8%. 7.5% sits between the two, below the forward path — a forward-sustainable judgement, not a historical cleaning (the first edition conflated the two)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lens_weights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dcf: 0.4; relative: 0.2; normalized: 0.2; book: 0.2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Weights unchanged: DCF primary on backlog visibility; three market lenses carry 60% jointly — that structure, not an additional holdco discount, is how float/governance friction is priced (a 30% haircut on top would double-count it; the reading is still shown in section 4)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e1_land_uplift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0.337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Expert 1 land mark-up = exactly HALF the realised 67.4% related-party land-sale gross margin (1 - 818.033/2,512.837), as the arms-length haircut — the first edition said "half" but used 35%; aligned at revision 2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e2_rp_haircut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0.25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Expert 2 haircut on the related-party receivable book (30-Jun-2026: 10,756 gross due-from)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e3_pe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6.2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Expert 3 multiple = the arithmetic MEAN of the rebuilt attributable peer set (4.73 + 5.78 + 8.10)/3 = 6.20x — the first edition claimed "centre of the set" but used 6.5x; the statistic is now the one named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</w:tbl>
    <w:p>
      <w:pPr>
        <w:spacing w:after="40"/>
      </w:pPr>
    </w:p>
    <w:p>
      <w:pPr>
        <w:spacing w:after="120" w:before="280"/>
      </w:pPr>
      <w:r>
        <w:rPr>
          <w:b/>
          <w:i w:val="0"/>
          <w:color w:val="1C3A36"/>
          <w:sz w:val="30"/>
        </w:rPr>
        <w:t>Disclosure</w:t>
      </w:r>
    </w:p>
    <w:p>
      <w:pPr>
        <w:spacing w:after="120" w:before="0"/>
      </w:pPr>
      <w:r>
        <w:rPr>
          <w:b w:val="0"/>
          <w:i w:val="0"/>
          <w:color w:val="1C3A36"/>
          <w:sz w:val="18"/>
        </w:rPr>
        <w:t>Companion to the Modon Holding valuation study of 9 August 2026. Educational analysis; not investment advice. © Testahil 2026.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4" w:lineRule="auto"/>
    </w:pPr>
    <w:rPr>
      <w:rFonts w:ascii="Calibri" w:hAnsi="Calibri"/>
      <w:color w:val="1C3A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