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8 August 2026  ·  Reporting and valuation currency: Egyptian pounds  ·  Anchor price EGP 13.98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0.00 and EGP 7.34 a share. It trades at EGP 13.98. The gap is not a rounding difference and it does not close under any single assumption: the cheapest lens to satisfy — a peer multiple on forward operating profit — still lands at EGP 7.34, and that lens reaches its answer only by never asking what the capital programme does to cash.</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7.9%,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24.4% to 19.8%, terminal growth 5.0%</w:t>
            </w:r>
          </w:p>
        </w:tc>
        <w:tc>
          <w:tcPr>
            <w:tcW w:type="dxa" w:w="1512"/>
          </w:tcPr>
          <w:p>
            <w:pPr>
              <w:spacing w:after="20"/>
              <w:jc w:val="right"/>
            </w:pPr>
            <w:r>
              <w:rPr>
                <w:color w:val="1C3A36"/>
                <w:sz w:val="15"/>
              </w:rPr>
              <w:t>-2.45 to 1.78</w:t>
            </w:r>
          </w:p>
        </w:tc>
        <w:tc>
          <w:tcPr>
            <w:tcW w:type="dxa" w:w="1008"/>
          </w:tcPr>
          <w:p>
            <w:pPr>
              <w:spacing w:after="20"/>
              <w:jc w:val="right"/>
            </w:pPr>
            <w:r>
              <w:rPr>
                <w:color w:val="1C3A36"/>
                <w:sz w:val="15"/>
              </w:rPr>
              <w:t>-0.67</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1.45 to 3.40</w:t>
            </w:r>
          </w:p>
        </w:tc>
        <w:tc>
          <w:tcPr>
            <w:tcW w:type="dxa" w:w="1008"/>
          </w:tcPr>
          <w:p>
            <w:pPr>
              <w:spacing w:after="20"/>
              <w:jc w:val="right"/>
            </w:pPr>
            <w:r>
              <w:rPr>
                <w:color w:val="1C3A36"/>
                <w:sz w:val="15"/>
              </w:rPr>
              <w:t>3.34</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3.0x to 6.0x, the Egyptian industrial range, with 4.5x central</w:t>
            </w:r>
          </w:p>
        </w:tc>
        <w:tc>
          <w:tcPr>
            <w:tcW w:type="dxa" w:w="1512"/>
          </w:tcPr>
          <w:p>
            <w:pPr>
              <w:spacing w:after="20"/>
              <w:jc w:val="right"/>
            </w:pPr>
            <w:r>
              <w:rPr>
                <w:color w:val="1C3A36"/>
                <w:sz w:val="15"/>
              </w:rPr>
              <w:t>3.80 to 10.88</w:t>
            </w:r>
          </w:p>
        </w:tc>
        <w:tc>
          <w:tcPr>
            <w:tcW w:type="dxa" w:w="1008"/>
          </w:tcPr>
          <w:p>
            <w:pPr>
              <w:spacing w:after="20"/>
              <w:jc w:val="right"/>
            </w:pPr>
            <w:r>
              <w:rPr>
                <w:color w:val="1C3A36"/>
                <w:sz w:val="15"/>
              </w:rPr>
              <w:t>7.34</w:t>
            </w:r>
          </w:p>
        </w:tc>
        <w:tc>
          <w:tcPr>
            <w:tcW w:type="dxa" w:w="936"/>
          </w:tcPr>
          <w:p>
            <w:pPr>
              <w:spacing w:after="20"/>
              <w:jc w:val="right"/>
            </w:pPr>
            <w:r>
              <w:rPr>
                <w:color w:val="1C3A36"/>
                <w:sz w:val="15"/>
              </w:rPr>
              <w:t>-47%</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1,400m at 8x to 12x, 10x central</w:t>
            </w:r>
          </w:p>
        </w:tc>
        <w:tc>
          <w:tcPr>
            <w:tcW w:type="dxa" w:w="1512"/>
          </w:tcPr>
          <w:p>
            <w:pPr>
              <w:spacing w:after="20"/>
              <w:jc w:val="right"/>
            </w:pPr>
            <w:r>
              <w:rPr>
                <w:color w:val="1C3A36"/>
                <w:sz w:val="15"/>
              </w:rPr>
              <w:t>2.37 to 5.19</w:t>
            </w:r>
          </w:p>
        </w:tc>
        <w:tc>
          <w:tcPr>
            <w:tcW w:type="dxa" w:w="1008"/>
          </w:tcPr>
          <w:p>
            <w:pPr>
              <w:spacing w:after="20"/>
              <w:jc w:val="right"/>
            </w:pPr>
            <w:r>
              <w:rPr>
                <w:color w:val="1C3A36"/>
                <w:sz w:val="15"/>
              </w:rPr>
              <w:t>3.78</w:t>
            </w:r>
          </w:p>
        </w:tc>
        <w:tc>
          <w:tcPr>
            <w:tcW w:type="dxa" w:w="936"/>
          </w:tcPr>
          <w:p>
            <w:pPr>
              <w:spacing w:after="20"/>
              <w:jc w:val="right"/>
            </w:pPr>
            <w:r>
              <w:rPr>
                <w:color w:val="1C3A36"/>
                <w:sz w:val="15"/>
              </w:rPr>
              <w:t>-73%</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0.58</w:t>
            </w:r>
          </w:p>
        </w:tc>
        <w:tc>
          <w:tcPr>
            <w:tcW w:type="dxa" w:w="936"/>
          </w:tcPr>
          <w:p>
            <w:pPr>
              <w:spacing w:after="20"/>
              <w:jc w:val="right"/>
            </w:pPr>
            <w:r>
              <w:rPr>
                <w:color w:val="1C3A36"/>
                <w:sz w:val="15"/>
              </w:rPr>
              <w:t>-96%</w:t>
            </w:r>
          </w:p>
        </w:tc>
      </w:tr>
      <w:tr>
        <w:trPr>
          <w:cantSplit/>
        </w:trPr>
        <w:tc>
          <w:tcPr>
            <w:tcW w:type="dxa" w:w="2232"/>
            <w:shd w:val="clear" w:color="auto" w:fill="F6F1E6"/>
          </w:tcPr>
          <w:p>
            <w:pPr>
              <w:spacing w:after="20"/>
            </w:pPr>
            <w:r>
              <w:rPr>
                <w:b/>
                <w:color w:val="1C3A36"/>
                <w:sz w:val="15"/>
              </w:rPr>
              <w:t>THE FIELD, all four lenses</w:t>
            </w:r>
          </w:p>
        </w:tc>
        <w:tc>
          <w:tcPr>
            <w:tcW w:type="dxa" w:w="3960"/>
            <w:shd w:val="clear" w:color="auto" w:fill="F6F1E6"/>
          </w:tcPr>
          <w:p>
            <w:pPr>
              <w:spacing w:after="20"/>
            </w:pPr>
            <w:r>
              <w:rPr>
                <w:b/>
                <w:color w:val="1C3A36"/>
                <w:sz w:val="15"/>
              </w:rPr>
              <w:t>Low to high across every read above. The two cash-flow readings are the contested judgement and are never averaged into one another</w:t>
            </w:r>
          </w:p>
        </w:tc>
        <w:tc>
          <w:tcPr>
            <w:tcW w:type="dxa" w:w="1512"/>
            <w:shd w:val="clear" w:color="auto" w:fill="F6F1E6"/>
          </w:tcPr>
          <w:p>
            <w:pPr>
              <w:spacing w:after="20"/>
              <w:jc w:val="right"/>
            </w:pPr>
            <w:r>
              <w:rPr>
                <w:b/>
                <w:color w:val="1C3A36"/>
                <w:sz w:val="15"/>
              </w:rPr>
              <w:t>0.00 to 7.34</w:t>
            </w:r>
          </w:p>
        </w:tc>
        <w:tc>
          <w:tcPr>
            <w:tcW w:type="dxa" w:w="1008"/>
            <w:shd w:val="clear" w:color="auto" w:fill="F6F1E6"/>
          </w:tcPr>
          <w:p>
            <w:pPr>
              <w:spacing w:after="20"/>
              <w:jc w:val="right"/>
            </w:pPr>
            <w:r>
              <w:rPr>
                <w:b/>
                <w:color w:val="1C3A36"/>
                <w:sz w:val="15"/>
              </w:rPr>
              <w:t>—</w:t>
            </w:r>
          </w:p>
        </w:tc>
        <w:tc>
          <w:tcPr>
            <w:tcW w:type="dxa" w:w="936"/>
            <w:shd w:val="clear" w:color="auto" w:fill="F6F1E6"/>
          </w:tcPr>
          <w:p>
            <w:pPr>
              <w:spacing w:after="20"/>
              <w:jc w:val="right"/>
            </w:pPr>
            <w:r>
              <w:rPr>
                <w:b/>
                <w:color w:val="1C3A36"/>
                <w:sz w:val="15"/>
              </w:rPr>
              <w:t>—</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-0.02</w:t>
            </w:r>
          </w:p>
        </w:tc>
        <w:tc>
          <w:tcPr>
            <w:tcW w:type="dxa" w:w="936"/>
          </w:tcPr>
          <w:p>
            <w:pPr>
              <w:spacing w:after="20"/>
              <w:jc w:val="right"/>
            </w:pPr>
            <w:r>
              <w:rPr>
                <w:color w:val="1C3A36"/>
                <w:sz w:val="15"/>
              </w:rPr>
              <w:t>-100%</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-1.17</w:t>
            </w:r>
          </w:p>
        </w:tc>
        <w:tc>
          <w:tcPr>
            <w:tcW w:type="dxa" w:w="936"/>
          </w:tcPr>
          <w:p>
            <w:pPr>
              <w:spacing w:after="20"/>
              <w:jc w:val="right"/>
            </w:pPr>
            <w:r>
              <w:rPr>
                <w:color w:val="1C3A36"/>
                <w:sz w:val="15"/>
              </w:rPr>
              <w:t>-108%</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-0.67</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Beta from the five-year weekly regression of the share against its own local index</w:t>
            </w:r>
          </w:p>
        </w:tc>
        <w:tc>
          <w:tcPr>
            <w:tcW w:type="dxa" w:w="3960"/>
          </w:tcPr>
          <w:p>
            <w:pPr>
              <w:spacing w:after="20"/>
            </w:pPr>
            <w:r>
              <w:rPr>
                <w:color w:val="1C3A36"/>
                <w:sz w:val="15"/>
              </w:rPr>
              <w:t>The Dimson sum-beta from the same regression, which corrects for co-movement booked late because the share does not trade every session</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-0.20</w:t>
            </w:r>
          </w:p>
        </w:tc>
        <w:tc>
          <w:tcPr>
            <w:tcW w:type="dxa" w:w="936"/>
          </w:tcPr>
          <w:p>
            <w:pPr>
              <w:spacing w:after="20"/>
              <w:jc w:val="right"/>
            </w:pPr>
            <w:r>
              <w:rPr>
                <w:color w:val="1C3A36"/>
                <w:sz w:val="15"/>
              </w:rPr>
              <w:t>-101%</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-2.55</w:t>
            </w:r>
          </w:p>
        </w:tc>
        <w:tc>
          <w:tcPr>
            <w:tcW w:type="dxa" w:w="936"/>
          </w:tcPr>
          <w:p>
            <w:pPr>
              <w:spacing w:after="20"/>
              <w:jc w:val="right"/>
            </w:pPr>
            <w:r>
              <w:rPr>
                <w:color w:val="1C3A36"/>
                <w:sz w:val="15"/>
              </w:rPr>
              <w:t>-118%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-0.45</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-1.48</w:t>
            </w:r>
          </w:p>
        </w:tc>
        <w:tc>
          <w:tcPr>
            <w:tcW w:type="dxa" w:w="936"/>
          </w:tcPr>
          <w:p>
            <w:pPr>
              <w:spacing w:after="20"/>
              <w:jc w:val="right"/>
            </w:pPr>
            <w:r>
              <w:rPr>
                <w:color w:val="1C3A36"/>
                <w:sz w:val="15"/>
              </w:rPr>
              <w:t>-111%</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-0.41</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-0.90</w:t>
            </w:r>
          </w:p>
        </w:tc>
        <w:tc>
          <w:tcPr>
            <w:tcW w:type="dxa" w:w="936"/>
          </w:tcPr>
          <w:p>
            <w:pPr>
              <w:spacing w:after="20"/>
              <w:jc w:val="right"/>
            </w:pPr>
            <w:r>
              <w:rPr>
                <w:color w:val="1C3A36"/>
                <w:sz w:val="15"/>
              </w:rPr>
              <w:t>-106%</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65.3%</w:t>
            </w:r>
          </w:p>
        </w:tc>
        <w:tc>
          <w:tcPr>
            <w:tcW w:type="dxa" w:w="2736"/>
          </w:tcPr>
          <w:p>
            <w:pPr>
              <w:spacing w:after="20"/>
              <w:jc w:val="right"/>
            </w:pPr>
            <w:r>
              <w:rPr>
                <w:color w:val="1C3A36"/>
                <w:sz w:val="17"/>
              </w:rPr>
              <w:t>31.2%</w:t>
            </w:r>
          </w:p>
        </w:tc>
      </w:tr>
    </w:tbl>
    <w:p>
      <w:pPr>
        <w:spacing w:after="40"/>
      </w:pPr>
    </w:p>
    <w:p>
      <w:pPr>
        <w:spacing w:after="200" w:before="0"/>
      </w:pPr>
      <w:r>
        <w:rPr>
          <w:b w:val="0"/>
          <w:i/>
          <w:color w:val="6E7B77"/>
          <w:sz w:val="17"/>
        </w:rPr>
        <w:t>Table 2.  Reported beside the cash-flow lens because on this company it is the number that decides the answer. Above one hundred per cent means the five explicit years contribute negative present value: the capital programme absorbs more cash than the plant generates, so the terminal block carries the whole enterprise value and then some.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1.89 a share. The narrowest is terminal growth, worth EGP 0.00.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11,539</w:t>
            </w:r>
          </w:p>
        </w:tc>
        <w:tc>
          <w:tcPr>
            <w:tcW w:type="dxa" w:w="1426"/>
          </w:tcPr>
          <w:p>
            <w:pPr>
              <w:spacing w:after="20"/>
              <w:jc w:val="right"/>
            </w:pPr>
            <w:r>
              <w:rPr>
                <w:color w:val="1C3A36"/>
                <w:sz w:val="16"/>
              </w:rPr>
              <w:t>11,626</w:t>
            </w:r>
          </w:p>
        </w:tc>
        <w:tc>
          <w:tcPr>
            <w:tcW w:type="dxa" w:w="1426"/>
          </w:tcPr>
          <w:p>
            <w:pPr>
              <w:spacing w:after="20"/>
              <w:jc w:val="right"/>
            </w:pPr>
            <w:r>
              <w:rPr>
                <w:color w:val="1C3A36"/>
                <w:sz w:val="16"/>
              </w:rPr>
              <w:t>11,863</w:t>
            </w:r>
          </w:p>
        </w:tc>
        <w:tc>
          <w:tcPr>
            <w:tcW w:type="dxa" w:w="1426"/>
          </w:tcPr>
          <w:p>
            <w:pPr>
              <w:spacing w:after="20"/>
              <w:jc w:val="right"/>
            </w:pPr>
            <w:r>
              <w:rPr>
                <w:color w:val="1C3A36"/>
                <w:sz w:val="16"/>
              </w:rPr>
              <w:t>12,303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4,436</w:t>
            </w:r>
          </w:p>
        </w:tc>
        <w:tc>
          <w:tcPr>
            <w:tcW w:type="dxa" w:w="1426"/>
            <w:shd w:val="clear" w:color="auto" w:fill="F6F1E6"/>
          </w:tcPr>
          <w:p>
            <w:pPr>
              <w:spacing w:after="20"/>
              <w:jc w:val="right"/>
            </w:pPr>
            <w:r>
              <w:rPr>
                <w:b/>
                <w:color w:val="1C3A36"/>
                <w:sz w:val="16"/>
              </w:rPr>
              <w:t>4,074</w:t>
            </w:r>
          </w:p>
        </w:tc>
        <w:tc>
          <w:tcPr>
            <w:tcW w:type="dxa" w:w="1426"/>
            <w:shd w:val="clear" w:color="auto" w:fill="F6F1E6"/>
          </w:tcPr>
          <w:p>
            <w:pPr>
              <w:spacing w:after="20"/>
              <w:jc w:val="right"/>
            </w:pPr>
            <w:r>
              <w:rPr>
                <w:b/>
                <w:color w:val="1C3A36"/>
                <w:sz w:val="16"/>
              </w:rPr>
              <w:t>3,849</w:t>
            </w:r>
          </w:p>
        </w:tc>
        <w:tc>
          <w:tcPr>
            <w:tcW w:type="dxa" w:w="1426"/>
            <w:shd w:val="clear" w:color="auto" w:fill="F6F1E6"/>
          </w:tcPr>
          <w:p>
            <w:pPr>
              <w:spacing w:after="20"/>
              <w:jc w:val="right"/>
            </w:pPr>
            <w:r>
              <w:rPr>
                <w:b/>
                <w:color w:val="1C3A36"/>
                <w:sz w:val="16"/>
              </w:rPr>
              <w:t>3,797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3,427</w:t>
            </w:r>
          </w:p>
        </w:tc>
        <w:tc>
          <w:tcPr>
            <w:tcW w:type="dxa" w:w="1426"/>
            <w:shd w:val="clear" w:color="auto" w:fill="F6F1E6"/>
          </w:tcPr>
          <w:p>
            <w:pPr>
              <w:spacing w:after="20"/>
              <w:jc w:val="right"/>
            </w:pPr>
            <w:r>
              <w:rPr>
                <w:b/>
                <w:color w:val="1C3A36"/>
                <w:sz w:val="16"/>
              </w:rPr>
              <w:t>2,928</w:t>
            </w:r>
          </w:p>
        </w:tc>
        <w:tc>
          <w:tcPr>
            <w:tcW w:type="dxa" w:w="1426"/>
            <w:shd w:val="clear" w:color="auto" w:fill="F6F1E6"/>
          </w:tcPr>
          <w:p>
            <w:pPr>
              <w:spacing w:after="20"/>
              <w:jc w:val="right"/>
            </w:pPr>
            <w:r>
              <w:rPr>
                <w:b/>
                <w:color w:val="1C3A36"/>
                <w:sz w:val="16"/>
              </w:rPr>
              <w:t>2,556</w:t>
            </w:r>
          </w:p>
        </w:tc>
        <w:tc>
          <w:tcPr>
            <w:tcW w:type="dxa" w:w="1426"/>
            <w:shd w:val="clear" w:color="auto" w:fill="F6F1E6"/>
          </w:tcPr>
          <w:p>
            <w:pPr>
              <w:spacing w:after="20"/>
              <w:jc w:val="right"/>
            </w:pPr>
            <w:r>
              <w:rPr>
                <w:b/>
                <w:color w:val="1C3A36"/>
                <w:sz w:val="16"/>
              </w:rPr>
              <w:t>2,363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2,656</w:t>
            </w:r>
          </w:p>
        </w:tc>
        <w:tc>
          <w:tcPr>
            <w:tcW w:type="dxa" w:w="1426"/>
          </w:tcPr>
          <w:p>
            <w:pPr>
              <w:spacing w:after="20"/>
              <w:jc w:val="right"/>
            </w:pPr>
            <w:r>
              <w:rPr>
                <w:color w:val="1C3A36"/>
                <w:sz w:val="16"/>
              </w:rPr>
              <w:t>2,269</w:t>
            </w:r>
          </w:p>
        </w:tc>
        <w:tc>
          <w:tcPr>
            <w:tcW w:type="dxa" w:w="1426"/>
          </w:tcPr>
          <w:p>
            <w:pPr>
              <w:spacing w:after="20"/>
              <w:jc w:val="right"/>
            </w:pPr>
            <w:r>
              <w:rPr>
                <w:color w:val="1C3A36"/>
                <w:sz w:val="16"/>
              </w:rPr>
              <w:t>1,981</w:t>
            </w:r>
          </w:p>
        </w:tc>
        <w:tc>
          <w:tcPr>
            <w:tcW w:type="dxa" w:w="1426"/>
          </w:tcPr>
          <w:p>
            <w:pPr>
              <w:spacing w:after="20"/>
              <w:jc w:val="right"/>
            </w:pPr>
            <w:r>
              <w:rPr>
                <w:color w:val="1C3A36"/>
                <w:sz w:val="16"/>
              </w:rPr>
              <w:t>1,831</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-3,430</w:t>
            </w:r>
          </w:p>
        </w:tc>
        <w:tc>
          <w:tcPr>
            <w:tcW w:type="dxa" w:w="1426"/>
          </w:tcPr>
          <w:p>
            <w:pPr>
              <w:spacing w:after="20"/>
              <w:jc w:val="right"/>
            </w:pPr>
            <w:r>
              <w:rPr>
                <w:color w:val="1C3A36"/>
                <w:sz w:val="16"/>
              </w:rPr>
              <w:t>-3,332</w:t>
            </w:r>
          </w:p>
        </w:tc>
        <w:tc>
          <w:tcPr>
            <w:tcW w:type="dxa" w:w="1426"/>
          </w:tcPr>
          <w:p>
            <w:pPr>
              <w:spacing w:after="20"/>
              <w:jc w:val="right"/>
            </w:pPr>
            <w:r>
              <w:rPr>
                <w:color w:val="1C3A36"/>
                <w:sz w:val="16"/>
              </w:rPr>
              <w:t>-2,627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-154</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302</w:t>
            </w:r>
          </w:p>
        </w:tc>
        <w:tc>
          <w:tcPr>
            <w:tcW w:type="dxa" w:w="1426"/>
            <w:shd w:val="clear" w:color="auto" w:fill="F6F1E6"/>
          </w:tcPr>
          <w:p>
            <w:pPr>
              <w:spacing w:after="20"/>
              <w:jc w:val="right"/>
            </w:pPr>
            <w:r>
              <w:rPr>
                <w:b/>
                <w:color w:val="1C3A36"/>
                <w:sz w:val="16"/>
              </w:rPr>
              <w:t>-135</w:t>
            </w:r>
          </w:p>
        </w:tc>
        <w:tc>
          <w:tcPr>
            <w:tcW w:type="dxa" w:w="1426"/>
            <w:shd w:val="clear" w:color="auto" w:fill="F6F1E6"/>
          </w:tcPr>
          <w:p>
            <w:pPr>
              <w:spacing w:after="20"/>
              <w:jc w:val="right"/>
            </w:pPr>
            <w:r>
              <w:rPr>
                <w:b/>
                <w:color w:val="1C3A36"/>
                <w:sz w:val="16"/>
              </w:rPr>
              <w:t>-193</w:t>
            </w:r>
          </w:p>
        </w:tc>
        <w:tc>
          <w:tcPr>
            <w:tcW w:type="dxa" w:w="1426"/>
            <w:shd w:val="clear" w:color="auto" w:fill="F6F1E6"/>
          </w:tcPr>
          <w:p>
            <w:pPr>
              <w:spacing w:after="20"/>
              <w:jc w:val="right"/>
            </w:pPr>
            <w:r>
              <w:rPr>
                <w:b/>
                <w:color w:val="1C3A36"/>
                <w:sz w:val="16"/>
              </w:rPr>
              <w:t>485</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24.39%</w:t>
            </w:r>
          </w:p>
        </w:tc>
        <w:tc>
          <w:tcPr>
            <w:tcW w:type="dxa" w:w="1426"/>
          </w:tcPr>
          <w:p>
            <w:pPr>
              <w:spacing w:after="20"/>
              <w:jc w:val="right"/>
            </w:pPr>
            <w:r>
              <w:rPr>
                <w:color w:val="1C3A36"/>
                <w:sz w:val="16"/>
              </w:rPr>
              <w:t>23.47%</w:t>
            </w:r>
          </w:p>
        </w:tc>
        <w:tc>
          <w:tcPr>
            <w:tcW w:type="dxa" w:w="1426"/>
          </w:tcPr>
          <w:p>
            <w:pPr>
              <w:spacing w:after="20"/>
              <w:jc w:val="right"/>
            </w:pPr>
            <w:r>
              <w:rPr>
                <w:color w:val="1C3A36"/>
                <w:sz w:val="16"/>
              </w:rPr>
              <w:t>22.55%</w:t>
            </w:r>
          </w:p>
        </w:tc>
        <w:tc>
          <w:tcPr>
            <w:tcW w:type="dxa" w:w="1426"/>
          </w:tcPr>
          <w:p>
            <w:pPr>
              <w:spacing w:after="20"/>
              <w:jc w:val="right"/>
            </w:pPr>
            <w:r>
              <w:rPr>
                <w:color w:val="1C3A36"/>
                <w:sz w:val="16"/>
              </w:rPr>
              <w:t>21.63%</w:t>
            </w:r>
          </w:p>
        </w:tc>
        <w:tc>
          <w:tcPr>
            <w:tcW w:type="dxa" w:w="1426"/>
          </w:tcPr>
          <w:p>
            <w:pPr>
              <w:spacing w:after="20"/>
              <w:jc w:val="right"/>
            </w:pPr>
            <w:r>
              <w:rPr>
                <w:color w:val="1C3A36"/>
                <w:sz w:val="16"/>
              </w:rPr>
              <w:t>20.71%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0.8039</w:t>
            </w:r>
          </w:p>
        </w:tc>
        <w:tc>
          <w:tcPr>
            <w:tcW w:type="dxa" w:w="1426"/>
          </w:tcPr>
          <w:p>
            <w:pPr>
              <w:spacing w:after="20"/>
              <w:jc w:val="right"/>
            </w:pPr>
            <w:r>
              <w:rPr>
                <w:color w:val="1C3A36"/>
                <w:sz w:val="16"/>
              </w:rPr>
              <w:t>0.6511</w:t>
            </w:r>
          </w:p>
        </w:tc>
        <w:tc>
          <w:tcPr>
            <w:tcW w:type="dxa" w:w="1426"/>
          </w:tcPr>
          <w:p>
            <w:pPr>
              <w:spacing w:after="20"/>
              <w:jc w:val="right"/>
            </w:pPr>
            <w:r>
              <w:rPr>
                <w:color w:val="1C3A36"/>
                <w:sz w:val="16"/>
              </w:rPr>
              <w:t>0.5313</w:t>
            </w:r>
          </w:p>
        </w:tc>
        <w:tc>
          <w:tcPr>
            <w:tcW w:type="dxa" w:w="1426"/>
          </w:tcPr>
          <w:p>
            <w:pPr>
              <w:spacing w:after="20"/>
              <w:jc w:val="right"/>
            </w:pPr>
            <w:r>
              <w:rPr>
                <w:color w:val="1C3A36"/>
                <w:sz w:val="16"/>
              </w:rPr>
              <w:t>0.4368</w:t>
            </w:r>
          </w:p>
        </w:tc>
        <w:tc>
          <w:tcPr>
            <w:tcW w:type="dxa" w:w="1426"/>
          </w:tcPr>
          <w:p>
            <w:pPr>
              <w:spacing w:after="20"/>
              <w:jc w:val="right"/>
            </w:pPr>
            <w:r>
              <w:rPr>
                <w:color w:val="1C3A36"/>
                <w:sz w:val="16"/>
              </w:rPr>
              <w:t>0.3619</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1,578</w:t>
            </w:r>
          </w:p>
        </w:tc>
        <w:tc>
          <w:tcPr>
            <w:tcW w:type="dxa" w:w="1426"/>
            <w:shd w:val="clear" w:color="auto" w:fill="F6F1E6"/>
          </w:tcPr>
          <w:p>
            <w:pPr>
              <w:spacing w:after="20"/>
              <w:jc w:val="right"/>
            </w:pPr>
            <w:r>
              <w:rPr>
                <w:b/>
                <w:color w:val="1C3A36"/>
                <w:sz w:val="16"/>
              </w:rPr>
              <w:t>197</w:t>
            </w:r>
          </w:p>
        </w:tc>
        <w:tc>
          <w:tcPr>
            <w:tcW w:type="dxa" w:w="1426"/>
            <w:shd w:val="clear" w:color="auto" w:fill="F6F1E6"/>
          </w:tcPr>
          <w:p>
            <w:pPr>
              <w:spacing w:after="20"/>
              <w:jc w:val="right"/>
            </w:pPr>
            <w:r>
              <w:rPr>
                <w:b/>
                <w:color w:val="1C3A36"/>
                <w:sz w:val="16"/>
              </w:rPr>
              <w:t>-72</w:t>
            </w:r>
          </w:p>
        </w:tc>
        <w:tc>
          <w:tcPr>
            <w:tcW w:type="dxa" w:w="1426"/>
            <w:shd w:val="clear" w:color="auto" w:fill="F6F1E6"/>
          </w:tcPr>
          <w:p>
            <w:pPr>
              <w:spacing w:after="20"/>
              <w:jc w:val="right"/>
            </w:pPr>
            <w:r>
              <w:rPr>
                <w:b/>
                <w:color w:val="1C3A36"/>
                <w:sz w:val="16"/>
              </w:rPr>
              <w:t>-84</w:t>
            </w:r>
          </w:p>
        </w:tc>
        <w:tc>
          <w:tcPr>
            <w:tcW w:type="dxa" w:w="1426"/>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1,794</w:t>
            </w:r>
          </w:p>
        </w:tc>
        <w:tc>
          <w:tcPr>
            <w:tcW w:type="dxa" w:w="2808"/>
          </w:tcPr>
          <w:p>
            <w:pPr>
              <w:spacing w:after="20"/>
              <w:jc w:val="right"/>
            </w:pPr>
            <w:r>
              <w:rPr>
                <w:color w:val="1C3A36"/>
                <w:sz w:val="17"/>
              </w:rPr>
              <w:t>9,034</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3,375</w:t>
            </w:r>
          </w:p>
        </w:tc>
        <w:tc>
          <w:tcPr>
            <w:tcW w:type="dxa" w:w="2808"/>
          </w:tcPr>
          <w:p>
            <w:pPr>
              <w:spacing w:after="20"/>
              <w:jc w:val="right"/>
            </w:pPr>
            <w:r>
              <w:rPr>
                <w:color w:val="1C3A36"/>
                <w:sz w:val="17"/>
              </w:rPr>
              <w:t>4,090</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5,169</w:t>
            </w:r>
          </w:p>
        </w:tc>
        <w:tc>
          <w:tcPr>
            <w:tcW w:type="dxa" w:w="2808"/>
            <w:shd w:val="clear" w:color="auto" w:fill="F6F1E6"/>
          </w:tcPr>
          <w:p>
            <w:pPr>
              <w:spacing w:after="20"/>
              <w:jc w:val="right"/>
            </w:pPr>
            <w:r>
              <w:rPr>
                <w:b/>
                <w:color w:val="1C3A36"/>
                <w:sz w:val="17"/>
              </w:rPr>
              <w:t>13,124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65.3%</w:t>
            </w:r>
          </w:p>
        </w:tc>
        <w:tc>
          <w:tcPr>
            <w:tcW w:type="dxa" w:w="2808"/>
            <w:shd w:val="clear" w:color="auto" w:fill="F6F1E6"/>
          </w:tcPr>
          <w:p>
            <w:pPr>
              <w:spacing w:after="20"/>
              <w:jc w:val="right"/>
            </w:pPr>
            <w:r>
              <w:rPr>
                <w:b/>
                <w:color w:val="1C3A36"/>
                <w:sz w:val="17"/>
              </w:rPr>
              <w:t>31.2%</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-1,325</w:t>
            </w:r>
          </w:p>
        </w:tc>
        <w:tc>
          <w:tcPr>
            <w:tcW w:type="dxa" w:w="2808"/>
            <w:shd w:val="clear" w:color="auto" w:fill="F6F1E6"/>
          </w:tcPr>
          <w:p>
            <w:pPr>
              <w:spacing w:after="20"/>
              <w:jc w:val="right"/>
            </w:pPr>
            <w:r>
              <w:rPr>
                <w:b/>
                <w:color w:val="1C3A36"/>
                <w:sz w:val="17"/>
              </w:rPr>
              <w:t>6,629</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-0.67</w:t>
            </w:r>
          </w:p>
        </w:tc>
        <w:tc>
          <w:tcPr>
            <w:tcW w:type="dxa" w:w="2808"/>
            <w:shd w:val="clear" w:color="auto" w:fill="F6F1E6"/>
          </w:tcPr>
          <w:p>
            <w:pPr>
              <w:spacing w:after="20"/>
              <w:jc w:val="right"/>
            </w:pPr>
            <w:r>
              <w:rPr>
                <w:b/>
                <w:color w:val="1C3A36"/>
                <w:sz w:val="17"/>
              </w:rPr>
              <w:t>3.34</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2.60</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-0.67</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13.98</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5,169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-1.24</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-0.47</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0.03</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0.72</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1.75</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3.39</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7.9%</w:t>
            </w:r>
          </w:p>
        </w:tc>
        <w:tc>
          <w:tcPr>
            <w:tcW w:type="dxa" w:w="2592"/>
            <w:shd w:val="clear" w:color="auto" w:fill="F6F1E6"/>
          </w:tcPr>
          <w:p>
            <w:pPr>
              <w:spacing w:after="20"/>
              <w:jc w:val="right"/>
            </w:pPr>
            <w:r>
              <w:rPr>
                <w:b/>
                <w:color w:val="1C3A36"/>
                <w:sz w:val="17"/>
              </w:rPr>
              <w:t>13.98</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7.9%, which is 15.1%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31.30%</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5.0%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0.071x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0.07x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0.58</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8.  The justified multiple of book is negative before flooring, and that is the finding rather than a rounding artefact: a sustainable return of 6.9% does not cover even nominal maintenance growth of 5.0%, let alone a 31.30% cost of equity. On this lens the book is worth nothing beyond what the assets would fetch, and the market pays 1.71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3.0 and 6.0 times operating profit before depreciation. On forward EBITDA of EGP 4,684 million the mid-point implies an enterprise value of EGP 21,077 million and, after the debt and the non-operating stack, EGP 7.34 a share — a range of EGP 3.80 to EGP 10.88 across the band.</w:t>
      </w:r>
    </w:p>
    <w:p>
      <w:pPr>
        <w:spacing w:after="120" w:before="0"/>
      </w:pPr>
      <w:r>
        <w:rPr>
          <w:b/>
          <w:i w:val="0"/>
          <w:color w:val="1C3A36"/>
          <w:sz w:val="21"/>
        </w:rPr>
        <w:t>The two numbers worth putting side by side are these: at the traded price the shares change hands at 8.1 times that same forward EBITDA, while the cash-flow lens values them at 1.1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9,404</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-3,877</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2,697</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1,400</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13,996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3.78</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2.37</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5.19</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0.00 to EGP 7.34 a share. It is a wide field, and the width is honest: the lenses disagree because they ask different questions of a company whose asset base is changing underneath its earnings. What none of them does is reach EGP 13.98.</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zero because a 6.9% sustainable return on equity does not clear a 31.30%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depreciating 4.5% a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64.96</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10.73</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33.0%</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30.9%</w:t>
            </w:r>
          </w:p>
        </w:tc>
      </w:tr>
    </w:tbl>
    <w:p>
      <w:pPr>
        <w:spacing w:after="40"/>
      </w:pPr>
    </w:p>
    <w:p>
      <w:pPr>
        <w:spacing w:after="200" w:before="0"/>
      </w:pPr>
      <w:r>
        <w:rPr>
          <w:b w:val="0"/>
          <w:i/>
          <w:color w:val="6E7B77"/>
          <w:sz w:val="17"/>
        </w:rPr>
        <w:t>Table 11.  Each cost class escalates on its own driver and never on one blended index: gas is a globally traded input and escalates on its dollar price through the exchange rate, while wages, inland haulage and administration escalate on Egyptian consumer prices and the subsidised price follows its own administered path.</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11,539</w:t>
            </w:r>
          </w:p>
        </w:tc>
        <w:tc>
          <w:tcPr>
            <w:tcW w:type="dxa" w:w="1426"/>
          </w:tcPr>
          <w:p>
            <w:pPr>
              <w:spacing w:after="20"/>
              <w:jc w:val="right"/>
            </w:pPr>
            <w:r>
              <w:rPr>
                <w:color w:val="1C3A36"/>
                <w:sz w:val="16"/>
              </w:rPr>
              <w:t>11,626</w:t>
            </w:r>
          </w:p>
        </w:tc>
        <w:tc>
          <w:tcPr>
            <w:tcW w:type="dxa" w:w="1426"/>
          </w:tcPr>
          <w:p>
            <w:pPr>
              <w:spacing w:after="20"/>
              <w:jc w:val="right"/>
            </w:pPr>
            <w:r>
              <w:rPr>
                <w:color w:val="1C3A36"/>
                <w:sz w:val="16"/>
              </w:rPr>
              <w:t>11,863</w:t>
            </w:r>
          </w:p>
        </w:tc>
        <w:tc>
          <w:tcPr>
            <w:tcW w:type="dxa" w:w="1426"/>
          </w:tcPr>
          <w:p>
            <w:pPr>
              <w:spacing w:after="20"/>
              <w:jc w:val="right"/>
            </w:pPr>
            <w:r>
              <w:rPr>
                <w:color w:val="1C3A36"/>
                <w:sz w:val="16"/>
              </w:rPr>
              <w:t>12,303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6,668</w:t>
            </w:r>
          </w:p>
        </w:tc>
        <w:tc>
          <w:tcPr>
            <w:tcW w:type="dxa" w:w="1426"/>
          </w:tcPr>
          <w:p>
            <w:pPr>
              <w:spacing w:after="20"/>
              <w:jc w:val="right"/>
            </w:pPr>
            <w:r>
              <w:rPr>
                <w:color w:val="1C3A36"/>
                <w:sz w:val="16"/>
              </w:rPr>
              <w:t>7,179</w:t>
            </w:r>
          </w:p>
        </w:tc>
        <w:tc>
          <w:tcPr>
            <w:tcW w:type="dxa" w:w="1426"/>
          </w:tcPr>
          <w:p>
            <w:pPr>
              <w:spacing w:after="20"/>
              <w:jc w:val="right"/>
            </w:pPr>
            <w:r>
              <w:rPr>
                <w:color w:val="1C3A36"/>
                <w:sz w:val="16"/>
              </w:rPr>
              <w:t>7,699</w:t>
            </w:r>
          </w:p>
        </w:tc>
        <w:tc>
          <w:tcPr>
            <w:tcW w:type="dxa" w:w="1426"/>
          </w:tcPr>
          <w:p>
            <w:pPr>
              <w:spacing w:after="20"/>
              <w:jc w:val="right"/>
            </w:pPr>
            <w:r>
              <w:rPr>
                <w:color w:val="1C3A36"/>
                <w:sz w:val="16"/>
              </w:rPr>
              <w:t>8,239</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4,871</w:t>
            </w:r>
          </w:p>
        </w:tc>
        <w:tc>
          <w:tcPr>
            <w:tcW w:type="dxa" w:w="1426"/>
          </w:tcPr>
          <w:p>
            <w:pPr>
              <w:spacing w:after="20"/>
              <w:jc w:val="right"/>
            </w:pPr>
            <w:r>
              <w:rPr>
                <w:color w:val="1C3A36"/>
                <w:sz w:val="16"/>
              </w:rPr>
              <w:t>4,448</w:t>
            </w:r>
          </w:p>
        </w:tc>
        <w:tc>
          <w:tcPr>
            <w:tcW w:type="dxa" w:w="1426"/>
          </w:tcPr>
          <w:p>
            <w:pPr>
              <w:spacing w:after="20"/>
              <w:jc w:val="right"/>
            </w:pPr>
            <w:r>
              <w:rPr>
                <w:color w:val="1C3A36"/>
                <w:sz w:val="16"/>
              </w:rPr>
              <w:t>4,163</w:t>
            </w:r>
          </w:p>
        </w:tc>
        <w:tc>
          <w:tcPr>
            <w:tcW w:type="dxa" w:w="1426"/>
          </w:tcPr>
          <w:p>
            <w:pPr>
              <w:spacing w:after="20"/>
              <w:jc w:val="right"/>
            </w:pPr>
            <w:r>
              <w:rPr>
                <w:color w:val="1C3A36"/>
                <w:sz w:val="16"/>
              </w:rPr>
              <w:t>4,064</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42.2%</w:t>
            </w:r>
          </w:p>
        </w:tc>
        <w:tc>
          <w:tcPr>
            <w:tcW w:type="dxa" w:w="1426"/>
            <w:shd w:val="clear" w:color="auto" w:fill="F6F1E6"/>
          </w:tcPr>
          <w:p>
            <w:pPr>
              <w:spacing w:after="20"/>
              <w:jc w:val="right"/>
            </w:pPr>
            <w:r>
              <w:rPr>
                <w:b/>
                <w:color w:val="1C3A36"/>
                <w:sz w:val="16"/>
              </w:rPr>
              <w:t>38.3%</w:t>
            </w:r>
          </w:p>
        </w:tc>
        <w:tc>
          <w:tcPr>
            <w:tcW w:type="dxa" w:w="1426"/>
            <w:shd w:val="clear" w:color="auto" w:fill="F6F1E6"/>
          </w:tcPr>
          <w:p>
            <w:pPr>
              <w:spacing w:after="20"/>
              <w:jc w:val="right"/>
            </w:pPr>
            <w:r>
              <w:rPr>
                <w:b/>
                <w:color w:val="1C3A36"/>
                <w:sz w:val="16"/>
              </w:rPr>
              <w:t>35.1%</w:t>
            </w:r>
          </w:p>
        </w:tc>
        <w:tc>
          <w:tcPr>
            <w:tcW w:type="dxa" w:w="1426"/>
            <w:shd w:val="clear" w:color="auto" w:fill="F6F1E6"/>
          </w:tcPr>
          <w:p>
            <w:pPr>
              <w:spacing w:after="20"/>
              <w:jc w:val="right"/>
            </w:pPr>
            <w:r>
              <w:rPr>
                <w:b/>
                <w:color w:val="1C3A36"/>
                <w:sz w:val="16"/>
              </w:rPr>
              <w:t>33.0%</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4,436</w:t>
            </w:r>
          </w:p>
        </w:tc>
        <w:tc>
          <w:tcPr>
            <w:tcW w:type="dxa" w:w="1426"/>
          </w:tcPr>
          <w:p>
            <w:pPr>
              <w:spacing w:after="20"/>
              <w:jc w:val="right"/>
            </w:pPr>
            <w:r>
              <w:rPr>
                <w:color w:val="1C3A36"/>
                <w:sz w:val="16"/>
              </w:rPr>
              <w:t>4,074</w:t>
            </w:r>
          </w:p>
        </w:tc>
        <w:tc>
          <w:tcPr>
            <w:tcW w:type="dxa" w:w="1426"/>
          </w:tcPr>
          <w:p>
            <w:pPr>
              <w:spacing w:after="20"/>
              <w:jc w:val="right"/>
            </w:pPr>
            <w:r>
              <w:rPr>
                <w:color w:val="1C3A36"/>
                <w:sz w:val="16"/>
              </w:rPr>
              <w:t>3,849</w:t>
            </w:r>
          </w:p>
        </w:tc>
        <w:tc>
          <w:tcPr>
            <w:tcW w:type="dxa" w:w="1426"/>
          </w:tcPr>
          <w:p>
            <w:pPr>
              <w:spacing w:after="20"/>
              <w:jc w:val="right"/>
            </w:pPr>
            <w:r>
              <w:rPr>
                <w:color w:val="1C3A36"/>
                <w:sz w:val="16"/>
              </w:rPr>
              <w:t>3,797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38.4%</w:t>
            </w:r>
          </w:p>
        </w:tc>
        <w:tc>
          <w:tcPr>
            <w:tcW w:type="dxa" w:w="1426"/>
            <w:shd w:val="clear" w:color="auto" w:fill="F6F1E6"/>
          </w:tcPr>
          <w:p>
            <w:pPr>
              <w:spacing w:after="20"/>
              <w:jc w:val="right"/>
            </w:pPr>
            <w:r>
              <w:rPr>
                <w:b/>
                <w:color w:val="1C3A36"/>
                <w:sz w:val="16"/>
              </w:rPr>
              <w:t>35.0%</w:t>
            </w:r>
          </w:p>
        </w:tc>
        <w:tc>
          <w:tcPr>
            <w:tcW w:type="dxa" w:w="1426"/>
            <w:shd w:val="clear" w:color="auto" w:fill="F6F1E6"/>
          </w:tcPr>
          <w:p>
            <w:pPr>
              <w:spacing w:after="20"/>
              <w:jc w:val="right"/>
            </w:pPr>
            <w:r>
              <w:rPr>
                <w:b/>
                <w:color w:val="1C3A36"/>
                <w:sz w:val="16"/>
              </w:rPr>
              <w:t>32.4%</w:t>
            </w:r>
          </w:p>
        </w:tc>
        <w:tc>
          <w:tcPr>
            <w:tcW w:type="dxa" w:w="1426"/>
            <w:shd w:val="clear" w:color="auto" w:fill="F6F1E6"/>
          </w:tcPr>
          <w:p>
            <w:pPr>
              <w:spacing w:after="20"/>
              <w:jc w:val="right"/>
            </w:pPr>
            <w:r>
              <w:rPr>
                <w:b/>
                <w:color w:val="1C3A36"/>
                <w:sz w:val="16"/>
              </w:rPr>
              <w:t>30.9%</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2,928</w:t>
            </w:r>
          </w:p>
        </w:tc>
        <w:tc>
          <w:tcPr>
            <w:tcW w:type="dxa" w:w="1426"/>
          </w:tcPr>
          <w:p>
            <w:pPr>
              <w:spacing w:after="20"/>
              <w:jc w:val="right"/>
            </w:pPr>
            <w:r>
              <w:rPr>
                <w:color w:val="1C3A36"/>
                <w:sz w:val="16"/>
              </w:rPr>
              <w:t>2,556</w:t>
            </w:r>
          </w:p>
        </w:tc>
        <w:tc>
          <w:tcPr>
            <w:tcW w:type="dxa" w:w="1426"/>
          </w:tcPr>
          <w:p>
            <w:pPr>
              <w:spacing w:after="20"/>
              <w:jc w:val="right"/>
            </w:pPr>
            <w:r>
              <w:rPr>
                <w:color w:val="1C3A36"/>
                <w:sz w:val="16"/>
              </w:rPr>
              <w:t>2,363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29.7%</w:t>
            </w:r>
          </w:p>
        </w:tc>
        <w:tc>
          <w:tcPr>
            <w:tcW w:type="dxa" w:w="1426"/>
          </w:tcPr>
          <w:p>
            <w:pPr>
              <w:spacing w:after="20"/>
              <w:jc w:val="right"/>
            </w:pPr>
            <w:r>
              <w:rPr>
                <w:color w:val="1C3A36"/>
                <w:sz w:val="16"/>
              </w:rPr>
              <w:t>25.2%</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19.2%</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8,385</w:t>
            </w:r>
          </w:p>
        </w:tc>
        <w:tc>
          <w:tcPr>
            <w:tcW w:type="dxa" w:w="1296"/>
          </w:tcPr>
          <w:p>
            <w:pPr>
              <w:spacing w:after="20"/>
              <w:jc w:val="right"/>
            </w:pPr>
            <w:r>
              <w:rPr>
                <w:color w:val="1C3A36"/>
                <w:sz w:val="17"/>
              </w:rPr>
              <w:t>68.2%</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15.5%</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1,132</w:t>
            </w:r>
          </w:p>
        </w:tc>
        <w:tc>
          <w:tcPr>
            <w:tcW w:type="dxa" w:w="1296"/>
          </w:tcPr>
          <w:p>
            <w:pPr>
              <w:spacing w:after="20"/>
              <w:jc w:val="right"/>
            </w:pPr>
            <w:r>
              <w:rPr>
                <w:color w:val="1C3A36"/>
                <w:sz w:val="17"/>
              </w:rPr>
              <w:t>9.2%</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689</w:t>
            </w:r>
          </w:p>
        </w:tc>
        <w:tc>
          <w:tcPr>
            <w:tcW w:type="dxa" w:w="1296"/>
          </w:tcPr>
          <w:p>
            <w:pPr>
              <w:spacing w:after="20"/>
              <w:jc w:val="right"/>
            </w:pPr>
            <w:r>
              <w:rPr>
                <w:color w:val="1C3A36"/>
                <w:sz w:val="17"/>
              </w:rPr>
              <w:t>5.6%</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1.5%</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12,303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-0.67 a share. Stopped, EGP 3.34. The difference, EGP 4.00 a share or EGP 7,954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-12m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-0.1%</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19.8%</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almost three times anything this company has ever spent to keep this plant running,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0.81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1.053</w:t>
            </w:r>
          </w:p>
        </w:tc>
        <w:tc>
          <w:tcPr>
            <w:tcW w:type="dxa" w:w="1512"/>
          </w:tcPr>
          <w:p>
            <w:pPr>
              <w:spacing w:after="20"/>
              <w:jc w:val="right"/>
            </w:pPr>
            <w:r>
              <w:rPr>
                <w:color w:val="1C3A36"/>
                <w:sz w:val="17"/>
              </w:rPr>
              <w:t>1.053</w:t>
            </w:r>
          </w:p>
        </w:tc>
        <w:tc>
          <w:tcPr>
            <w:tcW w:type="dxa" w:w="4248"/>
          </w:tcPr>
          <w:p>
            <w:pPr>
              <w:spacing w:after="20"/>
            </w:pPr>
            <w:r>
              <w:rPr>
                <w:color w:val="1C3A36"/>
                <w:sz w:val="17"/>
              </w:rPr>
              <w:t>Own-stock weekly regression, 257 observations, R-squared 0.283, standard error 0.105</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31.30%</w:t>
            </w:r>
          </w:p>
        </w:tc>
        <w:tc>
          <w:tcPr>
            <w:tcW w:type="dxa" w:w="1512"/>
            <w:shd w:val="clear" w:color="auto" w:fill="F6F1E6"/>
          </w:tcPr>
          <w:p>
            <w:pPr>
              <w:spacing w:after="20"/>
              <w:jc w:val="right"/>
            </w:pPr>
            <w:r>
              <w:rPr>
                <w:b/>
                <w:color w:val="1C3A36"/>
                <w:sz w:val="17"/>
              </w:rPr>
              <w:t>29.37%</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4248"/>
          </w:tcPr>
          <w:p>
            <w:pPr>
              <w:spacing w:after="20"/>
            </w:pPr>
            <w:r>
              <w:rPr>
                <w:color w:val="1C3A36"/>
                <w:sz w:val="17"/>
              </w:rPr>
              <w:t>99.7% dollar, carried at local-equivalent cost</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24.39%</w:t>
            </w:r>
          </w:p>
        </w:tc>
        <w:tc>
          <w:tcPr>
            <w:tcW w:type="dxa" w:w="1512"/>
            <w:shd w:val="clear" w:color="auto" w:fill="F6F1E6"/>
          </w:tcPr>
          <w:p>
            <w:pPr>
              <w:spacing w:after="20"/>
              <w:jc w:val="right"/>
            </w:pPr>
            <w:r>
              <w:rPr>
                <w:b/>
                <w:color w:val="1C3A36"/>
                <w:sz w:val="17"/>
              </w:rPr>
              <w:t>23.71%</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by a 2.5% expected depreciation to a local-equivalent 16.73% — and the same wedge drives the currency path in the revenue build, so the two cannot quietly disagree.</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7.0% target. Capitalising one at the other is a units mismatch, and on a company whose value sits in its terminal year it would be the largest error in the study. The rate therefore glides to a terminal rate built from its own components: 7.0% inflation compounded with a 3.5% real rate gives a normalised risk-free rate of 10.75%, and the terminal cost of capital is 19.79%. Discount factors compound the glide year by year rather than raising one rate to a power.</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Seven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-0.67</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-0.02</w:t>
            </w:r>
          </w:p>
        </w:tc>
        <w:tc>
          <w:tcPr>
            <w:tcW w:type="dxa" w:w="950"/>
          </w:tcPr>
          <w:p>
            <w:pPr>
              <w:spacing w:after="20"/>
              <w:jc w:val="right"/>
            </w:pPr>
            <w:r>
              <w:rPr>
                <w:color w:val="1C3A36"/>
                <w:sz w:val="15"/>
              </w:rPr>
              <w:t>+0.65</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-1.17</w:t>
            </w:r>
          </w:p>
        </w:tc>
        <w:tc>
          <w:tcPr>
            <w:tcW w:type="dxa" w:w="950"/>
          </w:tcPr>
          <w:p>
            <w:pPr>
              <w:spacing w:after="20"/>
              <w:jc w:val="right"/>
            </w:pPr>
            <w:r>
              <w:rPr>
                <w:color w:val="1C3A36"/>
                <w:sz w:val="15"/>
              </w:rPr>
              <w:t>-0.50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-0.67</w:t>
            </w:r>
          </w:p>
        </w:tc>
        <w:tc>
          <w:tcPr>
            <w:tcW w:type="dxa" w:w="950"/>
          </w:tcPr>
          <w:p>
            <w:pPr>
              <w:spacing w:after="20"/>
              <w:jc w:val="right"/>
            </w:pPr>
            <w:r>
              <w:rPr>
                <w:color w:val="1C3A36"/>
                <w:sz w:val="15"/>
              </w:rPr>
              <w:t>+0.00</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Beta from the five-year weekly regression of the share against its own local index</w:t>
            </w:r>
          </w:p>
        </w:tc>
        <w:tc>
          <w:tcPr>
            <w:tcW w:type="dxa" w:w="2563"/>
          </w:tcPr>
          <w:p>
            <w:pPr>
              <w:spacing w:after="20"/>
            </w:pPr>
            <w:r>
              <w:rPr>
                <w:color w:val="1C3A36"/>
                <w:sz w:val="15"/>
              </w:rPr>
              <w:t>The Dimson sum-beta from the same regression, which corrects for co-movement booked late because the share does not trade every session</w:t>
            </w:r>
          </w:p>
        </w:tc>
        <w:tc>
          <w:tcPr>
            <w:tcW w:type="dxa" w:w="950"/>
          </w:tcPr>
          <w:p>
            <w:pPr>
              <w:spacing w:after="20"/>
              <w:jc w:val="right"/>
            </w:pPr>
            <w:r>
              <w:rPr>
                <w:color w:val="1C3A36"/>
                <w:sz w:val="15"/>
              </w:rPr>
              <w:t>-0.20</w:t>
            </w:r>
          </w:p>
        </w:tc>
        <w:tc>
          <w:tcPr>
            <w:tcW w:type="dxa" w:w="950"/>
          </w:tcPr>
          <w:p>
            <w:pPr>
              <w:spacing w:after="20"/>
              <w:jc w:val="right"/>
            </w:pPr>
            <w:r>
              <w:rPr>
                <w:color w:val="1C3A36"/>
                <w:sz w:val="15"/>
              </w:rPr>
              <w:t>+0.47</w:t>
            </w:r>
          </w:p>
        </w:tc>
        <w:tc>
          <w:tcPr>
            <w:tcW w:type="dxa" w:w="3139"/>
          </w:tcPr>
          <w:p>
            <w:pPr>
              <w:spacing w:after="20"/>
            </w:pPr>
            <w:r>
              <w:rPr>
                <w:color w:val="1C3A36"/>
                <w:sz w:val="15"/>
              </w:rPr>
              <w:t>The regression passes all three conditions of the usability test and the sum-beta sits inside its confidence interval, so the direct estimate is adopted and the correction is disclosed rather than substituted.</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-2.55</w:t>
            </w:r>
          </w:p>
        </w:tc>
        <w:tc>
          <w:tcPr>
            <w:tcW w:type="dxa" w:w="950"/>
          </w:tcPr>
          <w:p>
            <w:pPr>
              <w:spacing w:after="20"/>
              <w:jc w:val="right"/>
            </w:pPr>
            <w:r>
              <w:rPr>
                <w:color w:val="1C3A36"/>
                <w:sz w:val="15"/>
              </w:rPr>
              <w:t>-1.89</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-0.45</w:t>
            </w:r>
          </w:p>
        </w:tc>
        <w:tc>
          <w:tcPr>
            <w:tcW w:type="dxa" w:w="950"/>
          </w:tcPr>
          <w:p>
            <w:pPr>
              <w:spacing w:after="20"/>
              <w:jc w:val="right"/>
            </w:pPr>
            <w:r>
              <w:rPr>
                <w:color w:val="1C3A36"/>
                <w:sz w:val="15"/>
              </w:rPr>
              <w:t>+0.22</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-1.48</w:t>
            </w:r>
          </w:p>
        </w:tc>
        <w:tc>
          <w:tcPr>
            <w:tcW w:type="dxa" w:w="950"/>
          </w:tcPr>
          <w:p>
            <w:pPr>
              <w:spacing w:after="20"/>
              <w:jc w:val="right"/>
            </w:pPr>
            <w:r>
              <w:rPr>
                <w:color w:val="1C3A36"/>
                <w:sz w:val="15"/>
              </w:rPr>
              <w:t>-0.81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-0.41</w:t>
            </w:r>
          </w:p>
        </w:tc>
        <w:tc>
          <w:tcPr>
            <w:tcW w:type="dxa" w:w="950"/>
          </w:tcPr>
          <w:p>
            <w:pPr>
              <w:spacing w:after="20"/>
              <w:jc w:val="right"/>
            </w:pPr>
            <w:r>
              <w:rPr>
                <w:color w:val="1C3A36"/>
                <w:sz w:val="15"/>
              </w:rPr>
              <w:t>+0.26</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-0.90</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premium basis and the gas price are the two that move the answer most, in opposite directions, and both are published on both readings elsewhere in this study. None of the seven,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-1.06</w:t>
            </w:r>
          </w:p>
        </w:tc>
        <w:tc>
          <w:tcPr>
            <w:tcW w:type="dxa" w:w="1483"/>
          </w:tcPr>
          <w:p>
            <w:pPr>
              <w:spacing w:after="20"/>
              <w:jc w:val="right"/>
            </w:pPr>
            <w:r>
              <w:rPr>
                <w:color w:val="1C3A36"/>
                <w:sz w:val="17"/>
              </w:rPr>
              <w:t>0.52</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3.67</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-2.74</w:t>
            </w:r>
          </w:p>
        </w:tc>
        <w:tc>
          <w:tcPr>
            <w:tcW w:type="dxa" w:w="1483"/>
          </w:tcPr>
          <w:p>
            <w:pPr>
              <w:spacing w:after="20"/>
              <w:jc w:val="right"/>
            </w:pPr>
            <w:r>
              <w:rPr>
                <w:color w:val="1C3A36"/>
                <w:sz w:val="17"/>
              </w:rPr>
              <w:t>-1.25</w:t>
            </w:r>
          </w:p>
        </w:tc>
        <w:tc>
          <w:tcPr>
            <w:tcW w:type="dxa" w:w="1483"/>
          </w:tcPr>
          <w:p>
            <w:pPr>
              <w:spacing w:after="20"/>
              <w:jc w:val="right"/>
            </w:pPr>
            <w:r>
              <w:rPr>
                <w:color w:val="1C3A36"/>
                <w:sz w:val="17"/>
              </w:rPr>
              <w:t>0.24</w:t>
            </w:r>
          </w:p>
        </w:tc>
        <w:tc>
          <w:tcPr>
            <w:tcW w:type="dxa" w:w="1483"/>
          </w:tcPr>
          <w:p>
            <w:pPr>
              <w:spacing w:after="20"/>
              <w:jc w:val="right"/>
            </w:pPr>
            <w:r>
              <w:rPr>
                <w:color w:val="1C3A36"/>
                <w:sz w:val="17"/>
              </w:rPr>
              <w:t>1.73</w:t>
            </w:r>
          </w:p>
        </w:tc>
        <w:tc>
          <w:tcPr>
            <w:tcW w:type="dxa" w:w="1483"/>
          </w:tcPr>
          <w:p>
            <w:pPr>
              <w:spacing w:after="20"/>
              <w:jc w:val="right"/>
            </w:pPr>
            <w:r>
              <w:rPr>
                <w:color w:val="1C3A36"/>
                <w:sz w:val="17"/>
              </w:rPr>
              <w:t>3.23</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-2.85</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-2.91</w:t>
            </w:r>
          </w:p>
        </w:tc>
        <w:tc>
          <w:tcPr>
            <w:tcW w:type="dxa" w:w="1483"/>
          </w:tcPr>
          <w:p>
            <w:pPr>
              <w:spacing w:after="20"/>
              <w:jc w:val="right"/>
            </w:pPr>
            <w:r>
              <w:rPr>
                <w:color w:val="1C3A36"/>
                <w:sz w:val="17"/>
              </w:rPr>
              <w:t>-1.56</w:t>
            </w:r>
          </w:p>
        </w:tc>
        <w:tc>
          <w:tcPr>
            <w:tcW w:type="dxa" w:w="1483"/>
          </w:tcPr>
          <w:p>
            <w:pPr>
              <w:spacing w:after="20"/>
              <w:jc w:val="right"/>
            </w:pPr>
            <w:r>
              <w:rPr>
                <w:color w:val="1C3A36"/>
                <w:sz w:val="17"/>
              </w:rPr>
              <w:t>-0.21</w:t>
            </w:r>
          </w:p>
        </w:tc>
        <w:tc>
          <w:tcPr>
            <w:tcW w:type="dxa" w:w="1483"/>
          </w:tcPr>
          <w:p>
            <w:pPr>
              <w:spacing w:after="20"/>
              <w:jc w:val="right"/>
            </w:pPr>
            <w:r>
              <w:rPr>
                <w:color w:val="1C3A36"/>
                <w:sz w:val="17"/>
              </w:rPr>
              <w:t>1.14</w:t>
            </w:r>
          </w:p>
        </w:tc>
        <w:tc>
          <w:tcPr>
            <w:tcW w:type="dxa" w:w="1483"/>
          </w:tcPr>
          <w:p>
            <w:pPr>
              <w:spacing w:after="20"/>
              <w:jc w:val="right"/>
            </w:pPr>
            <w:r>
              <w:rPr>
                <w:color w:val="1C3A36"/>
                <w:sz w:val="17"/>
              </w:rPr>
              <w:t>2.49</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-2.98</w:t>
            </w:r>
          </w:p>
        </w:tc>
        <w:tc>
          <w:tcPr>
            <w:tcW w:type="dxa" w:w="1483"/>
          </w:tcPr>
          <w:p>
            <w:pPr>
              <w:spacing w:after="20"/>
              <w:jc w:val="right"/>
            </w:pPr>
            <w:r>
              <w:rPr>
                <w:color w:val="1C3A36"/>
                <w:sz w:val="17"/>
              </w:rPr>
              <w:t>-1.69</w:t>
            </w:r>
          </w:p>
        </w:tc>
        <w:tc>
          <w:tcPr>
            <w:tcW w:type="dxa" w:w="1483"/>
          </w:tcPr>
          <w:p>
            <w:pPr>
              <w:spacing w:after="20"/>
              <w:jc w:val="right"/>
            </w:pPr>
            <w:r>
              <w:rPr>
                <w:color w:val="1C3A36"/>
                <w:sz w:val="17"/>
              </w:rPr>
              <w:t>-0.40</w:t>
            </w:r>
          </w:p>
        </w:tc>
        <w:tc>
          <w:tcPr>
            <w:tcW w:type="dxa" w:w="1483"/>
          </w:tcPr>
          <w:p>
            <w:pPr>
              <w:spacing w:after="20"/>
              <w:jc w:val="right"/>
            </w:pPr>
            <w:r>
              <w:rPr>
                <w:color w:val="1C3A36"/>
                <w:sz w:val="17"/>
              </w:rPr>
              <w:t>0.90</w:t>
            </w:r>
          </w:p>
        </w:tc>
        <w:tc>
          <w:tcPr>
            <w:tcW w:type="dxa" w:w="1483"/>
          </w:tcPr>
          <w:p>
            <w:pPr>
              <w:spacing w:after="20"/>
              <w:jc w:val="right"/>
            </w:pPr>
            <w:r>
              <w:rPr>
                <w:color w:val="1C3A36"/>
                <w:sz w:val="17"/>
              </w:rPr>
              <w:t>2.19</w:t>
            </w:r>
          </w:p>
        </w:tc>
      </w:tr>
    </w:tbl>
    <w:p>
      <w:pPr>
        <w:spacing w:after="40"/>
      </w:pPr>
    </w:p>
    <w:p>
      <w:pPr>
        <w:spacing w:after="200" w:before="0"/>
      </w:pPr>
      <w:r>
        <w:rPr>
          <w:b w:val="0"/>
          <w:i/>
          <w:color w:val="6E7B77"/>
          <w:sz w:val="17"/>
        </w:rPr>
        <w:t>Table 19.  The highest cell in the grid is EGP 3.67,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-2.85 to 2.79</w:t>
            </w:r>
          </w:p>
        </w:tc>
        <w:tc>
          <w:tcPr>
            <w:tcW w:type="dxa" w:w="1152"/>
            <w:shd w:val="clear" w:color="auto" w:fill="F6F1E6"/>
          </w:tcPr>
          <w:p>
            <w:pPr>
              <w:spacing w:after="20"/>
              <w:jc w:val="right"/>
            </w:pPr>
            <w:r>
              <w:rPr>
                <w:b/>
                <w:color w:val="1C3A36"/>
                <w:sz w:val="16"/>
              </w:rPr>
              <w:t>5.63</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-0.67 to 3.34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-2.55 to -0.67</w:t>
            </w:r>
          </w:p>
        </w:tc>
        <w:tc>
          <w:tcPr>
            <w:tcW w:type="dxa" w:w="1152"/>
          </w:tcPr>
          <w:p>
            <w:pPr>
              <w:spacing w:after="20"/>
              <w:jc w:val="right"/>
            </w:pPr>
            <w:r>
              <w:rPr>
                <w:color w:val="1C3A36"/>
                <w:sz w:val="16"/>
              </w:rPr>
              <w:t>1.89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-0.40 to 0.52</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-1.48 to -0.67</w:t>
            </w:r>
          </w:p>
        </w:tc>
        <w:tc>
          <w:tcPr>
            <w:tcW w:type="dxa" w:w="1152"/>
          </w:tcPr>
          <w:p>
            <w:pPr>
              <w:spacing w:after="20"/>
              <w:jc w:val="right"/>
            </w:pPr>
            <w:r>
              <w:rPr>
                <w:color w:val="1C3A36"/>
                <w:sz w:val="16"/>
              </w:rPr>
              <w:t>0.81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-0.67 to -0.02</w:t>
            </w:r>
          </w:p>
        </w:tc>
        <w:tc>
          <w:tcPr>
            <w:tcW w:type="dxa" w:w="1152"/>
          </w:tcPr>
          <w:p>
            <w:pPr>
              <w:spacing w:after="20"/>
              <w:jc w:val="right"/>
            </w:pPr>
            <w:r>
              <w:rPr>
                <w:color w:val="1C3A36"/>
                <w:sz w:val="16"/>
              </w:rPr>
              <w:t>0.65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1.053 against the Dimson sum-beta of 0.828</w:t>
            </w:r>
          </w:p>
        </w:tc>
        <w:tc>
          <w:tcPr>
            <w:tcW w:type="dxa" w:w="2160"/>
          </w:tcPr>
          <w:p>
            <w:pPr>
              <w:spacing w:after="20"/>
              <w:jc w:val="right"/>
            </w:pPr>
            <w:r>
              <w:rPr>
                <w:color w:val="1C3A36"/>
                <w:sz w:val="16"/>
              </w:rPr>
              <w:t>-0.67 to -0.20</w:t>
            </w:r>
          </w:p>
        </w:tc>
        <w:tc>
          <w:tcPr>
            <w:tcW w:type="dxa" w:w="1152"/>
          </w:tcPr>
          <w:p>
            <w:pPr>
              <w:spacing w:after="20"/>
              <w:jc w:val="right"/>
            </w:pPr>
            <w:r>
              <w:rPr>
                <w:color w:val="1C3A36"/>
                <w:sz w:val="16"/>
              </w:rPr>
              <w:t>0.47</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-0.67 to -0.45</w:t>
            </w:r>
          </w:p>
        </w:tc>
        <w:tc>
          <w:tcPr>
            <w:tcW w:type="dxa" w:w="1152"/>
          </w:tcPr>
          <w:p>
            <w:pPr>
              <w:spacing w:after="20"/>
              <w:jc w:val="right"/>
            </w:pPr>
            <w:r>
              <w:rPr>
                <w:color w:val="1C3A36"/>
                <w:sz w:val="16"/>
              </w:rPr>
              <w:t>0.22</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5.0% against 5.0%</w:t>
            </w:r>
          </w:p>
        </w:tc>
        <w:tc>
          <w:tcPr>
            <w:tcW w:type="dxa" w:w="2160"/>
          </w:tcPr>
          <w:p>
            <w:pPr>
              <w:spacing w:after="20"/>
              <w:jc w:val="right"/>
            </w:pPr>
            <w:r>
              <w:rPr>
                <w:color w:val="1C3A36"/>
                <w:sz w:val="16"/>
              </w:rPr>
              <w:t>-0.67 to -0.67</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1.053, from 257 weekly observations over 5 years against an equal-weight index of 35 Egyptian names with the subject itself excluded — leaving a share inside its own index injects a self-covariance term, and doing so here would have returned 1.126 instead. The regression explains 28.3% of the variation with a standard error of 0.105, so all three conditions of the usability test are met and the estimate is adopted rather than defaulted. It was cross-checked two ways. The Dimson sum-beta over one lead and two lags — the correction for co-movement booked late because the share does not trade every session — is 0.828, and the adopted figure sits inside its interval; the share closes unchanged on 5.0% of sessions against 8.7% for the Egyptian library, so it is not unusually thin. And the simple prior for a cyclical, capital-intensive materials business is 1.0 to 1.5. The alternative is priced with the other contested constructions in section 1.8 rather than argued: on the sum-beta the answer is EGP -0.20 instead of EGP -0.67.</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was tested, in plain terms. The same method was run backwards over the company's own price history in non-overlapping three-month windows and scored against a random walk that carries the same interest-rate drift. Over the 17 windows since the market's last structural break it beat that benchmark by 2.64 per cent on a proper scoring rule, and the advantage held across every resampling block size tested, so it is not an artefact of how the windows were cut. Outcomes fell inside the fifty, eighty and ninety per cent bands 64.7%, 88.2% and 94.1% of the time against the fifty, eighty and ninety they promise. A uniformity test on where each outcome landed within its predicted distribution returns a p-value of 0.625, which is to say the bands are neither too wide nor too narrow to a degree the data can detect. Over the last five years of windows the advantage was 2.04 per cent.</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-0.67</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3.34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0.58</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7.34</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3.78</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7.34 should be read as what the shares would be worth if the programme were free — which it is not. What none of the lenses does, on any construction tested in section 1.8, is reach EGP 13.98. The gap is reported as the flat discount rate that would close it, about 7.9%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1.89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0.31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27.8% of terminal operating profit after tax back into the business every year for ever — on a plant that has just been rebuilt and needs no further building. A thirty per cent return on capital, which is what a newly completed line earns while it is still filling, is worth EGP 0.26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65.3% of enterprise value on the carried-through case and 31.2% on the stopped case. Above one hundred per cent is unusual and is explained rather than smoothed: the explicit window is a construction window with negative free cash flow, so the terminal block carries the whole enterprise value and then some. It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11,539</w:t>
            </w:r>
          </w:p>
        </w:tc>
        <w:tc>
          <w:tcPr>
            <w:tcW w:type="dxa" w:w="893"/>
          </w:tcPr>
          <w:p>
            <w:pPr>
              <w:spacing w:after="20"/>
              <w:jc w:val="right"/>
            </w:pPr>
            <w:r>
              <w:rPr>
                <w:color w:val="1C3A36"/>
                <w:sz w:val="14"/>
              </w:rPr>
              <w:t>11,626</w:t>
            </w:r>
          </w:p>
        </w:tc>
        <w:tc>
          <w:tcPr>
            <w:tcW w:type="dxa" w:w="893"/>
          </w:tcPr>
          <w:p>
            <w:pPr>
              <w:spacing w:after="20"/>
              <w:jc w:val="right"/>
            </w:pPr>
            <w:r>
              <w:rPr>
                <w:color w:val="1C3A36"/>
                <w:sz w:val="14"/>
              </w:rPr>
              <w:t>11,863</w:t>
            </w:r>
          </w:p>
        </w:tc>
        <w:tc>
          <w:tcPr>
            <w:tcW w:type="dxa" w:w="893"/>
          </w:tcPr>
          <w:p>
            <w:pPr>
              <w:spacing w:after="20"/>
              <w:jc w:val="right"/>
            </w:pPr>
            <w:r>
              <w:rPr>
                <w:color w:val="1C3A36"/>
                <w:sz w:val="14"/>
              </w:rPr>
              <w:t>12,303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6,668</w:t>
            </w:r>
          </w:p>
        </w:tc>
        <w:tc>
          <w:tcPr>
            <w:tcW w:type="dxa" w:w="893"/>
          </w:tcPr>
          <w:p>
            <w:pPr>
              <w:spacing w:after="20"/>
              <w:jc w:val="right"/>
            </w:pPr>
            <w:r>
              <w:rPr>
                <w:color w:val="1C3A36"/>
                <w:sz w:val="14"/>
              </w:rPr>
              <w:t>7,179</w:t>
            </w:r>
          </w:p>
        </w:tc>
        <w:tc>
          <w:tcPr>
            <w:tcW w:type="dxa" w:w="893"/>
          </w:tcPr>
          <w:p>
            <w:pPr>
              <w:spacing w:after="20"/>
              <w:jc w:val="right"/>
            </w:pPr>
            <w:r>
              <w:rPr>
                <w:color w:val="1C3A36"/>
                <w:sz w:val="14"/>
              </w:rPr>
              <w:t>7,699</w:t>
            </w:r>
          </w:p>
        </w:tc>
        <w:tc>
          <w:tcPr>
            <w:tcW w:type="dxa" w:w="893"/>
          </w:tcPr>
          <w:p>
            <w:pPr>
              <w:spacing w:after="20"/>
              <w:jc w:val="right"/>
            </w:pPr>
            <w:r>
              <w:rPr>
                <w:color w:val="1C3A36"/>
                <w:sz w:val="14"/>
              </w:rPr>
              <w:t>8,239</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4,871</w:t>
            </w:r>
          </w:p>
        </w:tc>
        <w:tc>
          <w:tcPr>
            <w:tcW w:type="dxa" w:w="893"/>
            <w:shd w:val="clear" w:color="auto" w:fill="F6F1E6"/>
          </w:tcPr>
          <w:p>
            <w:pPr>
              <w:spacing w:after="20"/>
              <w:jc w:val="right"/>
            </w:pPr>
            <w:r>
              <w:rPr>
                <w:b/>
                <w:color w:val="1C3A36"/>
                <w:sz w:val="14"/>
              </w:rPr>
              <w:t>4,448</w:t>
            </w:r>
          </w:p>
        </w:tc>
        <w:tc>
          <w:tcPr>
            <w:tcW w:type="dxa" w:w="893"/>
            <w:shd w:val="clear" w:color="auto" w:fill="F6F1E6"/>
          </w:tcPr>
          <w:p>
            <w:pPr>
              <w:spacing w:after="20"/>
              <w:jc w:val="right"/>
            </w:pPr>
            <w:r>
              <w:rPr>
                <w:b/>
                <w:color w:val="1C3A36"/>
                <w:sz w:val="14"/>
              </w:rPr>
              <w:t>4,163</w:t>
            </w:r>
          </w:p>
        </w:tc>
        <w:tc>
          <w:tcPr>
            <w:tcW w:type="dxa" w:w="893"/>
            <w:shd w:val="clear" w:color="auto" w:fill="F6F1E6"/>
          </w:tcPr>
          <w:p>
            <w:pPr>
              <w:spacing w:after="20"/>
              <w:jc w:val="right"/>
            </w:pPr>
            <w:r>
              <w:rPr>
                <w:b/>
                <w:color w:val="1C3A36"/>
                <w:sz w:val="14"/>
              </w:rPr>
              <w:t>4,064</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894</w:t>
            </w:r>
          </w:p>
        </w:tc>
        <w:tc>
          <w:tcPr>
            <w:tcW w:type="dxa" w:w="893"/>
          </w:tcPr>
          <w:p>
            <w:pPr>
              <w:spacing w:after="20"/>
              <w:jc w:val="right"/>
            </w:pPr>
            <w:r>
              <w:rPr>
                <w:color w:val="1C3A36"/>
                <w:sz w:val="14"/>
              </w:rPr>
              <w:t>958</w:t>
            </w:r>
          </w:p>
        </w:tc>
        <w:tc>
          <w:tcPr>
            <w:tcW w:type="dxa" w:w="893"/>
          </w:tcPr>
          <w:p>
            <w:pPr>
              <w:spacing w:after="20"/>
              <w:jc w:val="right"/>
            </w:pPr>
            <w:r>
              <w:rPr>
                <w:color w:val="1C3A36"/>
                <w:sz w:val="14"/>
              </w:rPr>
              <w:t>1,023</w:t>
            </w:r>
          </w:p>
        </w:tc>
        <w:tc>
          <w:tcPr>
            <w:tcW w:type="dxa" w:w="893"/>
          </w:tcPr>
          <w:p>
            <w:pPr>
              <w:spacing w:after="20"/>
              <w:jc w:val="right"/>
            </w:pPr>
            <w:r>
              <w:rPr>
                <w:color w:val="1C3A36"/>
                <w:sz w:val="14"/>
              </w:rPr>
              <w:t>1,093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429</w:t>
            </w:r>
          </w:p>
        </w:tc>
        <w:tc>
          <w:tcPr>
            <w:tcW w:type="dxa" w:w="893"/>
          </w:tcPr>
          <w:p>
            <w:pPr>
              <w:spacing w:after="20"/>
              <w:jc w:val="right"/>
            </w:pPr>
            <w:r>
              <w:rPr>
                <w:color w:val="1C3A36"/>
                <w:sz w:val="14"/>
              </w:rPr>
              <w:t>461</w:t>
            </w:r>
          </w:p>
        </w:tc>
        <w:tc>
          <w:tcPr>
            <w:tcW w:type="dxa" w:w="893"/>
          </w:tcPr>
          <w:p>
            <w:pPr>
              <w:spacing w:after="20"/>
              <w:jc w:val="right"/>
            </w:pPr>
            <w:r>
              <w:rPr>
                <w:color w:val="1C3A36"/>
                <w:sz w:val="14"/>
              </w:rPr>
              <w:t>494</w:t>
            </w:r>
          </w:p>
        </w:tc>
        <w:tc>
          <w:tcPr>
            <w:tcW w:type="dxa" w:w="893"/>
          </w:tcPr>
          <w:p>
            <w:pPr>
              <w:spacing w:after="20"/>
              <w:jc w:val="right"/>
            </w:pPr>
            <w:r>
              <w:rPr>
                <w:color w:val="1C3A36"/>
                <w:sz w:val="14"/>
              </w:rPr>
              <w:t>528</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3,427</w:t>
            </w:r>
          </w:p>
        </w:tc>
        <w:tc>
          <w:tcPr>
            <w:tcW w:type="dxa" w:w="893"/>
            <w:shd w:val="clear" w:color="auto" w:fill="F6F1E6"/>
          </w:tcPr>
          <w:p>
            <w:pPr>
              <w:spacing w:after="20"/>
              <w:jc w:val="right"/>
            </w:pPr>
            <w:r>
              <w:rPr>
                <w:b/>
                <w:color w:val="1C3A36"/>
                <w:sz w:val="14"/>
              </w:rPr>
              <w:t>2,928</w:t>
            </w:r>
          </w:p>
        </w:tc>
        <w:tc>
          <w:tcPr>
            <w:tcW w:type="dxa" w:w="893"/>
            <w:shd w:val="clear" w:color="auto" w:fill="F6F1E6"/>
          </w:tcPr>
          <w:p>
            <w:pPr>
              <w:spacing w:after="20"/>
              <w:jc w:val="right"/>
            </w:pPr>
            <w:r>
              <w:rPr>
                <w:b/>
                <w:color w:val="1C3A36"/>
                <w:sz w:val="14"/>
              </w:rPr>
              <w:t>2,556</w:t>
            </w:r>
          </w:p>
        </w:tc>
        <w:tc>
          <w:tcPr>
            <w:tcW w:type="dxa" w:w="893"/>
            <w:shd w:val="clear" w:color="auto" w:fill="F6F1E6"/>
          </w:tcPr>
          <w:p>
            <w:pPr>
              <w:spacing w:after="20"/>
              <w:jc w:val="right"/>
            </w:pPr>
            <w:r>
              <w:rPr>
                <w:b/>
                <w:color w:val="1C3A36"/>
                <w:sz w:val="14"/>
              </w:rPr>
              <w:t>2,363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4,436</w:t>
            </w:r>
          </w:p>
        </w:tc>
        <w:tc>
          <w:tcPr>
            <w:tcW w:type="dxa" w:w="893"/>
            <w:shd w:val="clear" w:color="auto" w:fill="F6F1E6"/>
          </w:tcPr>
          <w:p>
            <w:pPr>
              <w:spacing w:after="20"/>
              <w:jc w:val="right"/>
            </w:pPr>
            <w:r>
              <w:rPr>
                <w:b/>
                <w:color w:val="1C3A36"/>
                <w:sz w:val="14"/>
              </w:rPr>
              <w:t>4,074</w:t>
            </w:r>
          </w:p>
        </w:tc>
        <w:tc>
          <w:tcPr>
            <w:tcW w:type="dxa" w:w="893"/>
            <w:shd w:val="clear" w:color="auto" w:fill="F6F1E6"/>
          </w:tcPr>
          <w:p>
            <w:pPr>
              <w:spacing w:after="20"/>
              <w:jc w:val="right"/>
            </w:pPr>
            <w:r>
              <w:rPr>
                <w:b/>
                <w:color w:val="1C3A36"/>
                <w:sz w:val="14"/>
              </w:rPr>
              <w:t>3,849</w:t>
            </w:r>
          </w:p>
        </w:tc>
        <w:tc>
          <w:tcPr>
            <w:tcW w:type="dxa" w:w="893"/>
            <w:shd w:val="clear" w:color="auto" w:fill="F6F1E6"/>
          </w:tcPr>
          <w:p>
            <w:pPr>
              <w:spacing w:after="20"/>
              <w:jc w:val="right"/>
            </w:pPr>
            <w:r>
              <w:rPr>
                <w:b/>
                <w:color w:val="1C3A36"/>
                <w:sz w:val="14"/>
              </w:rPr>
              <w:t>3,797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42.2%</w:t>
            </w:r>
          </w:p>
        </w:tc>
        <w:tc>
          <w:tcPr>
            <w:tcW w:type="dxa" w:w="893"/>
          </w:tcPr>
          <w:p>
            <w:pPr>
              <w:spacing w:after="20"/>
              <w:jc w:val="right"/>
            </w:pPr>
            <w:r>
              <w:rPr>
                <w:color w:val="1C3A36"/>
                <w:sz w:val="14"/>
              </w:rPr>
              <w:t>38.3%</w:t>
            </w:r>
          </w:p>
        </w:tc>
        <w:tc>
          <w:tcPr>
            <w:tcW w:type="dxa" w:w="893"/>
          </w:tcPr>
          <w:p>
            <w:pPr>
              <w:spacing w:after="20"/>
              <w:jc w:val="right"/>
            </w:pPr>
            <w:r>
              <w:rPr>
                <w:color w:val="1C3A36"/>
                <w:sz w:val="14"/>
              </w:rPr>
              <w:t>35.1%</w:t>
            </w:r>
          </w:p>
        </w:tc>
        <w:tc>
          <w:tcPr>
            <w:tcW w:type="dxa" w:w="893"/>
          </w:tcPr>
          <w:p>
            <w:pPr>
              <w:spacing w:after="20"/>
              <w:jc w:val="right"/>
            </w:pPr>
            <w:r>
              <w:rPr>
                <w:color w:val="1C3A36"/>
                <w:sz w:val="14"/>
              </w:rPr>
              <w:t>33.0%</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38.4%</w:t>
            </w:r>
          </w:p>
        </w:tc>
        <w:tc>
          <w:tcPr>
            <w:tcW w:type="dxa" w:w="893"/>
          </w:tcPr>
          <w:p>
            <w:pPr>
              <w:spacing w:after="20"/>
              <w:jc w:val="right"/>
            </w:pPr>
            <w:r>
              <w:rPr>
                <w:color w:val="1C3A36"/>
                <w:sz w:val="14"/>
              </w:rPr>
              <w:t>35.0%</w:t>
            </w:r>
          </w:p>
        </w:tc>
        <w:tc>
          <w:tcPr>
            <w:tcW w:type="dxa" w:w="893"/>
          </w:tcPr>
          <w:p>
            <w:pPr>
              <w:spacing w:after="20"/>
              <w:jc w:val="right"/>
            </w:pPr>
            <w:r>
              <w:rPr>
                <w:color w:val="1C3A36"/>
                <w:sz w:val="14"/>
              </w:rPr>
              <w:t>32.4%</w:t>
            </w:r>
          </w:p>
        </w:tc>
        <w:tc>
          <w:tcPr>
            <w:tcW w:type="dxa" w:w="893"/>
          </w:tcPr>
          <w:p>
            <w:pPr>
              <w:spacing w:after="20"/>
              <w:jc w:val="right"/>
            </w:pPr>
            <w:r>
              <w:rPr>
                <w:color w:val="1C3A36"/>
                <w:sz w:val="14"/>
              </w:rPr>
              <w:t>30.9%</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3,430</w:t>
            </w:r>
          </w:p>
        </w:tc>
        <w:tc>
          <w:tcPr>
            <w:tcW w:type="dxa" w:w="1426"/>
          </w:tcPr>
          <w:p>
            <w:pPr>
              <w:spacing w:after="20"/>
              <w:jc w:val="right"/>
            </w:pPr>
            <w:r>
              <w:rPr>
                <w:color w:val="1C3A36"/>
                <w:sz w:val="16"/>
              </w:rPr>
              <w:t>3,332</w:t>
            </w:r>
          </w:p>
        </w:tc>
        <w:tc>
          <w:tcPr>
            <w:tcW w:type="dxa" w:w="1426"/>
          </w:tcPr>
          <w:p>
            <w:pPr>
              <w:spacing w:after="20"/>
              <w:jc w:val="right"/>
            </w:pPr>
            <w:r>
              <w:rPr>
                <w:color w:val="1C3A36"/>
                <w:sz w:val="16"/>
              </w:rPr>
              <w:t>2,627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846</w:t>
            </w:r>
          </w:p>
        </w:tc>
        <w:tc>
          <w:tcPr>
            <w:tcW w:type="dxa" w:w="1426"/>
          </w:tcPr>
          <w:p>
            <w:pPr>
              <w:spacing w:after="20"/>
              <w:jc w:val="right"/>
            </w:pPr>
            <w:r>
              <w:rPr>
                <w:color w:val="1C3A36"/>
                <w:sz w:val="16"/>
              </w:rPr>
              <w:t>853</w:t>
            </w:r>
          </w:p>
        </w:tc>
        <w:tc>
          <w:tcPr>
            <w:tcW w:type="dxa" w:w="1426"/>
          </w:tcPr>
          <w:p>
            <w:pPr>
              <w:spacing w:after="20"/>
              <w:jc w:val="right"/>
            </w:pPr>
            <w:r>
              <w:rPr>
                <w:color w:val="1C3A36"/>
                <w:sz w:val="16"/>
              </w:rPr>
              <w:t>870</w:t>
            </w:r>
          </w:p>
        </w:tc>
        <w:tc>
          <w:tcPr>
            <w:tcW w:type="dxa" w:w="1426"/>
          </w:tcPr>
          <w:p>
            <w:pPr>
              <w:spacing w:after="20"/>
              <w:jc w:val="right"/>
            </w:pPr>
            <w:r>
              <w:rPr>
                <w:color w:val="1C3A36"/>
                <w:sz w:val="16"/>
              </w:rPr>
              <w:t>902</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3,019</w:t>
            </w:r>
          </w:p>
        </w:tc>
        <w:tc>
          <w:tcPr>
            <w:tcW w:type="dxa" w:w="1426"/>
          </w:tcPr>
          <w:p>
            <w:pPr>
              <w:spacing w:after="20"/>
              <w:jc w:val="right"/>
            </w:pPr>
            <w:r>
              <w:rPr>
                <w:color w:val="1C3A36"/>
                <w:sz w:val="16"/>
              </w:rPr>
              <w:t>3,250</w:t>
            </w:r>
          </w:p>
        </w:tc>
        <w:tc>
          <w:tcPr>
            <w:tcW w:type="dxa" w:w="1426"/>
          </w:tcPr>
          <w:p>
            <w:pPr>
              <w:spacing w:after="20"/>
              <w:jc w:val="right"/>
            </w:pPr>
            <w:r>
              <w:rPr>
                <w:color w:val="1C3A36"/>
                <w:sz w:val="16"/>
              </w:rPr>
              <w:t>3,486</w:t>
            </w:r>
          </w:p>
        </w:tc>
        <w:tc>
          <w:tcPr>
            <w:tcW w:type="dxa" w:w="1426"/>
          </w:tcPr>
          <w:p>
            <w:pPr>
              <w:spacing w:after="20"/>
              <w:jc w:val="right"/>
            </w:pPr>
            <w:r>
              <w:rPr>
                <w:color w:val="1C3A36"/>
                <w:sz w:val="16"/>
              </w:rPr>
              <w:t>3,730</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1,519</w:t>
            </w:r>
          </w:p>
        </w:tc>
        <w:tc>
          <w:tcPr>
            <w:tcW w:type="dxa" w:w="1426"/>
          </w:tcPr>
          <w:p>
            <w:pPr>
              <w:spacing w:after="20"/>
              <w:jc w:val="right"/>
            </w:pPr>
            <w:r>
              <w:rPr>
                <w:color w:val="1C3A36"/>
                <w:sz w:val="16"/>
              </w:rPr>
              <w:t>1,636</w:t>
            </w:r>
          </w:p>
        </w:tc>
        <w:tc>
          <w:tcPr>
            <w:tcW w:type="dxa" w:w="1426"/>
          </w:tcPr>
          <w:p>
            <w:pPr>
              <w:spacing w:after="20"/>
              <w:jc w:val="right"/>
            </w:pPr>
            <w:r>
              <w:rPr>
                <w:color w:val="1C3A36"/>
                <w:sz w:val="16"/>
              </w:rPr>
              <w:t>1,754</w:t>
            </w:r>
          </w:p>
        </w:tc>
        <w:tc>
          <w:tcPr>
            <w:tcW w:type="dxa" w:w="1426"/>
          </w:tcPr>
          <w:p>
            <w:pPr>
              <w:spacing w:after="20"/>
              <w:jc w:val="right"/>
            </w:pPr>
            <w:r>
              <w:rPr>
                <w:color w:val="1C3A36"/>
                <w:sz w:val="16"/>
              </w:rPr>
              <w:t>1,877</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2,346</w:t>
            </w:r>
          </w:p>
        </w:tc>
        <w:tc>
          <w:tcPr>
            <w:tcW w:type="dxa" w:w="1426"/>
          </w:tcPr>
          <w:p>
            <w:pPr>
              <w:spacing w:after="20"/>
              <w:jc w:val="right"/>
            </w:pPr>
            <w:r>
              <w:rPr>
                <w:color w:val="1C3A36"/>
                <w:sz w:val="16"/>
              </w:rPr>
              <w:t>2,467</w:t>
            </w:r>
          </w:p>
        </w:tc>
        <w:tc>
          <w:tcPr>
            <w:tcW w:type="dxa" w:w="1426"/>
          </w:tcPr>
          <w:p>
            <w:pPr>
              <w:spacing w:after="20"/>
              <w:jc w:val="right"/>
            </w:pPr>
            <w:r>
              <w:rPr>
                <w:color w:val="1C3A36"/>
                <w:sz w:val="16"/>
              </w:rPr>
              <w:t>2,601</w:t>
            </w:r>
          </w:p>
        </w:tc>
        <w:tc>
          <w:tcPr>
            <w:tcW w:type="dxa" w:w="1426"/>
          </w:tcPr>
          <w:p>
            <w:pPr>
              <w:spacing w:after="20"/>
              <w:jc w:val="right"/>
            </w:pPr>
            <w:r>
              <w:rPr>
                <w:color w:val="1C3A36"/>
                <w:sz w:val="16"/>
              </w:rPr>
              <w:t>2,755</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154</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302</w:t>
            </w:r>
          </w:p>
        </w:tc>
        <w:tc>
          <w:tcPr>
            <w:tcW w:type="dxa" w:w="1426"/>
            <w:shd w:val="clear" w:color="auto" w:fill="F6F1E6"/>
          </w:tcPr>
          <w:p>
            <w:pPr>
              <w:spacing w:after="20"/>
              <w:jc w:val="right"/>
            </w:pPr>
            <w:r>
              <w:rPr>
                <w:b/>
                <w:color w:val="1C3A36"/>
                <w:sz w:val="16"/>
              </w:rPr>
              <w:t>-135</w:t>
            </w:r>
          </w:p>
        </w:tc>
        <w:tc>
          <w:tcPr>
            <w:tcW w:type="dxa" w:w="1426"/>
            <w:shd w:val="clear" w:color="auto" w:fill="F6F1E6"/>
          </w:tcPr>
          <w:p>
            <w:pPr>
              <w:spacing w:after="20"/>
              <w:jc w:val="right"/>
            </w:pPr>
            <w:r>
              <w:rPr>
                <w:b/>
                <w:color w:val="1C3A36"/>
                <w:sz w:val="16"/>
              </w:rPr>
              <w:t>-193</w:t>
            </w:r>
          </w:p>
        </w:tc>
        <w:tc>
          <w:tcPr>
            <w:tcW w:type="dxa" w:w="1426"/>
            <w:shd w:val="clear" w:color="auto" w:fill="F6F1E6"/>
          </w:tcPr>
          <w:p>
            <w:pPr>
              <w:spacing w:after="20"/>
              <w:jc w:val="right"/>
            </w:pPr>
            <w:r>
              <w:rPr>
                <w:b/>
                <w:color w:val="1C3A36"/>
                <w:sz w:val="16"/>
              </w:rPr>
              <w:t>485</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10</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19</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61</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290</w:t>
            </w:r>
          </w:p>
        </w:tc>
      </w:tr>
    </w:tbl>
    <w:p>
      <w:pPr>
        <w:spacing w:after="40"/>
      </w:pPr>
    </w:p>
    <w:p>
      <w:pPr>
        <w:spacing w:after="200" w:before="0"/>
      </w:pPr>
      <w:r>
        <w:rPr>
          <w:b w:val="0"/>
          <w:i/>
          <w:color w:val="6E7B77"/>
          <w:sz w:val="17"/>
        </w:rPr>
        <w:t>Table 29.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30.  Expert 1's workings in full — every intermediate line, not a summary of them.</w:t>
      </w:r>
    </w:p>
    <w:p>
      <w:pPr>
        <w:spacing w:after="120" w:before="0"/>
      </w:pPr>
      <w:r>
        <w:rPr>
          <w:b/>
          <w:i w:val="0"/>
          <w:color w:val="1C3A36"/>
          <w:sz w:val="21"/>
        </w:rPr>
        <w:t>Range: EGP 4.47 to EGP 7.44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is the swing factor. At US$550 per annual tonne the range starts at EGP 3.82; at US$700 it reaches EGP 5.11. The control discount moves it by about a third either way.</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54</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6,742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780</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575</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9,404</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-3,877</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2,697</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-406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1,400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13,996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2's workings in full — every intermediate line, not a summary of them.</w:t>
      </w:r>
    </w:p>
    <w:p>
      <w:pPr>
        <w:spacing w:after="120" w:before="0"/>
      </w:pPr>
      <w:r>
        <w:rPr>
          <w:b/>
          <w:i w:val="0"/>
          <w:color w:val="1C3A36"/>
          <w:sz w:val="21"/>
        </w:rPr>
        <w:t>Range: EGP 2.37 to EGP 5.19 a share.</w:t>
      </w:r>
    </w:p>
    <w:p>
      <w:pPr>
        <w:spacing w:after="120" w:before="0"/>
      </w:pPr>
      <w:r>
        <w:rPr>
          <w:b w:val="0"/>
          <w:i w:val="0"/>
          <w:color w:val="1C3A36"/>
          <w:sz w:val="19"/>
        </w:rPr>
        <w:t>Reading it.  The middle reading, and the one closest to a conventional analyst's answer. It credits an ordinary year — EGP 9,404m of revenue and EGP 2,697m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2.37, twelve times EGP 5.19.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8,707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4,647</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4,170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5,123</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3,485</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1.75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3's workings in full — every intermediate line, not a summary of them.</w:t>
      </w:r>
    </w:p>
    <w:p>
      <w:pPr>
        <w:spacing w:after="120" w:before="0"/>
      </w:pPr>
      <w:r>
        <w:rPr>
          <w:b/>
          <w:i w:val="0"/>
          <w:color w:val="1C3A36"/>
          <w:sz w:val="21"/>
        </w:rPr>
        <w:t>Range: EGP 0.00 to EGP 1.93 a share.</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8,707m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0.78 a share, and at 60% over seven years EGP 2.44.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0.78</w:t>
            </w:r>
          </w:p>
        </w:tc>
        <w:tc>
          <w:tcPr>
            <w:tcW w:type="dxa" w:w="1541"/>
          </w:tcPr>
          <w:p>
            <w:pPr>
              <w:spacing w:after="20"/>
              <w:jc w:val="right"/>
            </w:pPr>
            <w:r>
              <w:rPr>
                <w:color w:val="1C3A36"/>
                <w:sz w:val="17"/>
              </w:rPr>
              <w:t>0.89</w:t>
            </w:r>
          </w:p>
        </w:tc>
        <w:tc>
          <w:tcPr>
            <w:tcW w:type="dxa" w:w="1541"/>
          </w:tcPr>
          <w:p>
            <w:pPr>
              <w:spacing w:after="20"/>
              <w:jc w:val="right"/>
            </w:pPr>
            <w:r>
              <w:rPr>
                <w:color w:val="1C3A36"/>
                <w:sz w:val="17"/>
              </w:rPr>
              <w:t>1.09</w:t>
            </w:r>
          </w:p>
        </w:tc>
        <w:tc>
          <w:tcPr>
            <w:tcW w:type="dxa" w:w="1541"/>
          </w:tcPr>
          <w:p>
            <w:pPr>
              <w:spacing w:after="20"/>
              <w:jc w:val="right"/>
            </w:pPr>
            <w:r>
              <w:rPr>
                <w:color w:val="1C3A36"/>
                <w:sz w:val="17"/>
              </w:rPr>
              <w:t>1.29</w:t>
            </w:r>
          </w:p>
        </w:tc>
        <w:tc>
          <w:tcPr>
            <w:tcW w:type="dxa" w:w="1541"/>
          </w:tcPr>
          <w:p>
            <w:pPr>
              <w:spacing w:after="20"/>
              <w:jc w:val="right"/>
            </w:pPr>
            <w:r>
              <w:rPr>
                <w:color w:val="1C3A36"/>
                <w:sz w:val="17"/>
              </w:rPr>
              <w:t>1.38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1.49</w:t>
            </w:r>
          </w:p>
        </w:tc>
        <w:tc>
          <w:tcPr>
            <w:tcW w:type="dxa" w:w="1541"/>
          </w:tcPr>
          <w:p>
            <w:pPr>
              <w:spacing w:after="20"/>
              <w:jc w:val="right"/>
            </w:pPr>
            <w:r>
              <w:rPr>
                <w:color w:val="1C3A36"/>
                <w:sz w:val="17"/>
              </w:rPr>
              <w:t>1.57</w:t>
            </w:r>
          </w:p>
        </w:tc>
        <w:tc>
          <w:tcPr>
            <w:tcW w:type="dxa" w:w="1541"/>
          </w:tcPr>
          <w:p>
            <w:pPr>
              <w:spacing w:after="20"/>
              <w:jc w:val="right"/>
            </w:pPr>
            <w:r>
              <w:rPr>
                <w:color w:val="1C3A36"/>
                <w:sz w:val="17"/>
              </w:rPr>
              <w:t>1.75</w:t>
            </w:r>
          </w:p>
        </w:tc>
        <w:tc>
          <w:tcPr>
            <w:tcW w:type="dxa" w:w="1541"/>
          </w:tcPr>
          <w:p>
            <w:pPr>
              <w:spacing w:after="20"/>
              <w:jc w:val="right"/>
            </w:pPr>
            <w:r>
              <w:rPr>
                <w:color w:val="1C3A36"/>
                <w:sz w:val="17"/>
              </w:rPr>
              <w:t>1.93</w:t>
            </w:r>
          </w:p>
        </w:tc>
        <w:tc>
          <w:tcPr>
            <w:tcW w:type="dxa" w:w="1541"/>
          </w:tcPr>
          <w:p>
            <w:pPr>
              <w:spacing w:after="20"/>
              <w:jc w:val="right"/>
            </w:pPr>
            <w:r>
              <w:rPr>
                <w:color w:val="1C3A36"/>
                <w:sz w:val="17"/>
              </w:rPr>
              <w:t>2.02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2.03</w:t>
            </w:r>
          </w:p>
        </w:tc>
        <w:tc>
          <w:tcPr>
            <w:tcW w:type="dxa" w:w="1541"/>
          </w:tcPr>
          <w:p>
            <w:pPr>
              <w:spacing w:after="20"/>
              <w:jc w:val="right"/>
            </w:pPr>
            <w:r>
              <w:rPr>
                <w:color w:val="1C3A36"/>
                <w:sz w:val="17"/>
              </w:rPr>
              <w:t>2.09</w:t>
            </w:r>
          </w:p>
        </w:tc>
        <w:tc>
          <w:tcPr>
            <w:tcW w:type="dxa" w:w="1541"/>
          </w:tcPr>
          <w:p>
            <w:pPr>
              <w:spacing w:after="20"/>
              <w:jc w:val="right"/>
            </w:pPr>
            <w:r>
              <w:rPr>
                <w:color w:val="1C3A36"/>
                <w:sz w:val="17"/>
              </w:rPr>
              <w:t>2.23</w:t>
            </w:r>
          </w:p>
        </w:tc>
        <w:tc>
          <w:tcPr>
            <w:tcW w:type="dxa" w:w="1541"/>
          </w:tcPr>
          <w:p>
            <w:pPr>
              <w:spacing w:after="20"/>
              <w:jc w:val="right"/>
            </w:pPr>
            <w:r>
              <w:rPr>
                <w:color w:val="1C3A36"/>
                <w:sz w:val="17"/>
              </w:rPr>
              <w:t>2.37</w:t>
            </w:r>
          </w:p>
        </w:tc>
        <w:tc>
          <w:tcPr>
            <w:tcW w:type="dxa" w:w="1541"/>
          </w:tcPr>
          <w:p>
            <w:pPr>
              <w:spacing w:after="20"/>
              <w:jc w:val="right"/>
            </w:pPr>
            <w:r>
              <w:rPr>
                <w:color w:val="1C3A36"/>
                <w:sz w:val="17"/>
              </w:rPr>
              <w:t>2.44</w:t>
            </w:r>
          </w:p>
        </w:tc>
      </w:tr>
    </w:tbl>
    <w:p>
      <w:pPr>
        <w:spacing w:after="40"/>
      </w:pPr>
    </w:p>
    <w:p>
      <w:pPr>
        <w:spacing w:after="200" w:before="0"/>
      </w:pPr>
      <w:r>
        <w:rPr>
          <w:b w:val="0"/>
          <w:i/>
          <w:color w:val="6E7B77"/>
          <w:sz w:val="17"/>
        </w:rPr>
        <w:t>Table 33.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1.57 a share, at 55% EGP 1.93.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7.44.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2.10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0.43</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2.53</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0.67</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whole study against the market</w:t>
            </w:r>
          </w:p>
        </w:tc>
        <w:tc>
          <w:tcPr>
            <w:tcW w:type="dxa" w:w="1440"/>
          </w:tcPr>
          <w:p>
            <w:pPr>
              <w:spacing w:after="20"/>
              <w:jc w:val="right"/>
            </w:pPr>
            <w:r>
              <w:rPr>
                <w:color w:val="1C3A36"/>
                <w:sz w:val="16"/>
              </w:rPr>
              <w:t>-6.64</w:t>
            </w:r>
          </w:p>
        </w:tc>
        <w:tc>
          <w:tcPr>
            <w:tcW w:type="dxa" w:w="5904"/>
          </w:tcPr>
          <w:p>
            <w:pPr>
              <w:spacing w:after="20"/>
            </w:pPr>
            <w:r>
              <w:rPr>
                <w:color w:val="1C3A36"/>
                <w:sz w:val="16"/>
              </w:rPr>
              <w:t>The discount rate, and only the discount rate. At about 7.9% the market's price is reproduced; at any rate anchored to Egypt's sovereign it is not.</w:t>
            </w:r>
          </w:p>
        </w:tc>
      </w:tr>
    </w:tbl>
    <w:p>
      <w:pPr>
        <w:spacing w:after="40"/>
      </w:pPr>
    </w:p>
    <w:p>
      <w:pPr>
        <w:spacing w:after="200" w:before="0"/>
      </w:pPr>
      <w:r>
        <w:rPr>
          <w:b w:val="0"/>
          <w:i/>
          <w:color w:val="6E7B77"/>
          <w:sz w:val="17"/>
        </w:rPr>
        <w:t>Table 34.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290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8 August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