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12.3</w:t>
            </w:r>
          </w:p>
        </w:tc>
        <w:tc>
          <w:tcPr>
            <w:tcW w:type="dxa" w:w="5904"/>
          </w:tcPr>
          <w:p>
            <w:pPr>
              <w:spacing w:after="20"/>
            </w:pPr>
            <w:r>
              <w:rPr>
                <w:color w:val="1C3A36"/>
                <w:sz w:val="14"/>
              </w:rPr>
              <w:t>Uploaded DFM daily price history for DU, last close 07-Aug-2026</w:t>
            </w:r>
          </w:p>
        </w:tc>
        <w:tc>
          <w:tcPr>
            <w:tcW w:type="dxa" w:w="1080"/>
          </w:tcPr>
          <w:p>
            <w:pPr>
              <w:spacing w:after="20"/>
            </w:pPr>
            <w:r>
              <w:rPr>
                <w:color w:val="1C3A36"/>
                <w:sz w:val="14"/>
              </w:rPr>
              <w:t>2026-08-07</w:t>
            </w:r>
          </w:p>
        </w:tc>
      </w:tr>
      <w:tr>
        <w:tc>
          <w:tcPr>
            <w:tcW w:type="dxa" w:w="1512"/>
          </w:tcPr>
          <w:p>
            <w:pPr>
              <w:spacing w:after="20"/>
            </w:pPr>
            <w:r>
              <w:rPr>
                <w:color w:val="1C3A36"/>
                <w:sz w:val="14"/>
              </w:rPr>
              <w:t>beta</w:t>
            </w:r>
          </w:p>
        </w:tc>
        <w:tc>
          <w:tcPr>
            <w:tcW w:type="dxa" w:w="1656"/>
          </w:tcPr>
          <w:p>
            <w:pPr>
              <w:spacing w:after="20"/>
            </w:pPr>
            <w:r>
              <w:rPr>
                <w:color w:val="1C3A36"/>
                <w:sz w:val="14"/>
              </w:rPr>
              <w:t>0.488</w:t>
            </w:r>
          </w:p>
        </w:tc>
        <w:tc>
          <w:tcPr>
            <w:tcW w:type="dxa" w:w="5904"/>
          </w:tcPr>
          <w:p>
            <w:pPr>
              <w:spacing w:after="20"/>
            </w:pPr>
            <w:r>
              <w:rPr>
                <w:color w:val="1C3A36"/>
                <w:sz w:val="14"/>
              </w:rPr>
              <w:t>Own-stock regression vs the FTSE ADX GENERAL INDEX, adopted per explicit user instruction (10-Aug-2026) as the UAE base market index: DU weekly log-returns, 5-year window, last-common-session weekly sampling on the user-supplied index export (2011..24-Jul-2026): beta 0.488, R2 0.120, n 256, SE 0.083, CI90 [0.35, 0.62] - passes the usability gate (n&gt;=24, R2&gt;=5%, SE&lt;|beta|). Published alternatives: DFM General (DU's own listing venue, the house default) 0.472 (R2 0.202, SE 0.058); equal-weight AE-library composite 0.400. A defensive, negative-net-debt telecom regressing below 0.5 on either UAE index is economically coherent; betas at the CI ends and 0.65/0.80 priors are PRICED in the sensitivity grid</w:t>
            </w:r>
          </w:p>
        </w:tc>
        <w:tc>
          <w:tcPr>
            <w:tcW w:type="dxa" w:w="1080"/>
          </w:tcPr>
          <w:p>
            <w:pPr>
              <w:spacing w:after="20"/>
            </w:pPr>
            <w:r>
              <w:rPr>
                <w:color w:val="1C3A36"/>
                <w:sz w:val="14"/>
              </w:rPr>
              <w:t>2026-08-10</w:t>
            </w:r>
          </w:p>
        </w:tc>
      </w:tr>
    </w:tbl>
    <w:p>
      <w:pPr>
        <w:spacing w:after="40"/>
      </w:pPr>
    </w:p>
    <w:p>
      <w:pPr>
        <w:spacing w:after="60" w:before="160"/>
      </w:pPr>
      <w:r>
        <w:rPr>
          <w:b/>
          <w:i w:val="0"/>
          <w:color w:val="1C3A36"/>
          <w:sz w:val="22"/>
        </w:rPr>
        <w:t>Company layer — 127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0.4</w:t>
            </w:r>
          </w:p>
        </w:tc>
        <w:tc>
          <w:tcPr>
            <w:tcW w:type="dxa" w:w="5904"/>
          </w:tcPr>
          <w:p>
            <w:pPr>
              <w:spacing w:after="20"/>
            </w:pPr>
            <w:r>
              <w:rPr>
                <w:color w:val="1C3A36"/>
                <w:sz w:val="14"/>
              </w:rPr>
              <w:t>Final FY2025 cash dividend AED 0.40/share, approved AGM 30-Mar-2026, PAID 28-Apr-2026 (AED 1,813,162k) — value that left the share between the valuation date and the anchor. The H1-2026 interim of AED 0.26 was declared 23-Jul-2026 but not yet paid at the anchor, so it stays in the share</w:t>
            </w:r>
          </w:p>
        </w:tc>
        <w:tc>
          <w:tcPr>
            <w:tcW w:type="dxa" w:w="1080"/>
          </w:tcPr>
          <w:p>
            <w:pPr>
              <w:spacing w:after="20"/>
            </w:pPr>
            <w:r>
              <w:rPr>
                <w:color w:val="1C3A36"/>
                <w:sz w:val="14"/>
              </w:rPr>
              <w:t>2026-07-22</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22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219.0</w:t>
            </w:r>
          </w:p>
        </w:tc>
        <w:tc>
          <w:tcPr>
            <w:tcW w:type="dxa" w:w="5904"/>
          </w:tcPr>
          <w:p>
            <w:pPr>
              <w:spacing w:after="20"/>
            </w:pPr>
            <w:r>
              <w:rPr>
                <w:color w:val="1C3A36"/>
                <w:sz w:val="14"/>
              </w:rPr>
              <w:t>31-Dec-2025 valuation date to the 07-Aug-2026 price anchor</w:t>
            </w:r>
          </w:p>
        </w:tc>
        <w:tc>
          <w:tcPr>
            <w:tcW w:type="dxa" w:w="1080"/>
          </w:tcPr>
          <w:p>
            <w:pPr>
              <w:spacing w:after="20"/>
            </w:pPr>
            <w:r>
              <w:rPr>
                <w:color w:val="1C3A36"/>
                <w:sz w:val="14"/>
              </w:rPr>
              <w:t>2026-08-07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company printed 63.3-63.4 across FY2025-Q2-2026</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contrib_margin_path</w:t>
            </w:r>
          </w:p>
        </w:tc>
        <w:tc>
          <w:tcPr>
            <w:tcW w:type="dxa" w:w="1656"/>
          </w:tcPr>
          <w:p>
            <w:pPr>
              <w:spacing w:after="20"/>
            </w:pPr>
            <w:r>
              <w:rPr>
                <w:color w:val="1C3A36"/>
                <w:sz w:val="14"/>
              </w:rPr>
              <w:t>mobile: 0.608, 0.608, 0.608, 0.608, 0.608; fixed: 0.858, 0.858, 0.858, 0.858, 0.858; wholesale: 0.864, 0.864, 0.864, 0.864, 0.864; ict: 0.194, 0.2, 0.205, 0.21, 0.215</w:t>
            </w:r>
          </w:p>
        </w:tc>
        <w:tc>
          <w:tcPr>
            <w:tcW w:type="dxa" w:w="5904"/>
          </w:tcPr>
          <w:p>
            <w:pPr>
              <w:spacing w:after="20"/>
            </w:pPr>
            <w:r>
              <w:rPr>
                <w:color w:val="1C3A36"/>
                <w:sz w:val="14"/>
              </w:rPr>
              <w:t>Segment contribution margins: mobile/fixed/wholesale held at the audited FY2025 rates (60.8% / 85.8% / 86.4% — FY2024: 60.9% / 84.6% / 88.0%); ICT lifted 19.4% -&gt; 21.5% over five years on data-centre scale (still the thinnest-margin segment)</w:t>
            </w:r>
          </w:p>
        </w:tc>
        <w:tc>
          <w:tcPr>
            <w:tcW w:type="dxa" w:w="1080"/>
          </w:tcPr>
          <w:p>
            <w:pPr>
              <w:spacing w:after="20"/>
            </w:pPr>
            <w:r>
              <w:rPr>
                <w:color w:val="1C3A36"/>
                <w:sz w:val="14"/>
              </w:rPr>
              <w:t>2026-08-09</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staff_fy26</w:t>
            </w:r>
          </w:p>
        </w:tc>
        <w:tc>
          <w:tcPr>
            <w:tcW w:type="dxa" w:w="1656"/>
          </w:tcPr>
          <w:p>
            <w:pPr>
              <w:spacing w:after="20"/>
            </w:pPr>
            <w:r>
              <w:rPr>
                <w:color w:val="1C3A36"/>
                <w:sz w:val="14"/>
              </w:rPr>
              <w:t>985.0</w:t>
            </w:r>
          </w:p>
        </w:tc>
        <w:tc>
          <w:tcPr>
            <w:tcW w:type="dxa" w:w="5904"/>
          </w:tcPr>
          <w:p>
            <w:pPr>
              <w:spacing w:after="20"/>
            </w:pPr>
            <w:r>
              <w:rPr>
                <w:color w:val="1C3A36"/>
                <w:sz w:val="14"/>
              </w:rPr>
              <w:t>FY2026E staff cost: H1-2026 actual 471.360 + H2 at the H2-2025 seasonal ratio (H2 runs above H1; 513.6 = H1 x 1.09) — the company's own run-rate after the efficiency program, escalated 2%/yr thereafter</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House synthesis weights, operating-company pattern (SWDY reference study)</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T-bond, January-2031 tranche, auction yield 4.48% (22-Jul-2026 auction, +4bp over matched UST) - the longest LIQUID recent AED government primary print. There is no liquid 10-year AED point (longest AED primary ever is the Feb-2033 tranche at 4.13%, Apr-2026, now stale);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2026-07-22</w:t>
            </w:r>
          </w:p>
        </w:tc>
      </w:tr>
      <w:tr>
        <w:tc>
          <w:tcPr>
            <w:tcW w:type="dxa" w:w="1512"/>
          </w:tcPr>
          <w:p>
            <w:pPr>
              <w:spacing w:after="20"/>
            </w:pPr>
            <w:r>
              <w:rPr>
                <w:color w:val="1C3A36"/>
                <w:sz w:val="14"/>
              </w:rPr>
              <w:t>g_term</w:t>
            </w:r>
          </w:p>
        </w:tc>
        <w:tc>
          <w:tcPr>
            <w:tcW w:type="dxa" w:w="1656"/>
          </w:tcPr>
          <w:p>
            <w:pPr>
              <w:spacing w:after="20"/>
            </w:pPr>
            <w:r>
              <w:rPr>
                <w:color w:val="1C3A36"/>
                <w:sz w:val="14"/>
              </w:rPr>
              <w:t>0.025</w:t>
            </w:r>
          </w:p>
        </w:tc>
        <w:tc>
          <w:tcPr>
            <w:tcW w:type="dxa" w:w="5904"/>
          </w:tcPr>
          <w:p>
            <w:pPr>
              <w:spacing w:after="20"/>
            </w:pPr>
            <w:r>
              <w:rPr>
                <w:color w:val="1C3A36"/>
                <w:sz w:val="14"/>
              </w:rPr>
              <w:t>Terminal nominal AED growth 2.5%: below the IMF's UAE long-run nominal GDP growth (~4%: real ~4% + CPI ~2% per WEO Apr-2026) and consistent with a mature duopoly telecom growing at population-plus-inflation minus price erosion</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sov_spread_rating</w:t>
            </w:r>
          </w:p>
        </w:tc>
        <w:tc>
          <w:tcPr>
            <w:tcW w:type="dxa" w:w="1656"/>
          </w:tcPr>
          <w:p>
            <w:pPr>
              <w:spacing w:after="20"/>
            </w:pPr>
            <w:r>
              <w:rPr>
                <w:color w:val="1C3A36"/>
                <w:sz w:val="14"/>
              </w:rPr>
              <w:t>0.0042</w:t>
            </w:r>
          </w:p>
        </w:tc>
        <w:tc>
          <w:tcPr>
            <w:tcW w:type="dxa" w:w="5904"/>
          </w:tcPr>
          <w:p>
            <w:pPr>
              <w:spacing w:after="20"/>
            </w:pPr>
            <w:r>
              <w:rPr>
                <w:color w:val="1C3A36"/>
                <w:sz w:val="14"/>
              </w:rPr>
              <w:t>Damodaran ctryprem dataset (05-Jan-2026 update), United Arab Emirates row: Moody's Aa2, rating-based adjusted default spread 0.42%</w:t>
            </w:r>
          </w:p>
        </w:tc>
        <w:tc>
          <w:tcPr>
            <w:tcW w:type="dxa" w:w="1080"/>
          </w:tcPr>
          <w:p>
            <w:pPr>
              <w:spacing w:after="20"/>
            </w:pPr>
            <w:r>
              <w:rPr>
                <w:color w:val="1C3A36"/>
                <w:sz w:val="14"/>
              </w:rPr>
              <w:t>2026-01-05</w:t>
            </w:r>
          </w:p>
        </w:tc>
      </w:tr>
      <w:tr>
        <w:tc>
          <w:tcPr>
            <w:tcW w:type="dxa" w:w="1512"/>
          </w:tcPr>
          <w:p>
            <w:pPr>
              <w:spacing w:after="20"/>
            </w:pPr>
            <w:r>
              <w:rPr>
                <w:color w:val="1C3A36"/>
                <w:sz w:val="14"/>
              </w:rPr>
              <w:t>erp_rating</w:t>
            </w:r>
          </w:p>
        </w:tc>
        <w:tc>
          <w:tcPr>
            <w:tcW w:type="dxa" w:w="1656"/>
          </w:tcPr>
          <w:p>
            <w:pPr>
              <w:spacing w:after="20"/>
            </w:pPr>
            <w:r>
              <w:rPr>
                <w:color w:val="1C3A36"/>
                <w:sz w:val="14"/>
              </w:rPr>
              <w:t>0.0487</w:t>
            </w:r>
          </w:p>
        </w:tc>
        <w:tc>
          <w:tcPr>
            <w:tcW w:type="dxa" w:w="5904"/>
          </w:tcPr>
          <w:p>
            <w:pPr>
              <w:spacing w:after="20"/>
            </w:pPr>
            <w:r>
              <w:rPr>
                <w:color w:val="1C3A36"/>
                <w:sz w:val="14"/>
              </w:rPr>
              <w:t>Damodaran ctryprem (05-Jan-2026): UAE total equity risk premium 4.87% = 4.23% mature-market base + 0.64% country risk premium (rating basis). This is ERP basis 1</w:t>
            </w:r>
          </w:p>
        </w:tc>
        <w:tc>
          <w:tcPr>
            <w:tcW w:type="dxa" w:w="1080"/>
          </w:tcPr>
          <w:p>
            <w:pPr>
              <w:spacing w:after="20"/>
            </w:pPr>
            <w:r>
              <w:rPr>
                <w:color w:val="1C3A36"/>
                <w:sz w:val="14"/>
              </w:rPr>
              <w:t>2026-01-05</w:t>
            </w:r>
          </w:p>
        </w:tc>
      </w:tr>
      <w:tr>
        <w:tc>
          <w:tcPr>
            <w:tcW w:type="dxa" w:w="1512"/>
          </w:tcPr>
          <w:p>
            <w:pPr>
              <w:spacing w:after="20"/>
            </w:pPr>
            <w:r>
              <w:rPr>
                <w:color w:val="1C3A36"/>
                <w:sz w:val="14"/>
              </w:rPr>
              <w:t>sov_spread_mkt</w:t>
            </w:r>
          </w:p>
        </w:tc>
        <w:tc>
          <w:tcPr>
            <w:tcW w:type="dxa" w:w="1656"/>
          </w:tcPr>
          <w:p>
            <w:pPr>
              <w:spacing w:after="20"/>
            </w:pPr>
            <w:r>
              <w:rPr>
                <w:color w:val="1C3A36"/>
                <w:sz w:val="14"/>
              </w:rPr>
              <w:t>0.0025</w:t>
            </w:r>
          </w:p>
        </w:tc>
        <w:tc>
          <w:tcPr>
            <w:tcW w:type="dxa" w:w="5904"/>
          </w:tcPr>
          <w:p>
            <w:pPr>
              <w:spacing w:after="20"/>
            </w:pPr>
            <w:r>
              <w:rPr>
                <w:color w:val="1C3A36"/>
                <w:sz w:val="14"/>
              </w:rPr>
              <w:t>Market-spread basis: Abu Dhabi USD 10-year traded at UST+25bp (Feb-2026 issue; UAE CDS itself unreachable - cbonds 403, Damodaran shows NA for UAE CDS; failure logged, never substituted silently). Basis-2 default spread = 0.25%</w:t>
            </w:r>
          </w:p>
        </w:tc>
        <w:tc>
          <w:tcPr>
            <w:tcW w:type="dxa" w:w="1080"/>
          </w:tcPr>
          <w:p>
            <w:pPr>
              <w:spacing w:after="20"/>
            </w:pPr>
            <w:r>
              <w:rPr>
                <w:color w:val="1C3A36"/>
                <w:sz w:val="14"/>
              </w:rPr>
              <w:t>2026-02-15</w:t>
            </w:r>
          </w:p>
        </w:tc>
      </w:tr>
      <w:tr>
        <w:tc>
          <w:tcPr>
            <w:tcW w:type="dxa" w:w="1512"/>
          </w:tcPr>
          <w:p>
            <w:pPr>
              <w:spacing w:after="20"/>
            </w:pPr>
            <w:r>
              <w:rPr>
                <w:color w:val="1C3A36"/>
                <w:sz w:val="14"/>
              </w:rPr>
              <w:t>erp_mkt</w:t>
            </w:r>
          </w:p>
        </w:tc>
        <w:tc>
          <w:tcPr>
            <w:tcW w:type="dxa" w:w="1656"/>
          </w:tcPr>
          <w:p>
            <w:pPr>
              <w:spacing w:after="20"/>
            </w:pPr>
            <w:r>
              <w:rPr>
                <w:color w:val="1C3A36"/>
                <w:sz w:val="14"/>
              </w:rPr>
              <w:t>0.0466</w:t>
            </w:r>
          </w:p>
        </w:tc>
        <w:tc>
          <w:tcPr>
            <w:tcW w:type="dxa" w:w="5904"/>
          </w:tcPr>
          <w:p>
            <w:pPr>
              <w:spacing w:after="20"/>
            </w:pPr>
            <w:r>
              <w:rPr>
                <w:color w:val="1C3A36"/>
                <w:sz w:val="14"/>
              </w:rPr>
              <w:t>ERP basis 2 (market-spread, fresher base): Damodaran live implied US ERP 4.28% (01-Aug-2026, T12m adjusted payout) + CRP scaled off the market default spread 0.25% x 1.52 (Damodaran's own CRP/spread multiple 0.64/0.42) = 0.38% -&gt; 4.66%. Same-basis consistency: this WACC strips the 0.25% market spread from rf, never the 0.42% rating spread</w:t>
            </w:r>
          </w:p>
        </w:tc>
        <w:tc>
          <w:tcPr>
            <w:tcW w:type="dxa" w:w="1080"/>
          </w:tcPr>
          <w:p>
            <w:pPr>
              <w:spacing w:after="20"/>
            </w:pPr>
            <w:r>
              <w:rPr>
                <w:color w:val="1C3A36"/>
                <w:sz w:val="14"/>
              </w:rPr>
              <w:t>2026-08-01</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0.0487</w:t>
            </w:r>
          </w:p>
        </w:tc>
        <w:tc>
          <w:tcPr>
            <w:tcW w:type="dxa" w:w="5904"/>
          </w:tcPr>
          <w:p>
            <w:pPr>
              <w:spacing w:after="20"/>
            </w:pPr>
            <w:r>
              <w:rPr>
                <w:color w:val="1C3A36"/>
                <w:sz w:val="14"/>
              </w:rPr>
              <w:t>Terminal ERP held at the rating-basis UAE ERP 4.87% (no structural convergence assumed for an Aa2 sovereign already near mature-market pricing)</w:t>
            </w:r>
          </w:p>
        </w:tc>
        <w:tc>
          <w:tcPr>
            <w:tcW w:type="dxa" w:w="1080"/>
          </w:tcPr>
          <w:p>
            <w:pPr>
              <w:spacing w:after="20"/>
            </w:pPr>
            <w:r>
              <w:rPr>
                <w:color w:val="1C3A36"/>
                <w:sz w:val="14"/>
              </w:rPr>
              <w:t>2026-01-05</w:t>
            </w:r>
          </w:p>
        </w:tc>
      </w:tr>
    </w:tbl>
    <w:p>
      <w:pPr>
        <w:spacing w:after="40"/>
      </w:pPr>
    </w:p>
    <w:p>
      <w:pPr>
        <w:spacing w:after="60" w:before="160"/>
      </w:pPr>
      <w:r>
        <w:rPr>
          <w:b/>
          <w:i w:val="0"/>
          <w:color w:val="1C3A36"/>
          <w:sz w:val="22"/>
        </w:rPr>
        <w:t>Industry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15.5</w:t>
            </w:r>
          </w:p>
        </w:tc>
        <w:tc>
          <w:tcPr>
            <w:tcW w:type="dxa" w:w="5904"/>
          </w:tcPr>
          <w:p>
            <w:pPr>
              <w:spacing w:after="20"/>
            </w:pPr>
            <w:r>
              <w:rPr>
                <w:color w:val="1C3A36"/>
                <w:sz w:val="14"/>
              </w:rPr>
              <w:t>Justified P/E 15.5x = the GCC-telecom peer median: e&amp; 20.7x, stc 18.9x, Mobily 15.5x, Ooredoo ~12.5x, Omantel 11.4x, Zain ~9x (trailing, public aggregator reads 08/09-Aug-2026, labelled CROSS-CHECK). Mobily is the closest structural analogue (second operator, growth phase). du itself trades ~16.5x trailing</w:t>
            </w:r>
          </w:p>
        </w:tc>
        <w:tc>
          <w:tcPr>
            <w:tcW w:type="dxa" w:w="1080"/>
          </w:tcPr>
          <w:p>
            <w:pPr>
              <w:spacing w:after="20"/>
            </w:pPr>
            <w:r>
              <w:rPr>
                <w:color w:val="1C3A36"/>
                <w:sz w:val="14"/>
              </w:rPr>
              <w:t>2026-08-09</w:t>
            </w:r>
          </w:p>
        </w:tc>
      </w:tr>
      <w:tr>
        <w:tc>
          <w:tcPr>
            <w:tcW w:type="dxa" w:w="1512"/>
          </w:tcPr>
          <w:p>
            <w:pPr>
              <w:spacing w:after="20"/>
            </w:pPr>
            <w:r>
              <w:rPr>
                <w:color w:val="1C3A36"/>
                <w:sz w:val="14"/>
              </w:rPr>
              <w:t>div_yield_peer</w:t>
            </w:r>
          </w:p>
        </w:tc>
        <w:tc>
          <w:tcPr>
            <w:tcW w:type="dxa" w:w="1656"/>
          </w:tcPr>
          <w:p>
            <w:pPr>
              <w:spacing w:after="20"/>
            </w:pPr>
            <w:r>
              <w:rPr>
                <w:color w:val="1C3A36"/>
                <w:sz w:val="14"/>
              </w:rPr>
              <w:t>0.052</w:t>
            </w:r>
          </w:p>
        </w:tc>
        <w:tc>
          <w:tcPr>
            <w:tcW w:type="dxa" w:w="5904"/>
          </w:tcPr>
          <w:p>
            <w:pPr>
              <w:spacing w:after="20"/>
            </w:pPr>
            <w:r>
              <w:rPr>
                <w:color w:val="1C3A36"/>
                <w:sz w:val="14"/>
              </w:rPr>
              <w:t>GCC telecom incumbent dividend-yield bracket ~4.8-6.7% (e&amp; 4.8%, stc 5.2%, Omantel 6.7%, aggregator reads Aug-2026, cross-check label); 5.2% (stc, the regional benchmark payer) used as the yield-lens anchor</w:t>
            </w:r>
          </w:p>
        </w:tc>
        <w:tc>
          <w:tcPr>
            <w:tcW w:type="dxa" w:w="1080"/>
          </w:tcPr>
          <w:p>
            <w:pPr>
              <w:spacing w:after="20"/>
            </w:pPr>
            <w:r>
              <w:rPr>
                <w:color w:val="1C3A36"/>
                <w:sz w:val="14"/>
              </w:rPr>
              <w:t>2026-08-09</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fiscal regime persists at the current 43.6% combined take (Framing A is the base)</w:t>
            </w:r>
          </w:p>
        </w:tc>
        <w:tc>
          <w:tcPr>
            <w:tcW w:type="dxa" w:w="3744"/>
          </w:tcPr>
          <w:p>
            <w:pPr>
              <w:spacing w:after="20"/>
            </w:pPr>
            <w:r>
              <w:rPr>
                <w:color w:val="1C3A36"/>
                <w:sz w:val="15"/>
              </w:rPr>
              <w:t>the legislated 2024-2026 regime; a ministry notification extending the structure to 2027-2029 disclosed by the peer operator</w:t>
            </w:r>
          </w:p>
        </w:tc>
        <w:tc>
          <w:tcPr>
            <w:tcW w:type="dxa" w:w="3744"/>
          </w:tcPr>
          <w:p>
            <w:pPr>
              <w:spacing w:after="20"/>
            </w:pPr>
            <w:r>
              <w:rPr>
                <w:color w:val="1C3A36"/>
                <w:sz w:val="15"/>
              </w:rPr>
              <w:t>du's own disclosure of different post-2026 terms — Framing B is priced throughout in case</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essentially flat</w:t>
            </w:r>
          </w:p>
        </w:tc>
        <w:tc>
          <w:tcPr>
            <w:tcW w:type="dxa" w:w="3744"/>
          </w:tcPr>
          <w:p>
            <w:pPr>
              <w:spacing w:after="20"/>
            </w:pPr>
            <w:r>
              <w:rPr>
                <w:color w:val="1C3A36"/>
                <w:sz w:val="15"/>
              </w:rPr>
              <w:t>four quarters printed within 63.3-63.4; postpaid mix offsetting prepaid dilution; no price war in the record</w:t>
            </w:r>
          </w:p>
        </w:tc>
        <w:tc>
          <w:tcPr>
            <w:tcW w:type="dxa" w:w="3744"/>
          </w:tcPr>
          <w:p>
            <w:pPr>
              <w:spacing w:after="20"/>
            </w:pPr>
            <w:r>
              <w:rPr>
                <w:color w:val="1C3A36"/>
                <w:sz w:val="15"/>
              </w:rPr>
              <w:t>ARPU below AED 60 without a disclosed mix explanation</w:t>
            </w:r>
          </w:p>
        </w:tc>
      </w:tr>
      <w:tr>
        <w:tc>
          <w:tcPr>
            <w:tcW w:type="dxa" w:w="2664"/>
          </w:tcPr>
          <w:p>
            <w:pPr>
              <w:spacing w:after="20"/>
            </w:pPr>
            <w:r>
              <w:rPr>
                <w:color w:val="1C3A36"/>
                <w:sz w:val="15"/>
              </w:rPr>
              <w:t>Contribution margins hold at audited FY2025 rates (ICT lifts on scale)</w:t>
            </w:r>
          </w:p>
        </w:tc>
        <w:tc>
          <w:tcPr>
            <w:tcW w:type="dxa" w:w="3744"/>
          </w:tcPr>
          <w:p>
            <w:pPr>
              <w:spacing w:after="20"/>
            </w:pPr>
            <w:r>
              <w:rPr>
                <w:color w:val="1C3A36"/>
                <w:sz w:val="15"/>
              </w:rPr>
              <w:t>two consistent disclosed years within ~1pp per segment</w:t>
            </w:r>
          </w:p>
        </w:tc>
        <w:tc>
          <w:tcPr>
            <w:tcW w:type="dxa" w:w="3744"/>
          </w:tcPr>
          <w:p>
            <w:pPr>
              <w:spacing w:after="20"/>
            </w:pPr>
            <w:r>
              <w:rPr>
                <w:color w:val="1C3A36"/>
                <w:sz w:val="15"/>
              </w:rPr>
              <w:t>a disclosed margin reset — e.g. wholesale repricing or ICT mix collapse</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du's own disclosure of the post-2026 royalty regime</w:t>
            </w:r>
          </w:p>
        </w:tc>
        <w:tc>
          <w:tcPr>
            <w:tcW w:type="dxa" w:w="3312"/>
          </w:tcPr>
          <w:p>
            <w:pPr>
              <w:spacing w:after="20"/>
            </w:pPr>
            <w:r>
              <w:rPr>
                <w:color w:val="1C3A36"/>
                <w:sz w:val="15"/>
              </w:rPr>
              <w:t>du filings and DFM disclosures</w:t>
            </w:r>
          </w:p>
        </w:tc>
        <w:tc>
          <w:tcPr>
            <w:tcW w:type="dxa" w:w="3672"/>
          </w:tcPr>
          <w:p>
            <w:pPr>
              <w:spacing w:after="20"/>
            </w:pPr>
            <w:r>
              <w:rPr>
                <w:color w:val="1C3A36"/>
                <w:sz w:val="15"/>
              </w:rPr>
              <w:t>NOT FOUND — the H1-2026 notes still say "effective from 2024 to 2026"; the extension notification is disclosed by e&amp;, not yet by du; both framings priced</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